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ED" w:rsidRPr="00C77463" w:rsidRDefault="001066CE" w:rsidP="001066CE">
      <w:pPr>
        <w:spacing w:after="0" w:line="240" w:lineRule="auto"/>
        <w:jc w:val="center"/>
        <w:rPr>
          <w:rFonts w:ascii="Arial" w:eastAsia="Times New Roman" w:hAnsi="Arial"/>
          <w:sz w:val="20"/>
          <w:szCs w:val="20"/>
        </w:rPr>
      </w:pPr>
      <w:r>
        <w:rPr>
          <w:rFonts w:ascii="Arial" w:eastAsia="Times New Roman" w:hAnsi="Arial"/>
          <w:b/>
          <w:bCs/>
          <w:sz w:val="20"/>
          <w:szCs w:val="20"/>
        </w:rPr>
        <w:t>BALANCE OF PAYMENTS</w:t>
      </w:r>
    </w:p>
    <w:p w:rsidR="00EC48ED" w:rsidRPr="00C77463" w:rsidRDefault="005214C4" w:rsidP="001066CE">
      <w:pPr>
        <w:spacing w:after="0" w:line="240" w:lineRule="auto"/>
        <w:jc w:val="center"/>
        <w:rPr>
          <w:rFonts w:ascii="Arial" w:eastAsia="Times New Roman" w:hAnsi="Arial"/>
          <w:i/>
          <w:iCs/>
          <w:sz w:val="20"/>
          <w:szCs w:val="20"/>
        </w:rPr>
      </w:pPr>
      <w:r>
        <w:rPr>
          <w:rFonts w:ascii="Arial" w:eastAsia="Times New Roman" w:hAnsi="Arial"/>
          <w:i/>
          <w:iCs/>
          <w:sz w:val="20"/>
          <w:szCs w:val="20"/>
        </w:rPr>
        <w:t>(</w:t>
      </w:r>
      <w:r w:rsidR="00EC48ED" w:rsidRPr="00A54C17">
        <w:rPr>
          <w:rFonts w:ascii="Arial" w:eastAsia="Times New Roman" w:hAnsi="Arial"/>
          <w:i/>
          <w:iCs/>
          <w:sz w:val="20"/>
          <w:szCs w:val="20"/>
        </w:rPr>
        <w:t>Quarter</w:t>
      </w:r>
      <w:r w:rsidR="00EC48ED" w:rsidRPr="00C77463">
        <w:rPr>
          <w:rFonts w:ascii="Arial" w:eastAsia="Times New Roman" w:hAnsi="Arial"/>
          <w:i/>
          <w:iCs/>
          <w:sz w:val="20"/>
          <w:szCs w:val="20"/>
        </w:rPr>
        <w:t xml:space="preserve"> </w:t>
      </w:r>
      <w:r w:rsidR="007C0484">
        <w:rPr>
          <w:rFonts w:ascii="Arial" w:eastAsia="Times New Roman" w:hAnsi="Arial"/>
          <w:i/>
          <w:iCs/>
          <w:sz w:val="20"/>
          <w:szCs w:val="20"/>
        </w:rPr>
        <w:t xml:space="preserve">I </w:t>
      </w:r>
      <w:r w:rsidR="00EC48ED" w:rsidRPr="00C77463">
        <w:rPr>
          <w:rFonts w:ascii="Arial" w:eastAsia="Times New Roman" w:hAnsi="Arial"/>
          <w:i/>
          <w:iCs/>
          <w:sz w:val="20"/>
          <w:szCs w:val="20"/>
        </w:rPr>
        <w:t>Year 201</w:t>
      </w:r>
      <w:r w:rsidR="00FE6AA8">
        <w:rPr>
          <w:rFonts w:ascii="Arial" w:eastAsia="Times New Roman" w:hAnsi="Arial"/>
          <w:i/>
          <w:iCs/>
          <w:sz w:val="20"/>
          <w:szCs w:val="20"/>
        </w:rPr>
        <w:t>5</w:t>
      </w:r>
      <w:r>
        <w:rPr>
          <w:rFonts w:ascii="Arial" w:eastAsia="Times New Roman" w:hAnsi="Arial"/>
          <w:i/>
          <w:iCs/>
          <w:sz w:val="20"/>
          <w:szCs w:val="20"/>
        </w:rPr>
        <w:t>)</w:t>
      </w:r>
      <w:r w:rsidR="00EC48ED" w:rsidRPr="00C77463">
        <w:rPr>
          <w:rFonts w:ascii="Arial" w:eastAsia="Times New Roman" w:hAnsi="Arial"/>
          <w:i/>
          <w:iCs/>
          <w:sz w:val="20"/>
          <w:szCs w:val="20"/>
        </w:rPr>
        <w:t>)</w:t>
      </w:r>
    </w:p>
    <w:p w:rsidR="00EC48ED" w:rsidRPr="001066CE" w:rsidRDefault="00EC48ED" w:rsidP="001066CE">
      <w:pPr>
        <w:spacing w:after="0" w:line="240" w:lineRule="auto"/>
        <w:jc w:val="center"/>
        <w:rPr>
          <w:rFonts w:ascii="Arial" w:eastAsia="Times New Roman" w:hAnsi="Arial"/>
          <w:iCs/>
          <w:sz w:val="20"/>
          <w:szCs w:val="20"/>
        </w:rPr>
      </w:pPr>
      <w:r w:rsidRPr="001066CE">
        <w:rPr>
          <w:rFonts w:ascii="Arial" w:eastAsia="Times New Roman" w:hAnsi="Arial"/>
          <w:iCs/>
          <w:sz w:val="20"/>
          <w:szCs w:val="20"/>
        </w:rPr>
        <w:t>In million of USD</w:t>
      </w:r>
    </w:p>
    <w:p w:rsidR="001066CE" w:rsidRPr="00C77463" w:rsidRDefault="001066CE" w:rsidP="00EC48ED">
      <w:pPr>
        <w:spacing w:before="120" w:after="0" w:line="312" w:lineRule="auto"/>
        <w:jc w:val="center"/>
        <w:rPr>
          <w:rFonts w:ascii="Arial" w:eastAsia="Times New Roman" w:hAnsi="Arial"/>
          <w:i/>
          <w:iCs/>
          <w:sz w:val="20"/>
          <w:szCs w:val="20"/>
        </w:rPr>
      </w:pPr>
    </w:p>
    <w:tbl>
      <w:tblPr>
        <w:tblW w:w="6692" w:type="dxa"/>
        <w:jc w:val="center"/>
        <w:tblLook w:val="04A0" w:firstRow="1" w:lastRow="0" w:firstColumn="1" w:lastColumn="0" w:noHBand="0" w:noVBand="1"/>
      </w:tblPr>
      <w:tblGrid>
        <w:gridCol w:w="5512"/>
        <w:gridCol w:w="1180"/>
      </w:tblGrid>
      <w:tr w:rsidR="001066CE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066CE" w:rsidRDefault="001066CE" w:rsidP="0054086C">
            <w:pPr>
              <w:spacing w:before="100" w:beforeAutospacing="1" w:after="100" w:afterAutospacing="1"/>
              <w:jc w:val="center"/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Standard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1066CE" w:rsidRDefault="001066CE" w:rsidP="001066CE">
            <w:pPr>
              <w:spacing w:before="100" w:beforeAutospacing="1" w:after="100" w:afterAutospacing="1"/>
              <w:ind w:firstLine="134"/>
              <w:jc w:val="center"/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Data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A.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Current Account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en-GB"/>
              </w:rPr>
              <w:t>1.267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Goods: Exports f.o.b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41.462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Goods: Imports f.o.b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39.355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Goods( 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2.107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Services: Exports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2.</w:t>
            </w:r>
            <w:r>
              <w:rPr>
                <w:rFonts w:eastAsia="Times New Roman" w:cs="Times New Roman"/>
                <w:sz w:val="22"/>
                <w:lang w:eastAsia="en-GB"/>
              </w:rPr>
              <w:t>570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Services: Imports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3.6</w:t>
            </w:r>
            <w:r>
              <w:rPr>
                <w:rFonts w:eastAsia="Times New Roman" w:cs="Times New Roman"/>
                <w:sz w:val="22"/>
                <w:lang w:eastAsia="en-GB"/>
              </w:rPr>
              <w:t>50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Services (net)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i/>
                <w:iCs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1.080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Investment incomes (Primary income): Receipts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99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Investment income (Primary income): Payments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1.908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Investment income (Primary income) (net)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-1.809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Transfers (Secondary income): Receipts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2.</w:t>
            </w:r>
            <w:r>
              <w:rPr>
                <w:rFonts w:eastAsia="Times New Roman" w:cs="Times New Roman"/>
                <w:sz w:val="22"/>
                <w:lang w:eastAsia="en-GB"/>
              </w:rPr>
              <w:t>219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Transfers (Secondary income): Payments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1</w:t>
            </w:r>
            <w:r>
              <w:rPr>
                <w:rFonts w:eastAsia="Times New Roman" w:cs="Times New Roman"/>
                <w:sz w:val="22"/>
                <w:lang w:eastAsia="en-GB"/>
              </w:rPr>
              <w:t>70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Transfers (Secondary income)(net)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i/>
                <w:iCs/>
                <w:sz w:val="22"/>
                <w:lang w:eastAsia="en-GB"/>
              </w:rPr>
              <w:t>2.0</w:t>
            </w: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49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bottom"/>
            <w:hideMark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B.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Capital Account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b/>
                <w:bCs/>
                <w:sz w:val="22"/>
                <w:lang w:eastAsia="en-GB"/>
              </w:rPr>
              <w:t>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Capital account: Receipts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Capital account: Payments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 xml:space="preserve">Net Current and Capital Account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1.267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C.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Finacial account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en-GB"/>
              </w:rPr>
              <w:t>1.758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Direct investment: Assets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sz w:val="22"/>
                <w:lang w:eastAsia="en-GB"/>
              </w:rPr>
              <w:t>462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Direct investment: Liabilities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2.</w:t>
            </w:r>
            <w:r>
              <w:rPr>
                <w:rFonts w:eastAsia="Times New Roman" w:cs="Times New Roman"/>
                <w:sz w:val="22"/>
                <w:lang w:eastAsia="en-GB"/>
              </w:rPr>
              <w:t>580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Direct Investment (net)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2.118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Portfolio investment: Assets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Portfolio investment: Liabilities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160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Portfolio Investment(net)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i/>
                <w:iCs/>
                <w:sz w:val="22"/>
                <w:lang w:eastAsia="en-GB"/>
              </w:rPr>
            </w:pPr>
            <w:r>
              <w:rPr>
                <w:rFonts w:eastAsia="Times New Roman" w:cs="Times New Roman"/>
                <w:i/>
                <w:iCs/>
                <w:sz w:val="22"/>
                <w:lang w:eastAsia="en-GB"/>
              </w:rPr>
              <w:t>160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Investment: Assets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-3.238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Money and deposits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-3.375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Banks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-1.120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sectors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-2.</w:t>
            </w:r>
            <w:r>
              <w:rPr>
                <w:rFonts w:eastAsia="Times New Roman" w:cs="Times New Roman"/>
                <w:sz w:val="22"/>
                <w:lang w:eastAsia="en-GB"/>
              </w:rPr>
              <w:t>255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Loans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Trade credit and advances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accounts receivable/payable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137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Investment: Liabilities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2.718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Currency and deposits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1.299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outlineLvl w:val="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Banks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1.294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outlineLvl w:val="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sectors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Loans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1.</w:t>
            </w:r>
            <w:r>
              <w:rPr>
                <w:rFonts w:eastAsia="Times New Roman" w:cs="Times New Roman"/>
                <w:sz w:val="22"/>
                <w:lang w:eastAsia="en-GB"/>
              </w:rPr>
              <w:t>419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800" w:firstLine="16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 xml:space="preserve"> Shorterm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5</w:t>
            </w:r>
            <w:r>
              <w:rPr>
                <w:rFonts w:eastAsia="Times New Roman" w:cs="Times New Roman"/>
                <w:sz w:val="22"/>
                <w:lang w:eastAsia="en-GB"/>
              </w:rPr>
              <w:t>32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Disbursements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3.</w:t>
            </w:r>
            <w:r>
              <w:rPr>
                <w:rFonts w:eastAsia="Times New Roman" w:cs="Times New Roman"/>
                <w:sz w:val="22"/>
                <w:lang w:eastAsia="en-GB"/>
              </w:rPr>
              <w:t>209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Scheduled Amortization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-2.6</w:t>
            </w:r>
            <w:r>
              <w:rPr>
                <w:rFonts w:eastAsia="Times New Roman" w:cs="Times New Roman"/>
                <w:sz w:val="22"/>
                <w:lang w:eastAsia="en-GB"/>
              </w:rPr>
              <w:t>77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800" w:firstLine="16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Medium and long term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887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Disbursements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2.102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200" w:firstLine="24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Government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1.013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200" w:firstLine="24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lastRenderedPageBreak/>
              <w:t>Other sectors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1.089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000" w:firstLine="20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Scheduled Amortization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-1.</w:t>
            </w:r>
            <w:r>
              <w:rPr>
                <w:rFonts w:eastAsia="Times New Roman" w:cs="Times New Roman"/>
                <w:sz w:val="22"/>
                <w:lang w:eastAsia="en-GB"/>
              </w:rPr>
              <w:t>215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200" w:firstLine="24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Government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sz w:val="22"/>
                <w:lang w:eastAsia="en-GB"/>
              </w:rPr>
              <w:t>148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1200" w:firstLine="24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sectors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sz w:val="22"/>
                <w:lang w:eastAsia="en-GB"/>
              </w:rPr>
              <w:t>1.067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Trade credit and advances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:rsidR="000839F1" w:rsidRPr="007C0484" w:rsidRDefault="000839F1" w:rsidP="000839F1">
            <w:pPr>
              <w:spacing w:after="0" w:line="240" w:lineRule="auto"/>
              <w:ind w:firstLineChars="600" w:firstLine="12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Other accounts receivable/payable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39F1" w:rsidRPr="004B33F9" w:rsidRDefault="000839F1" w:rsidP="000839F1">
            <w:pPr>
              <w:spacing w:after="0" w:line="240" w:lineRule="auto"/>
              <w:ind w:right="120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 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500" w:firstLine="1000"/>
              <w:rPr>
                <w:rFonts w:ascii="Arial" w:eastAsia="Times New Roman" w:hAnsi="Arial"/>
                <w:i/>
                <w:i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i/>
                <w:iCs/>
                <w:sz w:val="20"/>
                <w:szCs w:val="20"/>
              </w:rPr>
              <w:t>Other Investment (net)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>
              <w:rPr>
                <w:rFonts w:eastAsia="Times New Roman" w:cs="Times New Roman"/>
                <w:sz w:val="22"/>
                <w:lang w:eastAsia="en-GB"/>
              </w:rPr>
              <w:t>-520</w:t>
            </w:r>
          </w:p>
        </w:tc>
      </w:tr>
      <w:tr w:rsidR="000839F1" w:rsidRPr="001066CE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D.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Net Errors and Omissions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b/>
                <w:bCs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b/>
                <w:bCs/>
                <w:sz w:val="22"/>
                <w:lang w:eastAsia="en-GB"/>
              </w:rPr>
              <w:t>2.470</w:t>
            </w:r>
          </w:p>
        </w:tc>
      </w:tr>
      <w:tr w:rsidR="000839F1" w:rsidRPr="00C71660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color w:val="auto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color w:val="auto"/>
                <w:sz w:val="20"/>
                <w:szCs w:val="20"/>
              </w:rPr>
              <w:t xml:space="preserve">E. </w:t>
            </w:r>
            <w:r>
              <w:rPr>
                <w:rFonts w:ascii="Arial" w:eastAsia="Times New Roman" w:hAnsi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color w:val="auto"/>
                <w:sz w:val="20"/>
                <w:szCs w:val="20"/>
              </w:rPr>
              <w:t>Overall balance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2"/>
                <w:lang w:eastAsia="en-GB"/>
              </w:rPr>
              <w:t>555</w:t>
            </w:r>
          </w:p>
        </w:tc>
      </w:tr>
      <w:tr w:rsidR="000839F1" w:rsidRPr="001066CE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200" w:firstLine="400"/>
              <w:rPr>
                <w:rFonts w:ascii="Arial" w:eastAsia="Times New Roman" w:hAnsi="Arial"/>
                <w:b/>
                <w:bCs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F.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</w:rPr>
              <w:t xml:space="preserve"> </w:t>
            </w:r>
            <w:r w:rsidRPr="007C0484">
              <w:rPr>
                <w:rFonts w:ascii="Arial" w:eastAsia="Times New Roman" w:hAnsi="Arial"/>
                <w:b/>
                <w:bCs/>
                <w:sz w:val="20"/>
                <w:szCs w:val="20"/>
              </w:rPr>
              <w:t>Reserve and related items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b/>
                <w:bCs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b/>
                <w:bCs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b/>
                <w:bCs/>
                <w:sz w:val="22"/>
                <w:lang w:eastAsia="en-GB"/>
              </w:rPr>
              <w:t>555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Reserve assets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-</w:t>
            </w:r>
            <w:r>
              <w:rPr>
                <w:rFonts w:eastAsia="Times New Roman" w:cs="Times New Roman"/>
                <w:sz w:val="22"/>
                <w:lang w:eastAsia="en-GB"/>
              </w:rPr>
              <w:t>555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color w:val="auto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color w:val="auto"/>
                <w:sz w:val="20"/>
                <w:szCs w:val="20"/>
              </w:rPr>
              <w:t>Credit and loans from IMF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0</w:t>
            </w:r>
          </w:p>
        </w:tc>
      </w:tr>
      <w:tr w:rsidR="000839F1" w:rsidTr="0054086C">
        <w:trPr>
          <w:trHeight w:val="270"/>
          <w:jc w:val="center"/>
        </w:trPr>
        <w:tc>
          <w:tcPr>
            <w:tcW w:w="55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</w:tcPr>
          <w:p w:rsidR="000839F1" w:rsidRPr="007C0484" w:rsidRDefault="000839F1" w:rsidP="000839F1">
            <w:pPr>
              <w:spacing w:after="0" w:line="240" w:lineRule="auto"/>
              <w:ind w:firstLineChars="400" w:firstLine="800"/>
              <w:rPr>
                <w:rFonts w:ascii="Arial" w:eastAsia="Times New Roman" w:hAnsi="Arial"/>
                <w:sz w:val="20"/>
                <w:szCs w:val="20"/>
              </w:rPr>
            </w:pPr>
            <w:r w:rsidRPr="007C0484">
              <w:rPr>
                <w:rFonts w:ascii="Arial" w:eastAsia="Times New Roman" w:hAnsi="Arial"/>
                <w:sz w:val="20"/>
                <w:szCs w:val="20"/>
              </w:rPr>
              <w:t>Exceptional finacing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839F1" w:rsidRPr="004B33F9" w:rsidRDefault="000839F1" w:rsidP="000839F1">
            <w:pPr>
              <w:spacing w:after="0" w:line="240" w:lineRule="auto"/>
              <w:ind w:right="120"/>
              <w:jc w:val="right"/>
              <w:rPr>
                <w:rFonts w:eastAsia="Times New Roman" w:cs="Times New Roman"/>
                <w:sz w:val="22"/>
                <w:lang w:eastAsia="en-GB"/>
              </w:rPr>
            </w:pPr>
            <w:r w:rsidRPr="004B33F9">
              <w:rPr>
                <w:rFonts w:eastAsia="Times New Roman" w:cs="Times New Roman"/>
                <w:sz w:val="22"/>
                <w:lang w:eastAsia="en-GB"/>
              </w:rPr>
              <w:t>0</w:t>
            </w:r>
          </w:p>
        </w:tc>
      </w:tr>
    </w:tbl>
    <w:p w:rsidR="00181854" w:rsidRPr="001066CE" w:rsidRDefault="001066CE" w:rsidP="001066CE">
      <w:pPr>
        <w:ind w:right="-421"/>
        <w:rPr>
          <w:i/>
        </w:rPr>
      </w:pPr>
      <w:r w:rsidRPr="001066CE">
        <w:rPr>
          <w:rFonts w:ascii="Arial" w:hAnsi="Arial"/>
          <w:i/>
          <w:sz w:val="20"/>
          <w:szCs w:val="20"/>
        </w:rPr>
        <w:t xml:space="preserve">          </w:t>
      </w:r>
      <w:r w:rsidRPr="001066CE">
        <w:rPr>
          <w:i/>
        </w:rPr>
        <w:t xml:space="preserve"> </w:t>
      </w:r>
      <w:r w:rsidR="00B8404B" w:rsidRPr="001066CE">
        <w:rPr>
          <w:i/>
        </w:rPr>
        <w:t>(</w:t>
      </w:r>
      <w:r w:rsidR="00B8404B" w:rsidRPr="001066CE">
        <w:rPr>
          <w:i/>
          <w:vertAlign w:val="superscript"/>
        </w:rPr>
        <w:t>*</w:t>
      </w:r>
      <w:r w:rsidR="00B8404B" w:rsidRPr="001066CE">
        <w:rPr>
          <w:i/>
        </w:rPr>
        <w:t>)</w:t>
      </w:r>
      <w:r w:rsidR="00390C5D" w:rsidRPr="001066CE">
        <w:rPr>
          <w:i/>
        </w:rPr>
        <w:t xml:space="preserve"> </w:t>
      </w:r>
      <w:r w:rsidR="00390C5D" w:rsidRPr="001066CE">
        <w:rPr>
          <w:rFonts w:ascii="Arial" w:hAnsi="Arial"/>
          <w:i/>
          <w:color w:val="333333"/>
          <w:sz w:val="20"/>
          <w:szCs w:val="20"/>
          <w:shd w:val="clear" w:color="auto" w:fill="FFFFFF"/>
        </w:rPr>
        <w:t xml:space="preserve">Base on the updated data from </w:t>
      </w:r>
      <w:r w:rsidR="000839F1">
        <w:rPr>
          <w:rFonts w:ascii="Arial" w:hAnsi="Arial"/>
          <w:i/>
          <w:color w:val="333333"/>
          <w:sz w:val="20"/>
          <w:szCs w:val="20"/>
          <w:shd w:val="clear" w:color="auto" w:fill="FFFFFF"/>
        </w:rPr>
        <w:t>other ministries,</w:t>
      </w:r>
      <w:bookmarkStart w:id="0" w:name="_GoBack"/>
      <w:bookmarkEnd w:id="0"/>
      <w:r w:rsidR="00390C5D" w:rsidRPr="001066CE">
        <w:rPr>
          <w:rFonts w:ascii="Arial" w:hAnsi="Arial"/>
          <w:i/>
          <w:color w:val="333333"/>
          <w:sz w:val="20"/>
          <w:szCs w:val="20"/>
          <w:shd w:val="clear" w:color="auto" w:fill="FFFFFF"/>
        </w:rPr>
        <w:t xml:space="preserve"> BO</w:t>
      </w:r>
      <w:r>
        <w:rPr>
          <w:rFonts w:ascii="Arial" w:hAnsi="Arial"/>
          <w:i/>
          <w:color w:val="333333"/>
          <w:sz w:val="20"/>
          <w:szCs w:val="20"/>
          <w:shd w:val="clear" w:color="auto" w:fill="FFFFFF"/>
        </w:rPr>
        <w:t>P data have been revised by SBV.</w:t>
      </w:r>
    </w:p>
    <w:sectPr w:rsidR="00181854" w:rsidRPr="001066CE" w:rsidSect="001066CE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74"/>
    <w:rsid w:val="000568D8"/>
    <w:rsid w:val="000839F1"/>
    <w:rsid w:val="001031CB"/>
    <w:rsid w:val="001066CE"/>
    <w:rsid w:val="00107014"/>
    <w:rsid w:val="00111629"/>
    <w:rsid w:val="00166B68"/>
    <w:rsid w:val="003859CA"/>
    <w:rsid w:val="00390C5D"/>
    <w:rsid w:val="004333EF"/>
    <w:rsid w:val="004A37D8"/>
    <w:rsid w:val="004E22F3"/>
    <w:rsid w:val="004F4643"/>
    <w:rsid w:val="005070A2"/>
    <w:rsid w:val="005214C4"/>
    <w:rsid w:val="00557FA0"/>
    <w:rsid w:val="00567EE9"/>
    <w:rsid w:val="005C6274"/>
    <w:rsid w:val="006A5658"/>
    <w:rsid w:val="007B4C70"/>
    <w:rsid w:val="007C0484"/>
    <w:rsid w:val="007C4AF6"/>
    <w:rsid w:val="00886A3A"/>
    <w:rsid w:val="008B01E3"/>
    <w:rsid w:val="00952D42"/>
    <w:rsid w:val="00A02959"/>
    <w:rsid w:val="00A54C17"/>
    <w:rsid w:val="00AB7823"/>
    <w:rsid w:val="00B25C96"/>
    <w:rsid w:val="00B8404B"/>
    <w:rsid w:val="00C27479"/>
    <w:rsid w:val="00CF4D63"/>
    <w:rsid w:val="00E2592A"/>
    <w:rsid w:val="00E7090C"/>
    <w:rsid w:val="00E74AD9"/>
    <w:rsid w:val="00EC48ED"/>
    <w:rsid w:val="00F03C46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1832AB-44FF-4776-B4FB-198CE9E7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color w:val="000000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1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274"/>
    <w:pPr>
      <w:spacing w:before="100" w:beforeAutospacing="1" w:after="100" w:afterAutospacing="1" w:line="240" w:lineRule="auto"/>
    </w:pPr>
    <w:rPr>
      <w:rFonts w:eastAsia="Times New Roman" w:cs="Times New Roman"/>
      <w:color w:val="auto"/>
      <w:sz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oanh</dc:creator>
  <cp:lastModifiedBy>User</cp:lastModifiedBy>
  <cp:revision>4</cp:revision>
  <dcterms:created xsi:type="dcterms:W3CDTF">2015-06-29T03:05:00Z</dcterms:created>
  <dcterms:modified xsi:type="dcterms:W3CDTF">2015-09-29T08:32:00Z</dcterms:modified>
</cp:coreProperties>
</file>