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CA39"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Mục tiêu của Chương trình hành động nhằm tổ chức thể chế hóa và thực hiện đầy đủ các quan điểm, mục tiêu, nhiệm vụ và giải pháp đã đề ra trong Nghị quyết số 57-NQ/TW ngày 22/12/2024 của Bộ Chính trị về đột phá phát triển khoa học, công nghệ, đổi mới sáng tạo và chuyển đổi số quốc gia (Nghị quyết số 57-NQ/TW).</w:t>
      </w:r>
    </w:p>
    <w:p w14:paraId="156ED6A9"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Đồng thời, xác định nhiệm vụ cụ thể để các Bộ, ngành, địa phương xây dựng kế hoạch hành động, tổ chức triển khai, kiểm tra, giám sát, đánh giá việc thực hiện Nghị quyết số 57-NQ/TW, hiện thực hóa mục tiêu đưa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w:t>
      </w:r>
    </w:p>
    <w:p w14:paraId="582DBEBA"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Nhằm đạt được mục tiêu Nghị quyết số 57-NQ/TW đề ra, Chính phủ yêu cầu trong thời gian tới, bên cạnh các nhiệm vụ thường xuyên, các Bộ, cơ quan ngang Bộ, cơ quan thuộc Chính phủ, UBND các tỉnh, thành phố trực thuộc Trung ương cần cụ thể hóa và tổ chức triển khai thực hiện các nhiệm vụ sau:</w:t>
      </w:r>
    </w:p>
    <w:p w14:paraId="6DFABB49" w14:textId="77777777" w:rsidR="007677D7" w:rsidRPr="007677D7" w:rsidRDefault="007677D7" w:rsidP="007677D7">
      <w:pPr>
        <w:spacing w:before="120" w:after="0" w:line="240" w:lineRule="auto"/>
        <w:jc w:val="both"/>
        <w:rPr>
          <w:rFonts w:ascii="Arial" w:hAnsi="Arial" w:cs="Arial"/>
          <w:b/>
          <w:bCs/>
          <w:sz w:val="20"/>
          <w:szCs w:val="20"/>
          <w:lang w:val="en-AS"/>
        </w:rPr>
      </w:pPr>
      <w:r w:rsidRPr="007677D7">
        <w:rPr>
          <w:rFonts w:ascii="Arial" w:hAnsi="Arial" w:cs="Arial"/>
          <w:b/>
          <w:bCs/>
          <w:sz w:val="20"/>
          <w:szCs w:val="20"/>
          <w:lang w:val="en-AS"/>
        </w:rPr>
        <w:t>1- 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 quốc gia.</w:t>
      </w:r>
    </w:p>
    <w:p w14:paraId="46EFD7EE"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Xây dựng và đẩy mạnh quảng bá thương hiệu quốc gia về đổi mới sáng tạo; xây dựng nền tảng số, công cụ số để thực hiện đo lường trực tuyến mức độ hoàn thành nhiệm vụ chuyển đổi số; xây dựng kế hoạch triển khai chương trình hành động của Chính phủ với các mục tiêu được lượng hóa cụ thể; giao trách nhiệm người đứng đầu các đơn vị trực tiếp phụ trách, chỉ đạo; phấn đấu bố trí tỉ lệ cán bộ có chuyên môn, kinh nghiệm về khoa học kỹ thuật trong đội ngũ lãnh đạo từng cơ quan, đơn vị nhà nước, hướng tới tối thiểu đạt 25%.</w:t>
      </w:r>
    </w:p>
    <w:p w14:paraId="7A3B9B67"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Rà soát, sửa đổi quy định về khuyến khích, bảo vệ cán bộ năng động, sáng tạo, dám nghĩ, dám làm, dám chịu trách nhiệm vì lợi ích chung theo hướng bổ sung, điều chỉnh để phát huy tinh thần sáng tạo, dám nghĩ, dám làm, dám chịu trách nhiệm của đội ngũ cán bộ, công chức, viên chức trong phát triển khoa học, công nghệ, đổi mới sáng tạo và chuyển đổi số theo tinh thần Nghị quyết số 57-NQ/TW...</w:t>
      </w:r>
    </w:p>
    <w:p w14:paraId="5BC5A55E" w14:textId="77777777" w:rsidR="007677D7" w:rsidRPr="007677D7" w:rsidRDefault="007677D7" w:rsidP="007677D7">
      <w:pPr>
        <w:spacing w:before="120" w:after="0" w:line="240" w:lineRule="auto"/>
        <w:jc w:val="both"/>
        <w:rPr>
          <w:rFonts w:ascii="Arial" w:hAnsi="Arial" w:cs="Arial"/>
          <w:b/>
          <w:bCs/>
          <w:sz w:val="20"/>
          <w:szCs w:val="20"/>
          <w:lang w:val="en-AS"/>
        </w:rPr>
      </w:pPr>
      <w:r w:rsidRPr="007677D7">
        <w:rPr>
          <w:rFonts w:ascii="Arial" w:hAnsi="Arial" w:cs="Arial"/>
          <w:b/>
          <w:bCs/>
          <w:sz w:val="20"/>
          <w:szCs w:val="20"/>
          <w:lang w:val="en-AS"/>
        </w:rPr>
        <w:t>2- 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p>
    <w:p w14:paraId="4865F72B"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Rà soát, tháo gỡ các điểm nghẽn, rào cản về thể chế, chính sách trong phát triển khoa học, công nghệ, đổi mới sáng tạo, chuyển đổi số và nguồn nhân lực chất lượng cao; hoàn thiện quy định pháp luật để bảo đảm hành lang pháp lý cho hoạt động của mọi ngành, lĩnh vực trên môi trường số.</w:t>
      </w:r>
    </w:p>
    <w:p w14:paraId="0AC7F54E"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Sửa đổi quy định pháp luật để tháo gỡ điểm nghẽn trong hoạt động khoa học, công nghệ và đổi mới sáng tạo theo hướng chấp nhận rủi ro, đầu tư mạo hiểm và độ trễ trong nghiên cứu khoa học, phát triển công nghệ, đổi mới sáng tạo. Sửa đổi Luật Khoa học và Công nghệ (2013) và các luật có liên quan trong dự án xây dựng Luật Khoa học, Công nghệ và Đổi mới sáng tạo để: (i) Tháo gỡ các khó khăn, vướng mắc, tạo hành lang pháp lý thuận lợi thúc đẩy khoa học, công nghệ và đổi mới sáng tạo; (ii) Đơn giản hóa thủ tục hành chính, đẩy mạnh phân cấp, phân quyền trong công tác quản lý nhà nước; (iii) Tập trung nguồn lực đầu tư từ ngân sách nhà nước, thu hút đầu tư ngoài ngân sách cho khoa học, công nghệ và đổi mới sáng tạo.</w:t>
      </w:r>
    </w:p>
    <w:p w14:paraId="341A6C28"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Bổ sung các chính sách tháo gỡ điểm nghẽn và hoàn thiện Luật Công nghiệp công nghệ số; rà soát, sắp xếp tổ chức bộ máy, chức năng, nhiệm vụ, quyền hạn của các cơ quan nhà nước từ Trung ương đến địa phương để đảm bảo thống nhất, nâng cao hiệu quả quản lý nhà nước về khoa học, công nghệ, đổi mới sáng tạo và chuyển đổi số...</w:t>
      </w:r>
    </w:p>
    <w:p w14:paraId="74B4048F" w14:textId="77777777" w:rsidR="007677D7" w:rsidRPr="007677D7" w:rsidRDefault="007677D7" w:rsidP="007677D7">
      <w:pPr>
        <w:spacing w:before="120" w:after="0" w:line="240" w:lineRule="auto"/>
        <w:jc w:val="both"/>
        <w:rPr>
          <w:rFonts w:ascii="Arial" w:hAnsi="Arial" w:cs="Arial"/>
          <w:b/>
          <w:bCs/>
          <w:sz w:val="20"/>
          <w:szCs w:val="20"/>
          <w:lang w:val="en-AS"/>
        </w:rPr>
      </w:pPr>
      <w:r w:rsidRPr="007677D7">
        <w:rPr>
          <w:rFonts w:ascii="Arial" w:hAnsi="Arial" w:cs="Arial"/>
          <w:b/>
          <w:bCs/>
          <w:sz w:val="20"/>
          <w:szCs w:val="20"/>
          <w:lang w:val="en-AS"/>
        </w:rPr>
        <w:t>3- Tăng cường đầu tư, hoàn thiện hạ tầng cho khoa học, công nghệ, đổi mới sáng tạo và chuyển đổi số quốc gia. </w:t>
      </w:r>
    </w:p>
    <w:p w14:paraId="391FCD79"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 xml:space="preserve">Phát triển mạng lưới kết nối các trung tâm đổi mới sáng tạo, khởi nghiệp sáng tạo, tập trung vào các công nghệ chiến lược và chuyển đổi số. Thực hiện các chương trình, dự án thúc đẩy các lĩnh vực công nghệ, đổi mới sáng tạo trọng tâm của Trung tâm Đổi mới sáng tạo Quốc gia. Phấn đấu đến năm 2030, có ít nhất </w:t>
      </w:r>
      <w:r w:rsidRPr="007677D7">
        <w:rPr>
          <w:rFonts w:ascii="Arial" w:hAnsi="Arial" w:cs="Arial"/>
          <w:sz w:val="20"/>
          <w:szCs w:val="20"/>
          <w:lang w:val="en-AS"/>
        </w:rPr>
        <w:lastRenderedPageBreak/>
        <w:t>05 dự án, chương trình trong lĩnh vực bán dẫn, trí tuệ nhân tạo, công nghệ số, nhà máy thông minh, đô thị thông minh,... được triển khai.</w:t>
      </w:r>
    </w:p>
    <w:p w14:paraId="141A679D"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Xây dựng, triển khai Chương trình phát triển kinh tế số, xã hội số với các mục tiêu được lượng hóa cụ thể; xây dựng cơ chế, chính sách hỗ trợ, khuyến khích các tổ chức, cá nhân, doanh nghiệp đầu tư, xây dựng các phòng thí nghiệm, trung tâm nghiên cứu và phát triển khoa học, công nghệ; thí điểm triển khai bản sao số cho một số thành phố trực thuộc Trung ương.</w:t>
      </w:r>
    </w:p>
    <w:p w14:paraId="54059E8B"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Xây dựng ngành công nghiệp Internet vạn vật (IoT) và một số khu công nghiệp chuyên biệt phát triển IoT; Chuyển đổi số các khu công nghiệp, cụm công nghiệp theo hướng tăng cường ứng dụng Internet vạn vật (IoT) để trở thành khu công nghiệp, cụm công nghiệp thông minh; Thúc đẩy, phát triển một số ngành, lĩnh vực ứng dụng công nghiệp Internet vạn vật (IoT) như sản xuất, thương mại, năng lượng, nông nghiệp, giao thông, y tế,...</w:t>
      </w:r>
    </w:p>
    <w:p w14:paraId="76A01049" w14:textId="77777777" w:rsidR="007677D7" w:rsidRPr="007677D7" w:rsidRDefault="007677D7" w:rsidP="007677D7">
      <w:pPr>
        <w:spacing w:before="120" w:after="0" w:line="240" w:lineRule="auto"/>
        <w:jc w:val="both"/>
        <w:rPr>
          <w:rFonts w:ascii="Arial" w:hAnsi="Arial" w:cs="Arial"/>
          <w:b/>
          <w:bCs/>
          <w:sz w:val="20"/>
          <w:szCs w:val="20"/>
          <w:lang w:val="en-AS"/>
        </w:rPr>
      </w:pPr>
      <w:r w:rsidRPr="007677D7">
        <w:rPr>
          <w:rFonts w:ascii="Arial" w:hAnsi="Arial" w:cs="Arial"/>
          <w:b/>
          <w:bCs/>
          <w:sz w:val="20"/>
          <w:szCs w:val="20"/>
          <w:lang w:val="en-AS"/>
        </w:rPr>
        <w:t>4- Phát triển, trọng dụng nhân lực chất lượng cao, nhân tài đáp ứng yêu cầu phát triển khoa học, công nghệ, đổi mới sáng tạo và chuyển đổi số quốc gia.</w:t>
      </w:r>
    </w:p>
    <w:p w14:paraId="759DBFE5"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Thực hiện đồng bộ các giải pháp tăng cường giáo dục và hướng nghiệp STEM, thu hút học sinh giỏi theo học các ngành STEM; xây dựng và triển khai các chính sách phát hiện và bồi dưỡng tài năng STEM từ sớm, quy hoạch và đầu tư nâng cấp, mở rộng hệ thống trường chuyên, trường năng khiếu về khoa học tự nhiên.</w:t>
      </w:r>
    </w:p>
    <w:p w14:paraId="3FD7AC4D"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Triển khai các chương trình đào tạo kỹ sư, thạc sĩ và tiến sĩ tài năng trong các ngành khoa học cơ bản, các ngành kỹ thuật và công nghệ then chốt phục vụ phát triển công nghệ chiến lược; các chương trình đào tạo, đào tạo lại đội ngũ kỹ thuật viên, đào tạo nghề chất lượng cao, đáp ứng yêu cầu ứng dụng công nghệ mới, công nghệ cao. Tập trung đầu tư xây dựng một số cơ sở giáo dục đại học, trung tâm đào tạo tiên tiến chuyên sâu về trí tuệ nhân tạo và các lĩnh vực công nghệ chiến lược khác.</w:t>
      </w:r>
    </w:p>
    <w:p w14:paraId="4FF9E668"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Đổi mới chương trình đào tạo, đa dạng hóa phương thức tổ chức đào tạo các ngành STEM; xây dựng nền tảng giáo dục, đào tạo trực tuyến theo tiêu chuẩn quốc tế, phát triển mô hình giáo dục đại học số kết hợp ứng dụng các công nghệ tiên tiến như trí tuệ nhân tạo, không gian ảo.</w:t>
      </w:r>
    </w:p>
    <w:p w14:paraId="4108F4DB"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Rà soát, xây dựng chính sách thu hút, tuyển dụng và đãi ngộ nhân lực chuyển đổi số, lực lượng chuyên trách bảo đảm an toàn, an ninh mạng làm việc tại các cơ quan nhà nước, đảm bảo đủ về số lượng, chất lượng, phù hợp theo đặc thù lĩnh vực, vùng, miền...</w:t>
      </w:r>
    </w:p>
    <w:p w14:paraId="0FA63D91" w14:textId="77777777" w:rsidR="007677D7" w:rsidRPr="007677D7" w:rsidRDefault="007677D7" w:rsidP="007677D7">
      <w:pPr>
        <w:spacing w:before="120" w:after="0" w:line="240" w:lineRule="auto"/>
        <w:jc w:val="both"/>
        <w:rPr>
          <w:rFonts w:ascii="Arial" w:hAnsi="Arial" w:cs="Arial"/>
          <w:b/>
          <w:bCs/>
          <w:sz w:val="20"/>
          <w:szCs w:val="20"/>
          <w:lang w:val="en-AS"/>
        </w:rPr>
      </w:pPr>
      <w:r w:rsidRPr="007677D7">
        <w:rPr>
          <w:rFonts w:ascii="Arial" w:hAnsi="Arial" w:cs="Arial"/>
          <w:b/>
          <w:bCs/>
          <w:sz w:val="20"/>
          <w:szCs w:val="20"/>
          <w:lang w:val="en-AS"/>
        </w:rPr>
        <w:t>5- 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p>
    <w:p w14:paraId="7794AC81"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Đẩy mạnh ứng dụng khoa học và công nghệ để xây dựng các cơ sở khoa học nhằm trợ giúp việc ra quyết định trong hoạt động của các cơ quan quản lý nhà nước; xây dựng mô hình Trung tâm giám sát điều hành thông minh nhằm tăng cường quản lý công, nâng cao hiệu lực quản trị, hiệu quả điều hành của các cấp chính quyền.</w:t>
      </w:r>
    </w:p>
    <w:p w14:paraId="1DAABFFC"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Nâng cao chất lượng cung cấp dịch vụ công trực tuyến toàn trình; cung cấp dịch vụ số mới được cá nhân hóa, dựa trên dữ liệu cho người dân và doanh nghiệp; cắt giảm đơn giản hóa tối đa thủ tục hành chính, thời gian giải quyết, chi phí tuân thủ thủ tục hành chính; đổi mới toàn diện việc giải quyết thủ tục hành chính, thực hiện thủ tục hành chính không phụ thuộc vào địa giới hành chính; tăng cường chỉ đạo điều hành, giám sát đánh giá chất lượng phục vụ người dân, doanh nghiệp trong thực hiện thủ tục hành chính, dịch vụ công dựa trên dữ liệu và trách nhiệm giải trình của cơ quan nhà nước, người có thẩm quyền trong phục vụ nhân dân.</w:t>
      </w:r>
    </w:p>
    <w:p w14:paraId="3A93E869"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Đẩy mạnh chuyển đổi số trong lĩnh vực văn hóa để phát triển công nghiệp văn hoá. Xây dựng và phát triển các sản phẩm văn hóa số chất lượng cao; khuyến khích, thu hút đông đảo cộng đồng tham gia sáng tạo, sản xuất các sản phẩm văn hóa số tích cực, lành mạnh và hướng thiện trên môi trường số...</w:t>
      </w:r>
    </w:p>
    <w:p w14:paraId="5747D105" w14:textId="77777777" w:rsidR="007677D7" w:rsidRPr="007677D7" w:rsidRDefault="007677D7" w:rsidP="007677D7">
      <w:pPr>
        <w:spacing w:before="120" w:after="0" w:line="240" w:lineRule="auto"/>
        <w:jc w:val="both"/>
        <w:rPr>
          <w:rFonts w:ascii="Arial" w:hAnsi="Arial" w:cs="Arial"/>
          <w:b/>
          <w:bCs/>
          <w:sz w:val="20"/>
          <w:szCs w:val="20"/>
          <w:lang w:val="en-AS"/>
        </w:rPr>
      </w:pPr>
      <w:r w:rsidRPr="007677D7">
        <w:rPr>
          <w:rFonts w:ascii="Arial" w:hAnsi="Arial" w:cs="Arial"/>
          <w:b/>
          <w:bCs/>
          <w:sz w:val="20"/>
          <w:szCs w:val="20"/>
          <w:lang w:val="en-AS"/>
        </w:rPr>
        <w:t>6- Thúc đẩy mạnh mẽ hoạt động khoa học, công nghệ, đổi mới sáng tạo và chuyển đổi số trong doanh nghiệp.</w:t>
      </w:r>
    </w:p>
    <w:p w14:paraId="792A9497"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lastRenderedPageBreak/>
        <w:t>Rà soát, xây dựng chính sách ưu đãi, khuyến khích các doanh nghiệp, nhất là doanh nghiệp nhỏ và vừa, hợp tác xã, hộ kinh doanh đầu tư cho chuyển đổi số, nghiên cứu, ứng dụng khoa học, đổi mới công nghệ để nâng cao hiệu quả sản xuất, kinh doanh, quản trị doanh nghiệp.</w:t>
      </w:r>
    </w:p>
    <w:p w14:paraId="719354A5"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Tổ chức thực hiện các giải pháp để thúc đẩy việc chuyển giao tri thức, đào tạo nhân lực khoa học, công nghệ, đổi mới sáng tạo thông qua doanh nghiệp có vốn đầu tư trực tiếp nước ngoài (FDI); xây dựng các giải pháp hỗ trợ doanh nghiệp công nghệ trong nước đầu tư ra nước ngoài.</w:t>
      </w:r>
    </w:p>
    <w:p w14:paraId="3C233E72"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Xây dựng quy định về lập các cơ sở nghiên cứu chính sách về công nghệ số, chuyển đổi số tại các doanh nghiệp để nghiên cứu, ứng dụng, hợp tác chuyển giao những thành tựu công nghệ số hiện đại từ nước ngoài vào trong nước; lập các cơ sở nghiên cứu chính sách về công nghệ số và chuyển giao những thành tựu công nghệ số hiện đại từ nước ngoài vào trong nước.</w:t>
      </w:r>
    </w:p>
    <w:p w14:paraId="2F1F62AC"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Xây dựng cơ chế, chính sách hỗ trợ các doanh nghiệp công nghệ số, tổ chức, cá nhân có năng lực, thực hiện các nhiệm vụ trọng điểm về chuyển đổi số; chính sách hỗ trợ, phát triển các doanh nghiệp công nghệ số khai thác tốt thị trường chuyển đổi số trong nước vươn ra toàn cầu; thúc đẩy sự phát triển của doanh nghiệp nhỏ và vừa...</w:t>
      </w:r>
    </w:p>
    <w:p w14:paraId="6219305B" w14:textId="77777777" w:rsidR="007677D7" w:rsidRPr="007677D7" w:rsidRDefault="007677D7" w:rsidP="007677D7">
      <w:pPr>
        <w:spacing w:before="120" w:after="0" w:line="240" w:lineRule="auto"/>
        <w:jc w:val="both"/>
        <w:rPr>
          <w:rFonts w:ascii="Arial" w:hAnsi="Arial" w:cs="Arial"/>
          <w:b/>
          <w:bCs/>
          <w:sz w:val="20"/>
          <w:szCs w:val="20"/>
          <w:lang w:val="en-AS"/>
        </w:rPr>
      </w:pPr>
      <w:r w:rsidRPr="007677D7">
        <w:rPr>
          <w:rFonts w:ascii="Arial" w:hAnsi="Arial" w:cs="Arial"/>
          <w:b/>
          <w:bCs/>
          <w:sz w:val="20"/>
          <w:szCs w:val="20"/>
          <w:lang w:val="en-AS"/>
        </w:rPr>
        <w:t>7- Tăng cường hợp tác quốc tế trong phát triển khoa học, công nghệ, đổi mới sáng tạo và chuyển đổi số.</w:t>
      </w:r>
    </w:p>
    <w:p w14:paraId="7B610505" w14:textId="77777777" w:rsidR="007677D7" w:rsidRP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Đẩy mạnh hợp tác quốc tế đa phương, song phương với các quốc gia, vùng lãnh thổ, các tập đoàn đa quốc gia có trình độ khoa học, công nghệ, chuyển đổi số phát triển, các tổ chức quốc tế, các viện nghiên cứu hàng đầu thế giới về khoa học, công nghệ và đổi mới sáng tạo; đẩy mạnh ngoại giao công nghệ, thu hút các nguồn lực bên ngoài, góp phần đảm bảo an ninh kinh tế, nâng cao tự chủ về công nghệ.</w:t>
      </w:r>
    </w:p>
    <w:p w14:paraId="35FF8C41" w14:textId="52B04C99" w:rsidR="007677D7" w:rsidRDefault="007677D7" w:rsidP="007677D7">
      <w:pPr>
        <w:spacing w:before="120" w:after="0" w:line="240" w:lineRule="auto"/>
        <w:jc w:val="both"/>
        <w:rPr>
          <w:rFonts w:ascii="Arial" w:hAnsi="Arial" w:cs="Arial"/>
          <w:sz w:val="20"/>
          <w:szCs w:val="20"/>
          <w:lang w:val="en-AS"/>
        </w:rPr>
      </w:pPr>
      <w:r w:rsidRPr="007677D7">
        <w:rPr>
          <w:rFonts w:ascii="Arial" w:hAnsi="Arial" w:cs="Arial"/>
          <w:sz w:val="20"/>
          <w:szCs w:val="20"/>
          <w:lang w:val="en-AS"/>
        </w:rPr>
        <w:t>Tích cực, chủ động tham gia định hình các khuôn khổ, quy tắc, quản trị về khoa học, công nghệ, đổi mới sáng tạo và chuyển đổi số trong các cơ chế hợp tác đa phương; nghiên cứu khả năng tham gia các cơ chế, sáng kiến hợp tác mới về khoa học, công nghệ, đổi mới sáng tạo và chuyển đổi số...</w:t>
      </w:r>
    </w:p>
    <w:p w14:paraId="5BB9CFBB" w14:textId="2FD5DE4E" w:rsidR="007677D7" w:rsidRPr="00AC7E80" w:rsidRDefault="00AC7E80" w:rsidP="007677D7">
      <w:pPr>
        <w:spacing w:before="120" w:after="0" w:line="240" w:lineRule="auto"/>
        <w:jc w:val="both"/>
        <w:rPr>
          <w:rFonts w:ascii="Arial" w:hAnsi="Arial" w:cs="Arial"/>
          <w:b/>
          <w:bCs/>
          <w:sz w:val="20"/>
          <w:szCs w:val="20"/>
          <w:lang w:val="en-AS"/>
        </w:rPr>
      </w:pPr>
      <w:r>
        <w:rPr>
          <w:rFonts w:ascii="Arial" w:hAnsi="Arial" w:cs="Arial"/>
          <w:b/>
          <w:bCs/>
          <w:sz w:val="20"/>
          <w:szCs w:val="20"/>
          <w:lang w:val="en-AS"/>
        </w:rPr>
        <w:t>PV</w:t>
      </w:r>
    </w:p>
    <w:p w14:paraId="13D83071" w14:textId="77777777" w:rsidR="007677D7" w:rsidRPr="007677D7" w:rsidRDefault="007677D7" w:rsidP="007677D7">
      <w:pPr>
        <w:spacing w:before="120" w:after="0" w:line="240" w:lineRule="auto"/>
        <w:jc w:val="both"/>
        <w:rPr>
          <w:rFonts w:ascii="Arial" w:hAnsi="Arial" w:cs="Arial"/>
          <w:b/>
          <w:bCs/>
          <w:sz w:val="20"/>
          <w:szCs w:val="20"/>
          <w:lang w:val="en-AS"/>
        </w:rPr>
      </w:pPr>
    </w:p>
    <w:p w14:paraId="563774D6" w14:textId="77777777" w:rsidR="00100810" w:rsidRPr="007677D7" w:rsidRDefault="00100810" w:rsidP="007677D7">
      <w:pPr>
        <w:spacing w:before="120" w:after="0" w:line="240" w:lineRule="auto"/>
        <w:jc w:val="both"/>
        <w:rPr>
          <w:rFonts w:ascii="Arial" w:hAnsi="Arial" w:cs="Arial"/>
          <w:sz w:val="20"/>
          <w:szCs w:val="20"/>
        </w:rPr>
      </w:pPr>
    </w:p>
    <w:sectPr w:rsidR="00100810" w:rsidRPr="00767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D7"/>
    <w:rsid w:val="000C50FC"/>
    <w:rsid w:val="000F1D39"/>
    <w:rsid w:val="00100810"/>
    <w:rsid w:val="007677D7"/>
    <w:rsid w:val="00AC7E80"/>
    <w:rsid w:val="00D8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224C"/>
  <w15:chartTrackingRefBased/>
  <w15:docId w15:val="{E2E96081-B24F-4FCD-8CF1-C87B1878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7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7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77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77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77D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77D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77D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7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7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7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77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77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77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77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77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7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7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7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77D7"/>
    <w:pPr>
      <w:spacing w:before="160"/>
      <w:jc w:val="center"/>
    </w:pPr>
    <w:rPr>
      <w:i/>
      <w:iCs/>
      <w:color w:val="404040" w:themeColor="text1" w:themeTint="BF"/>
    </w:rPr>
  </w:style>
  <w:style w:type="character" w:customStyle="1" w:styleId="QuoteChar">
    <w:name w:val="Quote Char"/>
    <w:basedOn w:val="DefaultParagraphFont"/>
    <w:link w:val="Quote"/>
    <w:uiPriority w:val="29"/>
    <w:rsid w:val="007677D7"/>
    <w:rPr>
      <w:i/>
      <w:iCs/>
      <w:color w:val="404040" w:themeColor="text1" w:themeTint="BF"/>
    </w:rPr>
  </w:style>
  <w:style w:type="paragraph" w:styleId="ListParagraph">
    <w:name w:val="List Paragraph"/>
    <w:basedOn w:val="Normal"/>
    <w:uiPriority w:val="34"/>
    <w:qFormat/>
    <w:rsid w:val="007677D7"/>
    <w:pPr>
      <w:ind w:left="720"/>
      <w:contextualSpacing/>
    </w:pPr>
  </w:style>
  <w:style w:type="character" w:styleId="IntenseEmphasis">
    <w:name w:val="Intense Emphasis"/>
    <w:basedOn w:val="DefaultParagraphFont"/>
    <w:uiPriority w:val="21"/>
    <w:qFormat/>
    <w:rsid w:val="007677D7"/>
    <w:rPr>
      <w:i/>
      <w:iCs/>
      <w:color w:val="0F4761" w:themeColor="accent1" w:themeShade="BF"/>
    </w:rPr>
  </w:style>
  <w:style w:type="paragraph" w:styleId="IntenseQuote">
    <w:name w:val="Intense Quote"/>
    <w:basedOn w:val="Normal"/>
    <w:next w:val="Normal"/>
    <w:link w:val="IntenseQuoteChar"/>
    <w:uiPriority w:val="30"/>
    <w:qFormat/>
    <w:rsid w:val="0076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7D7"/>
    <w:rPr>
      <w:i/>
      <w:iCs/>
      <w:color w:val="0F4761" w:themeColor="accent1" w:themeShade="BF"/>
    </w:rPr>
  </w:style>
  <w:style w:type="character" w:styleId="IntenseReference">
    <w:name w:val="Intense Reference"/>
    <w:basedOn w:val="DefaultParagraphFont"/>
    <w:uiPriority w:val="32"/>
    <w:qFormat/>
    <w:rsid w:val="00767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5439">
      <w:bodyDiv w:val="1"/>
      <w:marLeft w:val="0"/>
      <w:marRight w:val="0"/>
      <w:marTop w:val="0"/>
      <w:marBottom w:val="0"/>
      <w:divBdr>
        <w:top w:val="none" w:sz="0" w:space="0" w:color="auto"/>
        <w:left w:val="none" w:sz="0" w:space="0" w:color="auto"/>
        <w:bottom w:val="none" w:sz="0" w:space="0" w:color="auto"/>
        <w:right w:val="none" w:sz="0" w:space="0" w:color="auto"/>
      </w:divBdr>
    </w:div>
    <w:div w:id="770853044">
      <w:bodyDiv w:val="1"/>
      <w:marLeft w:val="0"/>
      <w:marRight w:val="0"/>
      <w:marTop w:val="0"/>
      <w:marBottom w:val="0"/>
      <w:divBdr>
        <w:top w:val="none" w:sz="0" w:space="0" w:color="auto"/>
        <w:left w:val="none" w:sz="0" w:space="0" w:color="auto"/>
        <w:bottom w:val="none" w:sz="0" w:space="0" w:color="auto"/>
        <w:right w:val="none" w:sz="0" w:space="0" w:color="auto"/>
      </w:divBdr>
    </w:div>
    <w:div w:id="876115339">
      <w:bodyDiv w:val="1"/>
      <w:marLeft w:val="0"/>
      <w:marRight w:val="0"/>
      <w:marTop w:val="0"/>
      <w:marBottom w:val="0"/>
      <w:divBdr>
        <w:top w:val="none" w:sz="0" w:space="0" w:color="auto"/>
        <w:left w:val="none" w:sz="0" w:space="0" w:color="auto"/>
        <w:bottom w:val="none" w:sz="0" w:space="0" w:color="auto"/>
        <w:right w:val="none" w:sz="0" w:space="0" w:color="auto"/>
      </w:divBdr>
    </w:div>
    <w:div w:id="914700881">
      <w:bodyDiv w:val="1"/>
      <w:marLeft w:val="0"/>
      <w:marRight w:val="0"/>
      <w:marTop w:val="0"/>
      <w:marBottom w:val="0"/>
      <w:divBdr>
        <w:top w:val="none" w:sz="0" w:space="0" w:color="auto"/>
        <w:left w:val="none" w:sz="0" w:space="0" w:color="auto"/>
        <w:bottom w:val="none" w:sz="0" w:space="0" w:color="auto"/>
        <w:right w:val="none" w:sz="0" w:space="0" w:color="auto"/>
      </w:divBdr>
    </w:div>
    <w:div w:id="1163277638">
      <w:bodyDiv w:val="1"/>
      <w:marLeft w:val="0"/>
      <w:marRight w:val="0"/>
      <w:marTop w:val="0"/>
      <w:marBottom w:val="0"/>
      <w:divBdr>
        <w:top w:val="none" w:sz="0" w:space="0" w:color="auto"/>
        <w:left w:val="none" w:sz="0" w:space="0" w:color="auto"/>
        <w:bottom w:val="none" w:sz="0" w:space="0" w:color="auto"/>
        <w:right w:val="none" w:sz="0" w:space="0" w:color="auto"/>
      </w:divBdr>
    </w:div>
    <w:div w:id="18848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canhtbnh@gmail.com</dc:creator>
  <cp:keywords/>
  <dc:description/>
  <cp:lastModifiedBy>canhtbnh@gmail.com</cp:lastModifiedBy>
  <cp:revision>2</cp:revision>
  <dcterms:created xsi:type="dcterms:W3CDTF">2025-04-09T00:26:00Z</dcterms:created>
  <dcterms:modified xsi:type="dcterms:W3CDTF">2025-04-09T00:37:00Z</dcterms:modified>
</cp:coreProperties>
</file>