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CE6BD" w14:textId="3A366F99" w:rsidR="00A95A2A" w:rsidRPr="00CC620F" w:rsidRDefault="00E14DB3" w:rsidP="00CC620F">
      <w:pPr>
        <w:spacing w:before="120" w:after="0" w:line="240" w:lineRule="auto"/>
        <w:contextualSpacing/>
        <w:jc w:val="both"/>
        <w:rPr>
          <w:rFonts w:ascii="Arial" w:eastAsia="Calibri" w:hAnsi="Arial" w:cs="Arial"/>
          <w:kern w:val="0"/>
          <w:sz w:val="20"/>
          <w:szCs w:val="20"/>
          <w14:ligatures w14:val="none"/>
        </w:rPr>
      </w:pPr>
      <w:r w:rsidRPr="00B315C1">
        <w:rPr>
          <w:rFonts w:ascii="Arial" w:eastAsia="Calibri" w:hAnsi="Arial" w:cs="Arial"/>
          <w:kern w:val="0"/>
          <w:sz w:val="20"/>
          <w:szCs w:val="20"/>
          <w14:ligatures w14:val="none"/>
        </w:rPr>
        <w:t xml:space="preserve">Ông Giacomo Merello </w:t>
      </w:r>
      <w:r w:rsidR="00A95A2A" w:rsidRPr="00B315C1">
        <w:rPr>
          <w:rFonts w:ascii="Arial" w:eastAsia="Calibri" w:hAnsi="Arial" w:cs="Arial"/>
          <w:kern w:val="0"/>
          <w:sz w:val="20"/>
          <w:szCs w:val="20"/>
          <w14:ligatures w14:val="none"/>
        </w:rPr>
        <w:t xml:space="preserve">cho biết, Blockchain đang mở ra một kỷ nguyên mới cho tài sản bảo đảm. Được định nghĩa là mạng lưới máy tính phi tập trung lưu trữ giao dịch trên một sổ cái chung, Blockchain đã tạo nên các tài sản số như Bitcoin, Ethereum và Stablecoin. Theo ông Giacomo Merello, các loại tài sản này ngày càng được sử dụng trực tiếp làm tài sản thế chấp, với các ngân hàng như Bitcoin Suisse đã triển khai dịch vụ cho vay dựa trên tiền mã hóa. </w:t>
      </w:r>
      <w:bookmarkStart w:id="0" w:name="_GoBack"/>
      <w:bookmarkEnd w:id="0"/>
    </w:p>
    <w:p w14:paraId="5A31FB66" w14:textId="77777777" w:rsidR="00A95A2A" w:rsidRPr="00B315C1" w:rsidRDefault="00A95A2A" w:rsidP="00B315C1">
      <w:pPr>
        <w:spacing w:before="120" w:after="0" w:line="240" w:lineRule="auto"/>
        <w:contextualSpacing/>
        <w:jc w:val="both"/>
        <w:rPr>
          <w:rFonts w:ascii="Arial" w:eastAsia="Calibri" w:hAnsi="Arial" w:cs="Arial"/>
          <w:kern w:val="0"/>
          <w:sz w:val="20"/>
          <w:szCs w:val="20"/>
          <w14:ligatures w14:val="none"/>
        </w:rPr>
      </w:pPr>
      <w:r w:rsidRPr="00B315C1">
        <w:rPr>
          <w:rFonts w:ascii="Arial" w:eastAsia="Calibri" w:hAnsi="Arial" w:cs="Arial"/>
          <w:kern w:val="0"/>
          <w:sz w:val="20"/>
          <w:szCs w:val="20"/>
          <w14:ligatures w14:val="none"/>
        </w:rPr>
        <w:t>Trong đó, Stablecoin (ví dụ USDT, USDC) nổi bật với giá trị ổn định khi neo 1:1 với tiền pháp định, giúp phục vụ thanh toán và tài chính phi tập trung (DeFi). Ngược lại, tiền mã hóa như BTC, ETH lại có tính biến động cao, chủ yếu dùng làm kho lưu trữ giá trị. Hiện tại, stablecoin đang chịu sự giám sát chặt chẽ dưới các quy định như MiCA ở châu Âu, trong khi Singapore đã công nhận hợp pháp Stablecoin như một loại tài sản.</w:t>
      </w:r>
    </w:p>
    <w:p w14:paraId="4A8669CC" w14:textId="35ECCDC8" w:rsidR="00A95A2A" w:rsidRPr="00B315C1" w:rsidRDefault="00A95A2A" w:rsidP="00B315C1">
      <w:pPr>
        <w:spacing w:before="120" w:after="0" w:line="240" w:lineRule="auto"/>
        <w:contextualSpacing/>
        <w:jc w:val="both"/>
        <w:rPr>
          <w:rFonts w:ascii="Arial" w:eastAsia="Calibri" w:hAnsi="Arial" w:cs="Arial"/>
          <w:kern w:val="0"/>
          <w:sz w:val="20"/>
          <w:szCs w:val="20"/>
          <w14:ligatures w14:val="none"/>
        </w:rPr>
      </w:pPr>
      <w:r w:rsidRPr="00B315C1">
        <w:rPr>
          <w:rFonts w:ascii="Arial" w:eastAsia="Calibri" w:hAnsi="Arial" w:cs="Arial"/>
          <w:kern w:val="0"/>
          <w:sz w:val="20"/>
          <w:szCs w:val="20"/>
          <w14:ligatures w14:val="none"/>
        </w:rPr>
        <w:t>Tuy nhiên, việc sử dụng tài sản số làm tài sản bảo đảm đang đối mặt với nhiều thách thức pháp lý. Các luật thế chấp truyền thống chưa cập nhật khái niệm tài sản số, dẫn tới sự dè dặt từ phía ngân hàng. Bên cạnh đó, giao dịch Blockchain không thể đảo ngược và rủi ro từ lỗi hợp đồng thông minh hoặc sự thiếu nhất quán trong luật pháp quốc tế cũng làm phức tạp thêm việc bảo vệ quyền lợi các bên liên quan.</w:t>
      </w:r>
    </w:p>
    <w:p w14:paraId="2195869C" w14:textId="589F4E1E" w:rsidR="00A95A2A" w:rsidRPr="00B315C1" w:rsidRDefault="00A95A2A" w:rsidP="00B315C1">
      <w:pPr>
        <w:spacing w:before="120" w:after="0" w:line="240" w:lineRule="auto"/>
        <w:contextualSpacing/>
        <w:jc w:val="both"/>
        <w:rPr>
          <w:rFonts w:ascii="Arial" w:eastAsia="Calibri" w:hAnsi="Arial" w:cs="Arial"/>
          <w:kern w:val="0"/>
          <w:sz w:val="20"/>
          <w:szCs w:val="20"/>
          <w14:ligatures w14:val="none"/>
        </w:rPr>
      </w:pPr>
      <w:r w:rsidRPr="00B315C1">
        <w:rPr>
          <w:rFonts w:ascii="Arial" w:eastAsia="Calibri" w:hAnsi="Arial" w:cs="Arial"/>
          <w:kern w:val="0"/>
          <w:sz w:val="20"/>
          <w:szCs w:val="20"/>
          <w14:ligatures w14:val="none"/>
        </w:rPr>
        <w:t xml:space="preserve">Dù vậy, một số quốc gia đã tiên phong trong lĩnh vực này. Thụy Sĩ, vào tháng </w:t>
      </w:r>
      <w:r w:rsidR="00BE5F53" w:rsidRPr="00B315C1">
        <w:rPr>
          <w:rFonts w:ascii="Arial" w:eastAsia="Calibri" w:hAnsi="Arial" w:cs="Arial"/>
          <w:kern w:val="0"/>
          <w:sz w:val="20"/>
          <w:szCs w:val="20"/>
          <w14:ligatures w14:val="none"/>
        </w:rPr>
        <w:t>0</w:t>
      </w:r>
      <w:r w:rsidRPr="00B315C1">
        <w:rPr>
          <w:rFonts w:ascii="Arial" w:eastAsia="Calibri" w:hAnsi="Arial" w:cs="Arial"/>
          <w:kern w:val="0"/>
          <w:sz w:val="20"/>
          <w:szCs w:val="20"/>
          <w14:ligatures w14:val="none"/>
        </w:rPr>
        <w:t>2/2023, trở thành nước đầu tiên chấp nhận trái phiếu số Blockchain làm tài sản repo cho Ngân hàng Trung ương. Đến tháng 02/2025, Sàn giao dịch SIX cũng ra mắt dịch vụ tài sản bảo đảm kỹ thuật số, cho phép thế chấp tiền mã hóa cùng với chứng khoán truyền thống. Ngoài ra, các ngân hàng như Bitcoin Suisse đã phát triển dịch vụ cho vay dựa trên tiền mã hóa với cơ chế lưu trữ an toàn.</w:t>
      </w:r>
    </w:p>
    <w:p w14:paraId="0059DDCD" w14:textId="77777777" w:rsidR="00A95A2A" w:rsidRPr="00B315C1" w:rsidRDefault="00A95A2A" w:rsidP="00B315C1">
      <w:pPr>
        <w:spacing w:before="120" w:after="0" w:line="240" w:lineRule="auto"/>
        <w:contextualSpacing/>
        <w:jc w:val="both"/>
        <w:rPr>
          <w:rFonts w:ascii="Arial" w:eastAsia="Calibri" w:hAnsi="Arial" w:cs="Arial"/>
          <w:kern w:val="0"/>
          <w:sz w:val="20"/>
          <w:szCs w:val="20"/>
          <w14:ligatures w14:val="none"/>
        </w:rPr>
      </w:pPr>
      <w:r w:rsidRPr="00B315C1">
        <w:rPr>
          <w:rFonts w:ascii="Arial" w:eastAsia="Calibri" w:hAnsi="Arial" w:cs="Arial"/>
          <w:kern w:val="0"/>
          <w:sz w:val="20"/>
          <w:szCs w:val="20"/>
          <w14:ligatures w14:val="none"/>
        </w:rPr>
        <w:t>Tương tự, Malta là một trong những quốc gia đầu tiên thiết lập khung pháp lý cho tài sản số từ năm 2018, thúc đẩy token hóa trái phiếu và khoản vay. Quốc gia này cũng nhanh chóng nội luật hóa các quy định EU mới như MiCA, đồng thời nghiên cứu cấp phép cho ngân hàng tiền mã hóa.</w:t>
      </w:r>
    </w:p>
    <w:p w14:paraId="129EADC2" w14:textId="77777777" w:rsidR="00A95A2A" w:rsidRPr="00B315C1" w:rsidRDefault="00A95A2A" w:rsidP="00B315C1">
      <w:pPr>
        <w:spacing w:before="120" w:after="0" w:line="240" w:lineRule="auto"/>
        <w:contextualSpacing/>
        <w:jc w:val="both"/>
        <w:rPr>
          <w:rFonts w:ascii="Arial" w:eastAsia="Calibri" w:hAnsi="Arial" w:cs="Arial"/>
          <w:kern w:val="0"/>
          <w:sz w:val="20"/>
          <w:szCs w:val="20"/>
          <w14:ligatures w14:val="none"/>
        </w:rPr>
      </w:pPr>
      <w:r w:rsidRPr="00B315C1">
        <w:rPr>
          <w:rFonts w:ascii="Arial" w:eastAsia="Calibri" w:hAnsi="Arial" w:cs="Arial"/>
          <w:kern w:val="0"/>
          <w:sz w:val="20"/>
          <w:szCs w:val="20"/>
          <w14:ligatures w14:val="none"/>
        </w:rPr>
        <w:t>Singapore cũng thể hiện vai trò dẫn đầu khu vực với khung cấp phép rõ ràng dưới Đạo luật Dịch vụ Thanh toán (2019), yêu cầu các nhà cung cấp dịch vụ tài sản số phải tuân thủ nghiêm ngặt các quy định về chống rửa tiền và tài trợ khủng bố. Tòa án Singapore đã công nhận tài sản số là tài sản hợp pháp, mở đường cho việc sử dụng chúng trong giao dịch bảo đảm.</w:t>
      </w:r>
    </w:p>
    <w:p w14:paraId="6C7CAC5D" w14:textId="77777777" w:rsidR="00A95A2A" w:rsidRPr="00B315C1" w:rsidRDefault="00A95A2A" w:rsidP="00B315C1">
      <w:pPr>
        <w:spacing w:before="120" w:after="0" w:line="240" w:lineRule="auto"/>
        <w:contextualSpacing/>
        <w:jc w:val="both"/>
        <w:rPr>
          <w:rFonts w:ascii="Arial" w:eastAsia="Calibri" w:hAnsi="Arial" w:cs="Arial"/>
          <w:kern w:val="0"/>
          <w:sz w:val="20"/>
          <w:szCs w:val="20"/>
          <w14:ligatures w14:val="none"/>
        </w:rPr>
      </w:pPr>
      <w:r w:rsidRPr="00B315C1">
        <w:rPr>
          <w:rFonts w:ascii="Arial" w:eastAsia="Calibri" w:hAnsi="Arial" w:cs="Arial"/>
          <w:kern w:val="0"/>
          <w:sz w:val="20"/>
          <w:szCs w:val="20"/>
          <w14:ligatures w14:val="none"/>
        </w:rPr>
        <w:t>Ngoài ra, Antigua &amp; Barbuda và Vương quốc Anh cũng đã có những bước tiến mạnh mẽ trong việc công nhận tài sản số. Đặc biệt, Anh đã ban hành luật chính thức công nhận tiền mã hóa và NFT là tài sản cá nhân, tạo tiền lệ cho xu thế toàn cầu.</w:t>
      </w:r>
    </w:p>
    <w:p w14:paraId="05ED5F89" w14:textId="77777777" w:rsidR="00A95A2A" w:rsidRPr="00B315C1" w:rsidRDefault="00A95A2A" w:rsidP="00B315C1">
      <w:pPr>
        <w:spacing w:before="120" w:after="0" w:line="240" w:lineRule="auto"/>
        <w:contextualSpacing/>
        <w:jc w:val="both"/>
        <w:rPr>
          <w:rFonts w:ascii="Arial" w:eastAsia="Calibri" w:hAnsi="Arial" w:cs="Arial"/>
          <w:kern w:val="0"/>
          <w:sz w:val="20"/>
          <w:szCs w:val="20"/>
          <w14:ligatures w14:val="none"/>
        </w:rPr>
      </w:pPr>
      <w:r w:rsidRPr="00B315C1">
        <w:rPr>
          <w:rFonts w:ascii="Arial" w:eastAsia="Calibri" w:hAnsi="Arial" w:cs="Arial"/>
          <w:kern w:val="0"/>
          <w:sz w:val="20"/>
          <w:szCs w:val="20"/>
          <w14:ligatures w14:val="none"/>
        </w:rPr>
        <w:t>Đối với Việt Nam, ông Giacomo Merello chia sẻ, đây là thời điểm quan trọng. Với hơn 17 triệu người dùng tài sản số và giá trị thị trường trên 100 tỷ USD, Việt Nam đứng thứ 5 thế giới về mức độ quan tâm đến crypto. Việt Nam có cơ hội lớn để học hỏi kinh nghiệm quốc tế, xây dựng hành lang pháp lý rõ ràng, đồng thời chú trọng kiểm soát rủi ro tài chính và phòng chống rửa tiền.</w:t>
      </w:r>
    </w:p>
    <w:p w14:paraId="7E76B819" w14:textId="77777777" w:rsidR="00A95A2A" w:rsidRPr="00B315C1" w:rsidRDefault="00A95A2A" w:rsidP="00B315C1">
      <w:pPr>
        <w:spacing w:before="120" w:after="0" w:line="240" w:lineRule="auto"/>
        <w:contextualSpacing/>
        <w:jc w:val="both"/>
        <w:rPr>
          <w:rFonts w:ascii="Arial" w:eastAsia="Calibri" w:hAnsi="Arial" w:cs="Arial"/>
          <w:kern w:val="0"/>
          <w:sz w:val="20"/>
          <w:szCs w:val="20"/>
          <w14:ligatures w14:val="none"/>
        </w:rPr>
      </w:pPr>
      <w:r w:rsidRPr="00B315C1">
        <w:rPr>
          <w:rFonts w:ascii="Arial" w:eastAsia="Calibri" w:hAnsi="Arial" w:cs="Arial"/>
          <w:kern w:val="0"/>
          <w:sz w:val="20"/>
          <w:szCs w:val="20"/>
          <w14:ligatures w14:val="none"/>
        </w:rPr>
        <w:t>Tài sản Blockchain và tài sản số đang dần trở thành một phần tất yếu trong hệ thống tài chính hiện đại. Nếu tận dụng đúng cách, đây sẽ là động lực chiến lược để các ngân hàng và nhà hoạch định chính sách nắm bắt xu thế tài chính toàn cầu trong tương lai./.</w:t>
      </w:r>
    </w:p>
    <w:p w14:paraId="2B81932A" w14:textId="77777777" w:rsidR="00A95A2A" w:rsidRPr="00B315C1" w:rsidRDefault="00A95A2A" w:rsidP="00B315C1">
      <w:pPr>
        <w:spacing w:before="120" w:after="0" w:line="240" w:lineRule="auto"/>
        <w:contextualSpacing/>
        <w:jc w:val="both"/>
        <w:rPr>
          <w:rFonts w:ascii="Arial" w:eastAsia="Calibri" w:hAnsi="Arial" w:cs="Arial"/>
          <w:b/>
          <w:bCs/>
          <w:kern w:val="0"/>
          <w:sz w:val="20"/>
          <w:szCs w:val="20"/>
          <w14:ligatures w14:val="none"/>
        </w:rPr>
      </w:pPr>
      <w:r w:rsidRPr="00B315C1">
        <w:rPr>
          <w:rFonts w:ascii="Arial" w:eastAsia="Calibri" w:hAnsi="Arial" w:cs="Arial"/>
          <w:b/>
          <w:bCs/>
          <w:kern w:val="0"/>
          <w:sz w:val="20"/>
          <w:szCs w:val="20"/>
          <w14:ligatures w14:val="none"/>
        </w:rPr>
        <w:t>HM</w:t>
      </w:r>
    </w:p>
    <w:sectPr w:rsidR="00A95A2A" w:rsidRPr="00B31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A2A"/>
    <w:rsid w:val="00801D9A"/>
    <w:rsid w:val="008D6995"/>
    <w:rsid w:val="00A95A2A"/>
    <w:rsid w:val="00B315C1"/>
    <w:rsid w:val="00BE5F53"/>
    <w:rsid w:val="00C93A86"/>
    <w:rsid w:val="00CC620F"/>
    <w:rsid w:val="00D96EFC"/>
    <w:rsid w:val="00DA7B96"/>
    <w:rsid w:val="00E1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5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A2A"/>
    <w:rPr>
      <w:rFonts w:eastAsiaTheme="majorEastAsia" w:cstheme="majorBidi"/>
      <w:color w:val="272727" w:themeColor="text1" w:themeTint="D8"/>
    </w:rPr>
  </w:style>
  <w:style w:type="paragraph" w:styleId="Title">
    <w:name w:val="Title"/>
    <w:basedOn w:val="Normal"/>
    <w:next w:val="Normal"/>
    <w:link w:val="TitleChar"/>
    <w:uiPriority w:val="10"/>
    <w:qFormat/>
    <w:rsid w:val="00A95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A2A"/>
    <w:pPr>
      <w:spacing w:before="160"/>
      <w:jc w:val="center"/>
    </w:pPr>
    <w:rPr>
      <w:i/>
      <w:iCs/>
      <w:color w:val="404040" w:themeColor="text1" w:themeTint="BF"/>
    </w:rPr>
  </w:style>
  <w:style w:type="character" w:customStyle="1" w:styleId="QuoteChar">
    <w:name w:val="Quote Char"/>
    <w:basedOn w:val="DefaultParagraphFont"/>
    <w:link w:val="Quote"/>
    <w:uiPriority w:val="29"/>
    <w:rsid w:val="00A95A2A"/>
    <w:rPr>
      <w:i/>
      <w:iCs/>
      <w:color w:val="404040" w:themeColor="text1" w:themeTint="BF"/>
    </w:rPr>
  </w:style>
  <w:style w:type="paragraph" w:styleId="ListParagraph">
    <w:name w:val="List Paragraph"/>
    <w:basedOn w:val="Normal"/>
    <w:uiPriority w:val="34"/>
    <w:qFormat/>
    <w:rsid w:val="00A95A2A"/>
    <w:pPr>
      <w:ind w:left="720"/>
      <w:contextualSpacing/>
    </w:pPr>
  </w:style>
  <w:style w:type="character" w:styleId="IntenseEmphasis">
    <w:name w:val="Intense Emphasis"/>
    <w:basedOn w:val="DefaultParagraphFont"/>
    <w:uiPriority w:val="21"/>
    <w:qFormat/>
    <w:rsid w:val="00A95A2A"/>
    <w:rPr>
      <w:i/>
      <w:iCs/>
      <w:color w:val="0F4761" w:themeColor="accent1" w:themeShade="BF"/>
    </w:rPr>
  </w:style>
  <w:style w:type="paragraph" w:styleId="IntenseQuote">
    <w:name w:val="Intense Quote"/>
    <w:basedOn w:val="Normal"/>
    <w:next w:val="Normal"/>
    <w:link w:val="IntenseQuoteChar"/>
    <w:uiPriority w:val="30"/>
    <w:qFormat/>
    <w:rsid w:val="00A95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A2A"/>
    <w:rPr>
      <w:i/>
      <w:iCs/>
      <w:color w:val="0F4761" w:themeColor="accent1" w:themeShade="BF"/>
    </w:rPr>
  </w:style>
  <w:style w:type="character" w:styleId="IntenseReference">
    <w:name w:val="Intense Reference"/>
    <w:basedOn w:val="DefaultParagraphFont"/>
    <w:uiPriority w:val="32"/>
    <w:qFormat/>
    <w:rsid w:val="00A95A2A"/>
    <w:rPr>
      <w:b/>
      <w:bCs/>
      <w:smallCaps/>
      <w:color w:val="0F4761" w:themeColor="accent1" w:themeShade="BF"/>
      <w:spacing w:val="5"/>
    </w:rPr>
  </w:style>
  <w:style w:type="paragraph" w:styleId="BalloonText">
    <w:name w:val="Balloon Text"/>
    <w:basedOn w:val="Normal"/>
    <w:link w:val="BalloonTextChar"/>
    <w:uiPriority w:val="99"/>
    <w:semiHidden/>
    <w:unhideWhenUsed/>
    <w:rsid w:val="00B31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5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5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A2A"/>
    <w:rPr>
      <w:rFonts w:eastAsiaTheme="majorEastAsia" w:cstheme="majorBidi"/>
      <w:color w:val="272727" w:themeColor="text1" w:themeTint="D8"/>
    </w:rPr>
  </w:style>
  <w:style w:type="paragraph" w:styleId="Title">
    <w:name w:val="Title"/>
    <w:basedOn w:val="Normal"/>
    <w:next w:val="Normal"/>
    <w:link w:val="TitleChar"/>
    <w:uiPriority w:val="10"/>
    <w:qFormat/>
    <w:rsid w:val="00A95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A2A"/>
    <w:pPr>
      <w:spacing w:before="160"/>
      <w:jc w:val="center"/>
    </w:pPr>
    <w:rPr>
      <w:i/>
      <w:iCs/>
      <w:color w:val="404040" w:themeColor="text1" w:themeTint="BF"/>
    </w:rPr>
  </w:style>
  <w:style w:type="character" w:customStyle="1" w:styleId="QuoteChar">
    <w:name w:val="Quote Char"/>
    <w:basedOn w:val="DefaultParagraphFont"/>
    <w:link w:val="Quote"/>
    <w:uiPriority w:val="29"/>
    <w:rsid w:val="00A95A2A"/>
    <w:rPr>
      <w:i/>
      <w:iCs/>
      <w:color w:val="404040" w:themeColor="text1" w:themeTint="BF"/>
    </w:rPr>
  </w:style>
  <w:style w:type="paragraph" w:styleId="ListParagraph">
    <w:name w:val="List Paragraph"/>
    <w:basedOn w:val="Normal"/>
    <w:uiPriority w:val="34"/>
    <w:qFormat/>
    <w:rsid w:val="00A95A2A"/>
    <w:pPr>
      <w:ind w:left="720"/>
      <w:contextualSpacing/>
    </w:pPr>
  </w:style>
  <w:style w:type="character" w:styleId="IntenseEmphasis">
    <w:name w:val="Intense Emphasis"/>
    <w:basedOn w:val="DefaultParagraphFont"/>
    <w:uiPriority w:val="21"/>
    <w:qFormat/>
    <w:rsid w:val="00A95A2A"/>
    <w:rPr>
      <w:i/>
      <w:iCs/>
      <w:color w:val="0F4761" w:themeColor="accent1" w:themeShade="BF"/>
    </w:rPr>
  </w:style>
  <w:style w:type="paragraph" w:styleId="IntenseQuote">
    <w:name w:val="Intense Quote"/>
    <w:basedOn w:val="Normal"/>
    <w:next w:val="Normal"/>
    <w:link w:val="IntenseQuoteChar"/>
    <w:uiPriority w:val="30"/>
    <w:qFormat/>
    <w:rsid w:val="00A95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A2A"/>
    <w:rPr>
      <w:i/>
      <w:iCs/>
      <w:color w:val="0F4761" w:themeColor="accent1" w:themeShade="BF"/>
    </w:rPr>
  </w:style>
  <w:style w:type="character" w:styleId="IntenseReference">
    <w:name w:val="Intense Reference"/>
    <w:basedOn w:val="DefaultParagraphFont"/>
    <w:uiPriority w:val="32"/>
    <w:qFormat/>
    <w:rsid w:val="00A95A2A"/>
    <w:rPr>
      <w:b/>
      <w:bCs/>
      <w:smallCaps/>
      <w:color w:val="0F4761" w:themeColor="accent1" w:themeShade="BF"/>
      <w:spacing w:val="5"/>
    </w:rPr>
  </w:style>
  <w:style w:type="paragraph" w:styleId="BalloonText">
    <w:name w:val="Balloon Text"/>
    <w:basedOn w:val="Normal"/>
    <w:link w:val="BalloonTextChar"/>
    <w:uiPriority w:val="99"/>
    <w:semiHidden/>
    <w:unhideWhenUsed/>
    <w:rsid w:val="00B31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5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Kim Oanh (TCNH)</dc:creator>
  <cp:keywords/>
  <dc:description/>
  <cp:lastModifiedBy>Administrator</cp:lastModifiedBy>
  <cp:revision>7</cp:revision>
  <dcterms:created xsi:type="dcterms:W3CDTF">2025-04-28T09:09:00Z</dcterms:created>
  <dcterms:modified xsi:type="dcterms:W3CDTF">2025-04-28T09:41:00Z</dcterms:modified>
</cp:coreProperties>
</file>