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F" w:rsidRPr="00C15FA6" w:rsidRDefault="00C15FA6" w:rsidP="00C15FA6">
      <w:pPr>
        <w:jc w:val="both"/>
        <w:rPr>
          <w:sz w:val="20"/>
          <w:szCs w:val="20"/>
        </w:rPr>
      </w:pPr>
      <w:bookmarkStart w:id="0" w:name="_GoBack"/>
      <w:bookmarkEnd w:id="0"/>
      <w:r w:rsidRPr="00C15FA6">
        <w:rPr>
          <w:rFonts w:ascii="Arial" w:hAnsi="Arial" w:cs="Arial"/>
          <w:bCs/>
          <w:sz w:val="20"/>
          <w:szCs w:val="20"/>
        </w:rPr>
        <w:t>Ngày 24/4/2014, Cơ quan Thanh tra, giám sát ngân hàng - Ngân hàng Nhà nước Việt Nam đã ban hành văn bản số 1118/TTGSNH7 khuyến nghị việc tuân thủ FATCA gửi các tổ chức tín dụng, chi nhánh ngân hàng nước ngoài hoạt động tại Việt Nam.</w:t>
      </w:r>
    </w:p>
    <w:sectPr w:rsidR="00E312FF" w:rsidRPr="00C1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A6"/>
    <w:rsid w:val="00380998"/>
    <w:rsid w:val="00C15FA6"/>
    <w:rsid w:val="00E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AMLD-SBV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2</cp:revision>
  <dcterms:created xsi:type="dcterms:W3CDTF">2014-07-02T01:32:00Z</dcterms:created>
  <dcterms:modified xsi:type="dcterms:W3CDTF">2014-07-02T01:32:00Z</dcterms:modified>
</cp:coreProperties>
</file>