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Press release on issuance Circular No.04/2016/TT-NHNN</w:t>
      </w:r>
      <w:r w:rsidRPr="005F2001">
        <w:rPr>
          <w:rFonts w:ascii="Arial" w:hAnsi="Arial" w:cs="Arial"/>
          <w:sz w:val="20"/>
          <w:szCs w:val="20"/>
        </w:rPr>
        <w:t xml:space="preserve"> on April 15th, 2016 on regulating the valuable papers depository and use at the State Bank of Vietnam (SBV).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The SBV Governor issued Circular No.04/2016/TT-NHNN on April 15th, 2016 on regulating the depositing and utilization of valuable papers at the SBV to replace the following documents: Merging Document No. 13/VBHN-NHNN dated May 21st, 2014 on provision on depository of valuable papers  at the SBV; Decision No. 42/2006/QĐ-NHNN dated August 28th, 2006 on revising some contents of Decision No.1022/2004/QĐ-NHNN; Decision No.1022/2004/QĐ-NHNN dated August 17th, 2004 on valuable paper   regulation at the SBV;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 xml:space="preserve">The Circular on the valuable paper depository and </w:t>
      </w:r>
      <w:r w:rsidR="003624EB" w:rsidRPr="005F2001">
        <w:rPr>
          <w:rFonts w:ascii="Arial" w:hAnsi="Arial" w:cs="Arial"/>
          <w:sz w:val="20"/>
          <w:szCs w:val="20"/>
        </w:rPr>
        <w:t>utilization</w:t>
      </w:r>
      <w:r w:rsidRPr="005F2001">
        <w:rPr>
          <w:rFonts w:ascii="Arial" w:hAnsi="Arial" w:cs="Arial"/>
          <w:sz w:val="20"/>
          <w:szCs w:val="20"/>
        </w:rPr>
        <w:t xml:space="preserve"> at the SBV includes 3 parts as followed: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1. General provisions</w:t>
      </w:r>
      <w:r w:rsidRPr="005F2001">
        <w:rPr>
          <w:rFonts w:ascii="Arial" w:hAnsi="Arial" w:cs="Arial"/>
          <w:sz w:val="20"/>
          <w:szCs w:val="20"/>
        </w:rPr>
        <w:t xml:space="preserve"> on Governing scope, implementers, explanation of terms, par value</w:t>
      </w:r>
      <w:r w:rsidRPr="005F2001">
        <w:rPr>
          <w:rFonts w:ascii="Arial" w:hAnsi="Arial" w:cs="Arial"/>
          <w:sz w:val="20"/>
          <w:szCs w:val="20"/>
        </w:rPr>
        <w:t xml:space="preserve"> </w:t>
      </w:r>
      <w:r w:rsidRPr="005F2001">
        <w:rPr>
          <w:rFonts w:ascii="Arial" w:hAnsi="Arial" w:cs="Arial"/>
          <w:sz w:val="20"/>
          <w:szCs w:val="20"/>
        </w:rPr>
        <w:t>valuable paper code, the utilization of valuable paper depository at the SBV.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 xml:space="preserve">2. Specific provisions: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(i): Provision on valuable papers depository includes: Depository member registration, depositing valuable papers, principles on transferring the right of owning valuable papers, payment of principal and interest of valuable papers, valuable papers withdrawal, depository termination;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 xml:space="preserve">(ii) Utilizing valuable papers in open market operations, valuable papers discount, lending mortgage secured by valuable paper, refinancing on the </w:t>
      </w:r>
      <w:r w:rsidR="000B7231">
        <w:rPr>
          <w:rFonts w:ascii="Arial" w:hAnsi="Arial" w:cs="Arial"/>
          <w:sz w:val="20"/>
          <w:szCs w:val="20"/>
        </w:rPr>
        <w:t>basis of special bonds and debt-</w:t>
      </w:r>
      <w:r w:rsidRPr="005F2001">
        <w:rPr>
          <w:rFonts w:ascii="Arial" w:hAnsi="Arial" w:cs="Arial"/>
          <w:sz w:val="20"/>
          <w:szCs w:val="20"/>
        </w:rPr>
        <w:t xml:space="preserve">purchasing bonds used by Vietnam Asset Management Company (VAMC) at market price, collateral </w:t>
      </w:r>
      <w:bookmarkStart w:id="0" w:name="_GoBack"/>
      <w:bookmarkEnd w:id="0"/>
      <w:r w:rsidRPr="005F2001">
        <w:rPr>
          <w:rFonts w:ascii="Arial" w:hAnsi="Arial" w:cs="Arial"/>
          <w:sz w:val="20"/>
          <w:szCs w:val="20"/>
        </w:rPr>
        <w:t xml:space="preserve">depositing valuable papers to set the overdraft limit for overnight loans and net debt limit.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(iii) Valuable paper transactions and purchase among members, the transfer the right of the valuable paper ownership in case of division, separation, merger, consolidation, acquisition and license revocation.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3. Regulations on implementing provisions included responsibilities of the SBV entities, members, transitional terms and defined effective date.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This Circular takes effect from June 1st, 2016</w:t>
      </w:r>
      <w:r w:rsidR="00E57889">
        <w:rPr>
          <w:rFonts w:ascii="Arial" w:hAnsi="Arial" w:cs="Arial"/>
          <w:sz w:val="20"/>
          <w:szCs w:val="20"/>
        </w:rPr>
        <w:t>.</w:t>
      </w:r>
    </w:p>
    <w:p w:rsidR="00A51A49" w:rsidRDefault="005F2001" w:rsidP="005F2001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The State Bank of Vietnam</w:t>
      </w:r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01"/>
    <w:rsid w:val="000B7231"/>
    <w:rsid w:val="003624EB"/>
    <w:rsid w:val="003B5E1B"/>
    <w:rsid w:val="005F2001"/>
    <w:rsid w:val="00672A21"/>
    <w:rsid w:val="00A51A49"/>
    <w:rsid w:val="00E5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4</cp:revision>
  <dcterms:created xsi:type="dcterms:W3CDTF">2016-04-29T06:54:00Z</dcterms:created>
  <dcterms:modified xsi:type="dcterms:W3CDTF">2016-04-29T06:55:00Z</dcterms:modified>
</cp:coreProperties>
</file>