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F" w:rsidRPr="0096131F" w:rsidRDefault="0096131F" w:rsidP="0096131F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Press release on Circular No.15/2016/TT-NHNN </w:t>
      </w:r>
    </w:p>
    <w:p w:rsidR="0096131F" w:rsidRPr="0096131F" w:rsidRDefault="0096131F" w:rsidP="0096131F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/>
          <w:bCs/>
          <w:sz w:val="20"/>
          <w:szCs w:val="20"/>
          <w:shd w:val="clear" w:color="auto" w:fill="FFFFFF"/>
        </w:rPr>
        <w:t>The Governor of the State Bank of Vietnam (SBV) issued Circular No.15/2016/TT-NHNN on June 30, 2016 to revise Circular No.30/2015/TT-NHNN of the SBV Governor dated December 25, 2015 on granting licenses, organization and operation of non-bank credit institutions.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revises several contents on conditions of granting licenses; ensuring conditions to conduct factoring operation; issuing credit cards and  financial leasing; conditions of financial leasing in foreign currencies, purchasing and leasing in foreign currencies in line with the Investment Law on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conditional business lines</w:t>
      </w: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and Resolution No.19/2016/NQ-CP of the Government on main tasks and solutions of improving business environment, enhancing national capacity of competition in 2016-2017, orientation towards 2020.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consists of 4 articles with several main contents as follows: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- Revising contents on founding shareholders, owners, founding members, transfer of contributed capital, repurchase of contributed capital; financial leasing in foreign currencies; and principles of purchasing and leasing;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- Abolishing the regulation on conditions for conducting factoring operation, issuing credit cards; condition for the operations of factoring companies, and providing consumer loans.</w:t>
      </w:r>
    </w:p>
    <w:p w:rsid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took effect from July 1, 2016.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VH </w:t>
      </w:r>
    </w:p>
    <w:p w:rsidR="00EB03C7" w:rsidRPr="0096131F" w:rsidRDefault="00EB03C7" w:rsidP="0096131F">
      <w:pPr>
        <w:jc w:val="both"/>
        <w:rPr>
          <w:rFonts w:ascii="Arial" w:hAnsi="Arial" w:cs="Arial"/>
          <w:sz w:val="20"/>
          <w:szCs w:val="20"/>
        </w:rPr>
      </w:pPr>
    </w:p>
    <w:sectPr w:rsidR="00EB03C7" w:rsidRPr="0096131F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6131F"/>
    <w:rsid w:val="00215D0B"/>
    <w:rsid w:val="0096131F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2016-07-06T10:29:00Z</dcterms:created>
  <dcterms:modified xsi:type="dcterms:W3CDTF">2016-07-06T10:31:00Z</dcterms:modified>
</cp:coreProperties>
</file>