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DB" w:rsidRDefault="00D8272C">
      <w:pPr>
        <w:spacing w:before="180" w:after="180" w:line="360" w:lineRule="auto"/>
        <w:ind w:firstLine="567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Weekly information on banking operations </w:t>
      </w:r>
      <w:r>
        <w:rPr>
          <w:rFonts w:ascii="Arial" w:hAnsi="Arial"/>
          <w:b/>
          <w:bCs/>
          <w:sz w:val="20"/>
          <w:szCs w:val="20"/>
        </w:rPr>
        <w:t>(December 5-9, 2016)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 Mobilizing and lending rates:</w:t>
      </w:r>
      <w:bookmarkStart w:id="0" w:name="_GoBack"/>
      <w:bookmarkEnd w:id="0"/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1.1. Mobilizing rates: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mobilizing rates: During the week several commercial banks slightly decreased their interest rates mostly for below-12-month-terms. The rates were commonly 0.8 - 1%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r>
        <w:rPr>
          <w:rFonts w:ascii="Arial" w:hAnsi="Arial"/>
          <w:sz w:val="20"/>
          <w:szCs w:val="20"/>
        </w:rPr>
        <w:t xml:space="preserve">demand and below 1-month terms, 4.5 - 5.4%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1-to-6-month terms, 5.4 - 6.5%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6-to-12 month terms; and 6.4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7.2%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12-month-plus terms.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mobilizing rates: The USD mobilizing rates were commonly 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individuals and economic in</w:t>
      </w:r>
      <w:r>
        <w:rPr>
          <w:rFonts w:ascii="Arial" w:hAnsi="Arial"/>
          <w:sz w:val="20"/>
          <w:szCs w:val="20"/>
        </w:rPr>
        <w:t>stitutions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1.2. Lending rates: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VND lending rates: The average rates were commonly 6-7%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loans in priority fields, while state-owned commercial banks continued to offer rates of 9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10%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 and long-term loans in priority fiel</w:t>
      </w:r>
      <w:r>
        <w:rPr>
          <w:rFonts w:ascii="Arial" w:hAnsi="Arial"/>
          <w:sz w:val="20"/>
          <w:szCs w:val="20"/>
        </w:rPr>
        <w:t xml:space="preserve">ds. The rates were commonly 6.8% - 9.0%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proofErr w:type="gramStart"/>
      <w:r>
        <w:rPr>
          <w:rFonts w:ascii="Arial" w:hAnsi="Arial"/>
          <w:sz w:val="20"/>
          <w:szCs w:val="20"/>
        </w:rPr>
        <w:t>short-term,</w:t>
      </w:r>
      <w:proofErr w:type="gramEnd"/>
      <w:r>
        <w:rPr>
          <w:rFonts w:ascii="Arial" w:hAnsi="Arial"/>
          <w:sz w:val="20"/>
          <w:szCs w:val="20"/>
        </w:rPr>
        <w:t xml:space="preserve"> and 9.3%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11.0%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applicable to those </w:t>
      </w:r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>
        <w:rPr>
          <w:rFonts w:ascii="Arial" w:hAnsi="Arial"/>
          <w:sz w:val="20"/>
          <w:szCs w:val="20"/>
        </w:rPr>
        <w:t xml:space="preserve">good loan-repayment track records, as </w:t>
      </w:r>
      <w:r>
        <w:rPr>
          <w:rFonts w:ascii="Arial" w:hAnsi="Arial"/>
          <w:sz w:val="20"/>
          <w:szCs w:val="20"/>
        </w:rPr>
        <w:t>well as strong and transparent finances.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lending rates were commonly 2.8%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6.0% p.a. The rates were 2.8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4.8%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and 4.9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6.0%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medium- and long-term loans.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lending rates were as follows:</w:t>
      </w:r>
    </w:p>
    <w:tbl>
      <w:tblPr>
        <w:tblW w:w="7095" w:type="dxa"/>
        <w:jc w:val="center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8"/>
        <w:gridCol w:w="2276"/>
        <w:gridCol w:w="1433"/>
        <w:gridCol w:w="1298"/>
      </w:tblGrid>
      <w:tr w:rsidR="00BE2DDB">
        <w:trPr>
          <w:trHeight w:val="877"/>
          <w:jc w:val="center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Groups of commercial ba</w:t>
            </w:r>
            <w:r>
              <w:rPr>
                <w:rFonts w:ascii="Arial" w:hAnsi="Arial"/>
                <w:sz w:val="20"/>
                <w:szCs w:val="20"/>
              </w:rPr>
              <w:t>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Currency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Short term</w:t>
            </w: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Medium and long terms</w:t>
            </w: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BE2DDB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VND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applicable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6.8-8.5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9.3-10.3</w:t>
            </w:r>
          </w:p>
        </w:tc>
      </w:tr>
      <w:tr w:rsidR="00BE2DDB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hd w:val="clear" w:color="auto" w:fill="FFFFFF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6.0-7.0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9.0-10.0</w:t>
            </w:r>
          </w:p>
        </w:tc>
      </w:tr>
      <w:tr w:rsidR="00BE2DDB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2.8-4.3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4.9-6.0</w:t>
            </w:r>
          </w:p>
        </w:tc>
      </w:tr>
      <w:tr w:rsidR="00BE2DDB">
        <w:trPr>
          <w:trHeight w:val="550"/>
          <w:jc w:val="center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 xml:space="preserve">joint stock commercial 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banks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ordinary loans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7.8-9.0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10.0-11.0</w:t>
            </w:r>
          </w:p>
        </w:tc>
      </w:tr>
      <w:tr w:rsidR="00BE2DDB">
        <w:trPr>
          <w:trHeight w:val="882"/>
          <w:jc w:val="center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BE2DDB">
            <w:pPr>
              <w:pStyle w:val="Body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7.0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10.0-10.5</w:t>
            </w:r>
          </w:p>
        </w:tc>
      </w:tr>
      <w:tr w:rsidR="00BE2DDB">
        <w:trPr>
          <w:trHeight w:val="315"/>
          <w:jc w:val="center"/>
        </w:trPr>
        <w:tc>
          <w:tcPr>
            <w:tcW w:w="2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2DDB" w:rsidRDefault="00BE2DDB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4.2-4.8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5.0-6.0</w:t>
            </w:r>
          </w:p>
        </w:tc>
      </w:tr>
    </w:tbl>
    <w:p w:rsidR="00BE2DDB" w:rsidRDefault="00BE2DDB">
      <w:pPr>
        <w:pStyle w:val="Body"/>
        <w:widowControl w:val="0"/>
        <w:shd w:val="clear" w:color="auto" w:fill="FFFFFF"/>
        <w:ind w:left="110" w:hanging="110"/>
        <w:jc w:val="center"/>
        <w:rPr>
          <w:rFonts w:ascii="Arial" w:eastAsia="Arial" w:hAnsi="Arial" w:cs="Arial"/>
          <w:sz w:val="20"/>
          <w:szCs w:val="20"/>
        </w:rPr>
      </w:pPr>
    </w:p>
    <w:p w:rsidR="00BE2DDB" w:rsidRDefault="00BE2DDB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</w:t>
      </w:r>
      <w:r>
        <w:rPr>
          <w:rFonts w:ascii="Arial" w:hAnsi="Arial"/>
          <w:b/>
          <w:bCs/>
          <w:sz w:val="20"/>
          <w:szCs w:val="20"/>
        </w:rPr>
        <w:t> </w:t>
      </w:r>
      <w:r>
        <w:rPr>
          <w:rFonts w:ascii="Arial" w:hAnsi="Arial"/>
          <w:b/>
          <w:bCs/>
          <w:sz w:val="20"/>
          <w:szCs w:val="20"/>
        </w:rPr>
        <w:t>Inter-bank transaction</w:t>
      </w:r>
      <w:r>
        <w:rPr>
          <w:rFonts w:ascii="Arial" w:hAnsi="Arial"/>
          <w:b/>
          <w:bCs/>
          <w:sz w:val="20"/>
          <w:szCs w:val="20"/>
        </w:rPr>
        <w:t> </w:t>
      </w:r>
      <w:r>
        <w:rPr>
          <w:rFonts w:ascii="Arial" w:hAnsi="Arial"/>
          <w:b/>
          <w:bCs/>
          <w:sz w:val="20"/>
          <w:szCs w:val="20"/>
        </w:rPr>
        <w:t>turnover: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hAnsi="Arial"/>
          <w:b/>
          <w:bCs/>
          <w:sz w:val="20"/>
          <w:szCs w:val="20"/>
          <w:lang w:val="fr-FR"/>
        </w:rPr>
        <w:t>2.1. Transactions: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According to reports from </w:t>
      </w:r>
      <w:r>
        <w:rPr>
          <w:rFonts w:ascii="Arial" w:hAnsi="Arial"/>
          <w:sz w:val="20"/>
          <w:szCs w:val="20"/>
        </w:rPr>
        <w:t>credit institutions and Vietnamese-based foreign banks, the total amount of transactions on the inter-bank market reached about VND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130,959 billion, an increase of VND 1,745 billion as compared to the week of November 28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December 2, 2016, while the USD a</w:t>
      </w:r>
      <w:r>
        <w:rPr>
          <w:rFonts w:ascii="Arial" w:hAnsi="Arial"/>
          <w:sz w:val="20"/>
          <w:szCs w:val="20"/>
        </w:rPr>
        <w:t>mount was equivalent to VND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59,756 billion, a decrease of VND 13,383 billion as compared to the previous week.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Most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 xml:space="preserve">VND transactions were overnight and 1-week terms (accounting for 42% and 32% of the total amount of VND transactions respectively). </w:t>
      </w:r>
      <w:r>
        <w:rPr>
          <w:rFonts w:ascii="Arial" w:hAnsi="Arial"/>
          <w:sz w:val="20"/>
          <w:szCs w:val="20"/>
        </w:rPr>
        <w:t>Transactions in USD were mostly overnight and 1-week terms, accounting for 41% and 16% of the total amount of USD transactions respectively.</w:t>
      </w:r>
    </w:p>
    <w:p w:rsidR="00BE2DDB" w:rsidRDefault="00BE2DDB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2.2. The average inter-bank interest rates: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</w:t>
      </w:r>
      <w:r>
        <w:rPr>
          <w:rFonts w:ascii="Arial" w:hAnsi="Arial"/>
          <w:sz w:val="20"/>
          <w:szCs w:val="20"/>
        </w:rPr>
        <w:t>  </w:t>
      </w:r>
      <w:r>
        <w:rPr>
          <w:rFonts w:ascii="Arial" w:hAnsi="Arial"/>
          <w:sz w:val="20"/>
          <w:szCs w:val="20"/>
        </w:rPr>
        <w:t xml:space="preserve">VND transactions: As compared to the week of November 28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Decemb</w:t>
      </w:r>
      <w:r>
        <w:rPr>
          <w:rFonts w:ascii="Arial" w:hAnsi="Arial"/>
          <w:sz w:val="20"/>
          <w:szCs w:val="20"/>
        </w:rPr>
        <w:t xml:space="preserve">er 2, 2016, the inter-bank interest rates were on an upward trend for most key terms below one month. Specifically, the rate for overnight, 1-week and 1-month terms increased by 0.43, 0.72, 0.67 percentage points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to 3.06%, 3.81% and 4.19%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</w:t>
      </w:r>
      <w:r>
        <w:rPr>
          <w:rFonts w:ascii="Arial" w:hAnsi="Arial"/>
          <w:sz w:val="20"/>
          <w:szCs w:val="20"/>
        </w:rPr>
        <w:t>ely.</w:t>
      </w: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 USD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fr-FR"/>
        </w:rPr>
        <w:t xml:space="preserve">transactions: </w:t>
      </w:r>
      <w:r>
        <w:rPr>
          <w:rFonts w:ascii="Arial" w:hAnsi="Arial"/>
          <w:sz w:val="20"/>
          <w:szCs w:val="20"/>
        </w:rPr>
        <w:t>The average inter-bank interest rates of most key terms below one month were in an upward trend. Specifically, the average inter-bank interest-rates for overnights, 1-week terms and 1-month terms increased to 0.49%, 0.60% and 0.9</w:t>
      </w:r>
      <w:r>
        <w:rPr>
          <w:rFonts w:ascii="Arial" w:hAnsi="Arial"/>
          <w:sz w:val="20"/>
          <w:szCs w:val="20"/>
        </w:rPr>
        <w:t xml:space="preserve">3%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respectively. </w:t>
      </w:r>
    </w:p>
    <w:p w:rsidR="00BE2DDB" w:rsidRDefault="00D8272C">
      <w:pPr>
        <w:spacing w:after="12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average inter-bank interest rates were as follows:</w:t>
      </w:r>
    </w:p>
    <w:tbl>
      <w:tblPr>
        <w:tblW w:w="8158" w:type="dxa"/>
        <w:jc w:val="center"/>
        <w:tblInd w:w="8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1106"/>
        <w:gridCol w:w="1113"/>
        <w:gridCol w:w="1047"/>
        <w:gridCol w:w="1049"/>
        <w:gridCol w:w="1209"/>
        <w:gridCol w:w="1063"/>
        <w:gridCol w:w="863"/>
      </w:tblGrid>
      <w:tr w:rsidR="00BE2DDB" w:rsidTr="00F678ED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Term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Over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night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2 weeks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>month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3 months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6 months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9 months</w:t>
            </w:r>
          </w:p>
        </w:tc>
      </w:tr>
      <w:tr w:rsidR="00BE2DDB" w:rsidTr="00F678ED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VND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3.06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3.81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4.19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4.89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5.26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5.80</w:t>
            </w:r>
          </w:p>
        </w:tc>
      </w:tr>
      <w:tr w:rsidR="00BE2DDB" w:rsidTr="00F678ED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pStyle w:val="Body"/>
              <w:spacing w:line="360" w:lineRule="auto"/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0.49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0.60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0.93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1.50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1.77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E2DDB" w:rsidRDefault="00D8272C">
            <w:pPr>
              <w:spacing w:line="360" w:lineRule="auto"/>
              <w:jc w:val="both"/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BE2DDB" w:rsidRDefault="00BE2DDB">
      <w:pPr>
        <w:spacing w:after="120" w:line="360" w:lineRule="auto"/>
        <w:ind w:firstLine="720"/>
        <w:jc w:val="both"/>
        <w:rPr>
          <w:rFonts w:ascii="Arial" w:eastAsia="Arial" w:hAnsi="Arial" w:cs="Arial"/>
          <w:sz w:val="20"/>
          <w:szCs w:val="20"/>
        </w:rPr>
      </w:pPr>
    </w:p>
    <w:p w:rsidR="00BE2DDB" w:rsidRDefault="00D8272C">
      <w:pPr>
        <w:pStyle w:val="Body"/>
        <w:shd w:val="clear" w:color="auto" w:fill="FFFFFF"/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3. </w:t>
      </w:r>
      <w:proofErr w:type="spellStart"/>
      <w:r>
        <w:rPr>
          <w:rFonts w:ascii="Arial" w:hAnsi="Arial"/>
          <w:b/>
          <w:bCs/>
          <w:sz w:val="20"/>
          <w:szCs w:val="20"/>
        </w:rPr>
        <w:t>Forex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market: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buying and selling VND/USD exchange rate quoted at the end of trading day by </w:t>
      </w:r>
      <w:proofErr w:type="spellStart"/>
      <w:r>
        <w:rPr>
          <w:rFonts w:ascii="Arial" w:hAnsi="Arial"/>
          <w:sz w:val="20"/>
          <w:szCs w:val="20"/>
        </w:rPr>
        <w:t>Vietcombank</w:t>
      </w:r>
      <w:proofErr w:type="spellEnd"/>
      <w:r>
        <w:rPr>
          <w:rFonts w:ascii="Arial" w:hAnsi="Arial"/>
          <w:sz w:val="20"/>
          <w:szCs w:val="20"/>
        </w:rPr>
        <w:t xml:space="preserve"> increased slightly on the first two days of the week as compared to the previous week. Specifically, the exchange rate increased to 22,620/22,700 VND/USD, then gra</w:t>
      </w:r>
      <w:r>
        <w:rPr>
          <w:rFonts w:ascii="Arial" w:hAnsi="Arial"/>
          <w:sz w:val="20"/>
          <w:szCs w:val="20"/>
        </w:rPr>
        <w:t xml:space="preserve">dually decreased to 22,530/22,610 on the last day of the week (decreased by 125 VND/USD for buying and selling prices as compared to the final trading day of the previous week). </w:t>
      </w:r>
    </w:p>
    <w:p w:rsidR="00BE2DDB" w:rsidRDefault="00D8272C">
      <w:pPr>
        <w:pStyle w:val="Body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SBV will continue to conduct synchronous measures and utilize monetary po</w:t>
      </w:r>
      <w:r>
        <w:rPr>
          <w:rFonts w:ascii="Arial" w:hAnsi="Arial"/>
          <w:sz w:val="20"/>
          <w:szCs w:val="20"/>
        </w:rPr>
        <w:t xml:space="preserve">licy tools to stabilize the </w:t>
      </w:r>
      <w:proofErr w:type="spellStart"/>
      <w:r>
        <w:rPr>
          <w:rFonts w:ascii="Arial" w:hAnsi="Arial"/>
          <w:sz w:val="20"/>
          <w:szCs w:val="20"/>
        </w:rPr>
        <w:t>forex</w:t>
      </w:r>
      <w:proofErr w:type="spellEnd"/>
      <w:r>
        <w:rPr>
          <w:rFonts w:ascii="Arial" w:hAnsi="Arial"/>
          <w:sz w:val="20"/>
          <w:szCs w:val="20"/>
        </w:rPr>
        <w:t xml:space="preserve"> market and foreign-exchange rates within the set band.</w:t>
      </w:r>
    </w:p>
    <w:p w:rsidR="00BE2DDB" w:rsidRDefault="00D8272C">
      <w:pPr>
        <w:tabs>
          <w:tab w:val="left" w:pos="4452"/>
        </w:tabs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State Bank of Vietnam</w:t>
      </w:r>
    </w:p>
    <w:p w:rsidR="00BE2DDB" w:rsidRDefault="00D8272C">
      <w:pPr>
        <w:tabs>
          <w:tab w:val="left" w:pos="4452"/>
        </w:tabs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Translated by </w:t>
      </w:r>
      <w:proofErr w:type="spellStart"/>
      <w:r>
        <w:rPr>
          <w:rFonts w:ascii="Arial" w:hAnsi="Arial"/>
          <w:sz w:val="20"/>
          <w:szCs w:val="20"/>
        </w:rPr>
        <w:t>Thoa</w:t>
      </w:r>
      <w:proofErr w:type="spellEnd"/>
      <w:r>
        <w:rPr>
          <w:rFonts w:ascii="Arial" w:hAnsi="Arial"/>
          <w:sz w:val="20"/>
          <w:szCs w:val="20"/>
        </w:rPr>
        <w:t xml:space="preserve"> Le</w:t>
      </w:r>
    </w:p>
    <w:p w:rsidR="00BE2DDB" w:rsidRDefault="00BE2DDB">
      <w:pPr>
        <w:pStyle w:val="Body"/>
        <w:shd w:val="clear" w:color="auto" w:fill="FFFFFF"/>
        <w:spacing w:line="360" w:lineRule="auto"/>
        <w:jc w:val="both"/>
      </w:pPr>
    </w:p>
    <w:sectPr w:rsidR="00BE2DDB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2C" w:rsidRDefault="00D8272C">
      <w:r>
        <w:separator/>
      </w:r>
    </w:p>
  </w:endnote>
  <w:endnote w:type="continuationSeparator" w:id="0">
    <w:p w:rsidR="00D8272C" w:rsidRDefault="00D8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DB" w:rsidRDefault="00D8272C">
    <w:pPr>
      <w:pStyle w:val="Foot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345C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2C" w:rsidRDefault="00D8272C">
      <w:r>
        <w:separator/>
      </w:r>
    </w:p>
  </w:footnote>
  <w:footnote w:type="continuationSeparator" w:id="0">
    <w:p w:rsidR="00D8272C" w:rsidRDefault="00D82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DB" w:rsidRDefault="00BE2DD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E2DDB"/>
    <w:rsid w:val="00BE2DDB"/>
    <w:rsid w:val="00D8272C"/>
    <w:rsid w:val="00F345C1"/>
    <w:rsid w:val="00F6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2</cp:revision>
  <dcterms:created xsi:type="dcterms:W3CDTF">2016-12-20T05:34:00Z</dcterms:created>
  <dcterms:modified xsi:type="dcterms:W3CDTF">2016-12-20T05:34:00Z</dcterms:modified>
</cp:coreProperties>
</file>