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8F" w:rsidRDefault="00A630A7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Press Release on issuance of Circular No.32/2016/TT-NHNN</w:t>
      </w:r>
    </w:p>
    <w:p w:rsidR="00BB728F" w:rsidRDefault="00BB728F">
      <w:pPr>
        <w:jc w:val="both"/>
        <w:rPr>
          <w:rFonts w:ascii="Arial" w:eastAsia="Arial" w:hAnsi="Arial" w:cs="Arial"/>
          <w:sz w:val="20"/>
          <w:szCs w:val="20"/>
        </w:rPr>
      </w:pPr>
    </w:p>
    <w:p w:rsidR="00BB728F" w:rsidRDefault="00A630A7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Governor of the State Bank of Vietnam (SBV) issued Circular No. 32/2016/TT-NHNN on December 26, 2016 revising a number of articles included in Circular No.23/2014/TT-NHNN,</w:t>
      </w:r>
      <w:r>
        <w:rPr>
          <w:rFonts w:ascii="Arial" w:hAnsi="Arial"/>
          <w:sz w:val="20"/>
          <w:szCs w:val="20"/>
        </w:rPr>
        <w:t xml:space="preserve"> dated August 19, 2014 on guiding the opening and the utilization of payment accounts at institutions as payment-service providers.</w:t>
      </w:r>
    </w:p>
    <w:p w:rsidR="00BB728F" w:rsidRDefault="00A630A7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issuance of the Circular aims at guiding the opening and utilization of payment accounts in better compliance with appli</w:t>
      </w:r>
      <w:r>
        <w:rPr>
          <w:rFonts w:ascii="Arial" w:hAnsi="Arial"/>
          <w:sz w:val="20"/>
          <w:szCs w:val="20"/>
        </w:rPr>
        <w:t>cable laws, as well as continuing to further simplify the procedures for opening a payment account, thereby better meeting the practical requirements. The main substance of the Circular is as follows:</w:t>
      </w:r>
    </w:p>
    <w:p w:rsidR="00BB728F" w:rsidRDefault="00A630A7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Revising the definition of the holder of an instituti</w:t>
      </w:r>
      <w:r>
        <w:rPr>
          <w:rFonts w:ascii="Arial" w:hAnsi="Arial"/>
          <w:sz w:val="20"/>
          <w:szCs w:val="20"/>
        </w:rPr>
        <w:t xml:space="preserve">on's payment account as follows: </w:t>
      </w:r>
      <w:r>
        <w:rPr>
          <w:rFonts w:ascii="Arial" w:hAnsi="Arial"/>
          <w:sz w:val="20"/>
          <w:szCs w:val="20"/>
        </w:rPr>
        <w:t>“</w:t>
      </w:r>
      <w:r>
        <w:rPr>
          <w:rFonts w:ascii="Arial" w:hAnsi="Arial"/>
          <w:sz w:val="20"/>
          <w:szCs w:val="20"/>
        </w:rPr>
        <w:t>the holder of the payment account of an institution is the institution opening the payment account</w:t>
      </w:r>
      <w:r>
        <w:rPr>
          <w:rFonts w:ascii="Arial" w:hAnsi="Arial"/>
          <w:sz w:val="20"/>
          <w:szCs w:val="20"/>
        </w:rPr>
        <w:t>”</w:t>
      </w:r>
      <w:r>
        <w:rPr>
          <w:rFonts w:ascii="Arial" w:hAnsi="Arial"/>
          <w:sz w:val="20"/>
          <w:szCs w:val="20"/>
        </w:rPr>
        <w:t>, in line with Decree No.80/2016/ND-CP;</w:t>
      </w:r>
    </w:p>
    <w:p w:rsidR="00BB728F" w:rsidRDefault="00A630A7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Permitting individuals from the age of 15 and over (who do not need to have priva</w:t>
      </w:r>
      <w:r>
        <w:rPr>
          <w:rFonts w:ascii="Arial" w:hAnsi="Arial"/>
          <w:sz w:val="20"/>
          <w:szCs w:val="20"/>
        </w:rPr>
        <w:t>te assets) with the capacity for civil acts to open payment accounts; and allowing individuals with perception problems to decide the opening of a payment account through their guardian, in accordance with Decree No. 80/2016/ND-CP and the 2015 Civil Code;</w:t>
      </w:r>
    </w:p>
    <w:p w:rsidR="00BB728F" w:rsidRDefault="00A630A7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Minimizing the amount of translation into Vietnamese required for documents before opening a payment account;</w:t>
      </w:r>
    </w:p>
    <w:p w:rsidR="00BB728F" w:rsidRDefault="00A630A7">
      <w:pPr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Supplementing the regulations on receiving and resolving claims during the utilization of payment accounts.</w:t>
      </w:r>
    </w:p>
    <w:p w:rsidR="00BB728F" w:rsidRDefault="00A630A7">
      <w:pPr>
        <w:tabs>
          <w:tab w:val="left" w:pos="993"/>
        </w:tabs>
        <w:spacing w:before="120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hAnsi="Arial"/>
          <w:sz w:val="20"/>
          <w:szCs w:val="20"/>
          <w:lang w:val="pt-PT"/>
        </w:rPr>
        <w:t>The Circular will take effect from M</w:t>
      </w:r>
      <w:r>
        <w:rPr>
          <w:rFonts w:ascii="Arial" w:hAnsi="Arial"/>
          <w:sz w:val="20"/>
          <w:szCs w:val="20"/>
          <w:lang w:val="pt-PT"/>
        </w:rPr>
        <w:t>arch 01, 2017.</w:t>
      </w:r>
      <w:bookmarkStart w:id="0" w:name="_GoBack"/>
      <w:bookmarkEnd w:id="0"/>
    </w:p>
    <w:p w:rsidR="00BB728F" w:rsidRDefault="00BB728F">
      <w:pPr>
        <w:tabs>
          <w:tab w:val="left" w:pos="6660"/>
        </w:tabs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BB728F" w:rsidRDefault="00BB728F">
      <w:pPr>
        <w:tabs>
          <w:tab w:val="left" w:pos="6660"/>
        </w:tabs>
        <w:spacing w:after="120"/>
        <w:jc w:val="center"/>
      </w:pPr>
    </w:p>
    <w:sectPr w:rsidR="00BB728F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A7" w:rsidRDefault="00A630A7">
      <w:r>
        <w:separator/>
      </w:r>
    </w:p>
  </w:endnote>
  <w:endnote w:type="continuationSeparator" w:id="0">
    <w:p w:rsidR="00A630A7" w:rsidRDefault="00A6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8F" w:rsidRDefault="00BB728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A7" w:rsidRDefault="00A630A7">
      <w:r>
        <w:separator/>
      </w:r>
    </w:p>
  </w:footnote>
  <w:footnote w:type="continuationSeparator" w:id="0">
    <w:p w:rsidR="00A630A7" w:rsidRDefault="00A6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8F" w:rsidRDefault="00BB728F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6ED9"/>
    <w:multiLevelType w:val="hybridMultilevel"/>
    <w:tmpl w:val="9092DB32"/>
    <w:styleLink w:val="Bullets"/>
    <w:lvl w:ilvl="0" w:tplc="B52CD35C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277B0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FABA3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BE3770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64ECF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83BAA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A18A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2314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40521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4FB33FE"/>
    <w:multiLevelType w:val="hybridMultilevel"/>
    <w:tmpl w:val="9092DB32"/>
    <w:numStyleLink w:val="Bullet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B728F"/>
    <w:rsid w:val="008F5D8E"/>
    <w:rsid w:val="00A630A7"/>
    <w:rsid w:val="00B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Bullets">
    <w:name w:val="Bullets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</dc:creator>
  <cp:lastModifiedBy>TTBC</cp:lastModifiedBy>
  <cp:revision>2</cp:revision>
  <dcterms:created xsi:type="dcterms:W3CDTF">2016-12-30T09:21:00Z</dcterms:created>
  <dcterms:modified xsi:type="dcterms:W3CDTF">2016-12-30T09:21:00Z</dcterms:modified>
</cp:coreProperties>
</file>