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59E6" w:rsidRPr="002C76E4" w:rsidRDefault="002C76E4" w:rsidP="003E59E6">
      <w:pPr>
        <w:shd w:val="clear" w:color="auto" w:fill="FFFFFF"/>
        <w:spacing w:after="150" w:line="240" w:lineRule="auto"/>
        <w:jc w:val="both"/>
        <w:rPr>
          <w:rFonts w:ascii="Arial" w:eastAsia="Times New Roman" w:hAnsi="Arial" w:cs="Arial"/>
          <w:b/>
          <w:bCs/>
          <w:color w:val="CD7B2C"/>
          <w:sz w:val="21"/>
          <w:szCs w:val="21"/>
        </w:rPr>
      </w:pPr>
      <w:bookmarkStart w:id="0" w:name="_GoBack"/>
      <w:bookmarkEnd w:id="0"/>
      <w:r w:rsidRPr="002C76E4">
        <w:rPr>
          <w:rFonts w:ascii="Arial" w:eastAsia="Times New Roman" w:hAnsi="Arial" w:cs="Arial"/>
          <w:b/>
          <w:bCs/>
          <w:color w:val="666666"/>
          <w:sz w:val="20"/>
          <w:szCs w:val="20"/>
        </w:rPr>
        <w:t>Ngày 28/06, tại Hà Nội, nhằm tăng cường năng lực phòng, chống rủi ro trong hoạt động của các tổ chức tín dụng (TCTD) theo thông lệ quốc tế, Ủy ban Chính sách thuộc Hiệp hội Ngân hàng Việt Nam (HHNH) phối hợp với Ngân hàng TMCP Kỹ thương Việt Nam (Techcombank) tổ chức tọa đàm với chủ đề “Rủi ro tội phạm tài chính/ rửa tiền mà các TCTD đối mặt và chia sẻ giải pháp, kinh nghiệm triển khai” trong khuôn khổ kế hoạch do Ủy ban Chính sách đề ra trong năm 2023.</w:t>
      </w:r>
    </w:p>
    <w:p w:rsidR="003E59E6" w:rsidRPr="002C76E4" w:rsidRDefault="003E59E6" w:rsidP="003E59E6">
      <w:pPr>
        <w:shd w:val="clear" w:color="auto" w:fill="FFFFFF"/>
        <w:spacing w:after="0" w:line="240" w:lineRule="auto"/>
        <w:jc w:val="both"/>
        <w:rPr>
          <w:rFonts w:ascii="Arial" w:eastAsia="Times New Roman" w:hAnsi="Arial" w:cs="Arial"/>
          <w:i/>
          <w:iCs/>
          <w:color w:val="414142"/>
          <w:sz w:val="17"/>
          <w:szCs w:val="17"/>
        </w:rPr>
      </w:pPr>
      <w:r w:rsidRPr="002C76E4">
        <w:rPr>
          <w:rFonts w:ascii="Arial" w:eastAsia="Times New Roman" w:hAnsi="Arial" w:cs="Arial"/>
          <w:i/>
          <w:iCs/>
          <w:noProof/>
          <w:color w:val="414142"/>
          <w:sz w:val="17"/>
          <w:szCs w:val="17"/>
        </w:rPr>
        <w:drawing>
          <wp:inline distT="0" distB="0" distL="0" distR="0" wp14:anchorId="5E1A7C60" wp14:editId="39224D6F">
            <wp:extent cx="6096000" cy="4990704"/>
            <wp:effectExtent l="0" t="0" r="0" b="635"/>
            <wp:docPr id="4" name="Picture 4" descr="http://www.sbv.gov.vn/webcenter/image/SBV570345/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c_1881774158region:i6" descr="http://www.sbv.gov.vn/webcenter/image/SBV570345/Web"/>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02507" cy="4996031"/>
                    </a:xfrm>
                    <a:prstGeom prst="rect">
                      <a:avLst/>
                    </a:prstGeom>
                    <a:noFill/>
                    <a:ln>
                      <a:noFill/>
                    </a:ln>
                  </pic:spPr>
                </pic:pic>
              </a:graphicData>
            </a:graphic>
          </wp:inline>
        </w:drawing>
      </w:r>
      <w:r w:rsidRPr="002C76E4">
        <w:rPr>
          <w:rFonts w:ascii="Arial" w:eastAsia="Times New Roman" w:hAnsi="Arial" w:cs="Arial"/>
          <w:i/>
          <w:iCs/>
          <w:color w:val="414142"/>
          <w:sz w:val="17"/>
          <w:szCs w:val="17"/>
        </w:rPr>
        <w:br/>
        <w:t>Phó Thống đốc NHNN Phạm Tiến Dũng phát biểu tại tọa đàm</w:t>
      </w:r>
    </w:p>
    <w:p w:rsidR="002C76E4" w:rsidRPr="002C76E4" w:rsidRDefault="002C76E4" w:rsidP="002C76E4">
      <w:pPr>
        <w:shd w:val="clear" w:color="auto" w:fill="FFFFFF"/>
        <w:spacing w:before="120" w:after="0" w:line="240" w:lineRule="auto"/>
        <w:jc w:val="both"/>
        <w:rPr>
          <w:rFonts w:ascii="Calibri" w:eastAsia="Times New Roman" w:hAnsi="Calibri" w:cs="Calibri"/>
          <w:color w:val="666666"/>
        </w:rPr>
      </w:pPr>
      <w:r w:rsidRPr="002C76E4">
        <w:rPr>
          <w:rFonts w:ascii="Arial" w:eastAsia="Times New Roman" w:hAnsi="Arial" w:cs="Arial"/>
          <w:color w:val="666666"/>
          <w:sz w:val="20"/>
          <w:szCs w:val="20"/>
        </w:rPr>
        <w:t>Tọa đàm có sự tham dự của Phó Thống đốc Ngân hàng Nhà nước Việt Nam (NHNN) Phạm Tiến Dũng; đại diện lãnh đạo các đơn vị thuộc NHNN; đại diện lãnh đạo HHNH, Ủy ban Chính sách và các thành viên; đại diện Nhóm Công tác Ngân hàng (BWG), Liên minh Diễn đàn Doanh nghiệp Việt Nam, Câu lạc bộ Pháp chế Ngân hàng, các ngân hàng thương mại (NHTM)…</w:t>
      </w:r>
    </w:p>
    <w:p w:rsidR="002C76E4" w:rsidRPr="002C76E4" w:rsidRDefault="002C76E4" w:rsidP="002C76E4">
      <w:pPr>
        <w:shd w:val="clear" w:color="auto" w:fill="FFFFFF"/>
        <w:spacing w:before="120" w:after="0" w:line="240" w:lineRule="auto"/>
        <w:jc w:val="both"/>
        <w:rPr>
          <w:rFonts w:ascii="Calibri" w:eastAsia="Times New Roman" w:hAnsi="Calibri" w:cs="Calibri"/>
          <w:color w:val="666666"/>
        </w:rPr>
      </w:pPr>
      <w:r w:rsidRPr="002C76E4">
        <w:rPr>
          <w:rFonts w:ascii="Arial" w:eastAsia="Times New Roman" w:hAnsi="Arial" w:cs="Arial"/>
          <w:color w:val="666666"/>
          <w:sz w:val="20"/>
          <w:szCs w:val="20"/>
        </w:rPr>
        <w:t>Mục tiêu buổi tọa đàm nhằm tăng cường nhận thức về rủi ro rửa tiền, hiểu biết về các quy định pháp luật mới về phòng, chống rửa tiền (PCRT), chia sẻ kinh nghiệm triển khai thực tiễn trong quản trị rủi ro rửa tiền/tội phạm tài chính.</w:t>
      </w:r>
    </w:p>
    <w:p w:rsidR="002C76E4" w:rsidRPr="002C76E4" w:rsidRDefault="002C76E4" w:rsidP="002C76E4">
      <w:pPr>
        <w:shd w:val="clear" w:color="auto" w:fill="FFFFFF"/>
        <w:spacing w:before="120" w:after="0" w:line="240" w:lineRule="auto"/>
        <w:jc w:val="both"/>
        <w:rPr>
          <w:rFonts w:ascii="Calibri" w:eastAsia="Times New Roman" w:hAnsi="Calibri" w:cs="Calibri"/>
          <w:color w:val="666666"/>
        </w:rPr>
      </w:pPr>
      <w:r w:rsidRPr="002C76E4">
        <w:rPr>
          <w:rFonts w:ascii="Arial" w:eastAsia="Times New Roman" w:hAnsi="Arial" w:cs="Arial"/>
          <w:color w:val="666666"/>
          <w:sz w:val="20"/>
          <w:szCs w:val="20"/>
        </w:rPr>
        <w:t>Phát biểu khai mạc tọa đàm, ông Nguyễn Quốc Hùng – Phó Chủ tịch kiêm Tổng Thư ký HHNH – cho biết, sau hơn 10 năm triển khai Luật PCRT, mặc dù NHNN cũng như các TCTD tổ chức thực hiện nghiêm túc theo đúng chuẩn mực quốc tế và phù hợp với thực tế hoạt động của các TCTD, song vẫn bộc lộ những hạn chế, bất cập.</w:t>
      </w:r>
    </w:p>
    <w:p w:rsidR="002C76E4" w:rsidRPr="002C76E4" w:rsidRDefault="002C76E4" w:rsidP="002C76E4">
      <w:pPr>
        <w:shd w:val="clear" w:color="auto" w:fill="FFFFFF"/>
        <w:spacing w:before="120" w:after="0" w:line="240" w:lineRule="auto"/>
        <w:jc w:val="both"/>
        <w:rPr>
          <w:rFonts w:ascii="Calibri" w:eastAsia="Times New Roman" w:hAnsi="Calibri" w:cs="Calibri"/>
          <w:color w:val="666666"/>
        </w:rPr>
      </w:pPr>
      <w:r w:rsidRPr="002C76E4">
        <w:rPr>
          <w:rFonts w:ascii="Arial" w:eastAsia="Times New Roman" w:hAnsi="Arial" w:cs="Arial"/>
          <w:color w:val="666666"/>
          <w:sz w:val="20"/>
          <w:szCs w:val="20"/>
        </w:rPr>
        <w:t xml:space="preserve">Để khắc phục những tồn tại và nâng cao hiệu quả, đồng thời xây dựng hệ thống pháp luật về PCRT đáp ứng được yêu cầu, chuẩn mực quốc tế, tại kỳ họp thứ 4 ngày 15/11/2022, Quốc hội Khóa XV đã thông qua </w:t>
      </w:r>
      <w:r w:rsidRPr="002C76E4">
        <w:rPr>
          <w:rFonts w:ascii="Arial" w:eastAsia="Times New Roman" w:hAnsi="Arial" w:cs="Arial"/>
          <w:color w:val="666666"/>
          <w:sz w:val="20"/>
          <w:szCs w:val="20"/>
        </w:rPr>
        <w:lastRenderedPageBreak/>
        <w:t>Luật PCRT số 14/2022/QH15 thay thế Luật PCRT năm 2012. Ngay sau khi luật PCRT được thông qua, NHNN đã phối hợp với Bộ Tư pháp và các cơ quan liên quan trình Thủ tướng Chính phủ ban hành Nghị định số 19/2023/NĐ-CP quy định chi tiết một số điều của Luật PCRT.</w:t>
      </w:r>
    </w:p>
    <w:p w:rsidR="002C76E4" w:rsidRPr="002C76E4" w:rsidRDefault="002C76E4" w:rsidP="002C76E4">
      <w:pPr>
        <w:shd w:val="clear" w:color="auto" w:fill="FFFFFF"/>
        <w:spacing w:before="120" w:after="0" w:line="240" w:lineRule="auto"/>
        <w:jc w:val="both"/>
        <w:rPr>
          <w:rFonts w:ascii="Calibri" w:eastAsia="Times New Roman" w:hAnsi="Calibri" w:cs="Calibri"/>
          <w:color w:val="666666"/>
        </w:rPr>
      </w:pPr>
      <w:r w:rsidRPr="002C76E4">
        <w:rPr>
          <w:rFonts w:ascii="Arial" w:eastAsia="Times New Roman" w:hAnsi="Arial" w:cs="Arial"/>
          <w:color w:val="666666"/>
          <w:sz w:val="20"/>
          <w:szCs w:val="20"/>
        </w:rPr>
        <w:t>Tổng Thư ký HHNH chia sẻ, để công tác PCRT của ngành Ngân hàng góp phần vào cuộc đấu tranh phòng, chống tội phạm nói chung, tội phạm rửa tiền nói riêng và làm minh bạch hệ thống tài chính, NHNN sẽ ban hành Thông tư tạo hành lang pháp lý toàn diện để các TCTD triển khai trong thời gian tới.</w:t>
      </w:r>
    </w:p>
    <w:p w:rsidR="002C76E4" w:rsidRPr="002C76E4" w:rsidRDefault="002C76E4" w:rsidP="002C76E4">
      <w:pPr>
        <w:shd w:val="clear" w:color="auto" w:fill="FFFFFF"/>
        <w:spacing w:before="120" w:after="0" w:line="240" w:lineRule="auto"/>
        <w:jc w:val="both"/>
        <w:rPr>
          <w:rFonts w:ascii="Calibri" w:eastAsia="Times New Roman" w:hAnsi="Calibri" w:cs="Calibri"/>
          <w:color w:val="666666"/>
        </w:rPr>
      </w:pPr>
      <w:r w:rsidRPr="002C76E4">
        <w:rPr>
          <w:rFonts w:ascii="Arial" w:eastAsia="Times New Roman" w:hAnsi="Arial" w:cs="Arial"/>
          <w:color w:val="666666"/>
          <w:sz w:val="20"/>
          <w:szCs w:val="20"/>
        </w:rPr>
        <w:t>Tuy nhiên, với sự phát triển của các công nghệ mới, điện toán đám mây, kinh tế số, ứng dụng số… cùng với yếu tố dịch bệnh đã làm thay đổi thói quen sống và hành vi đầu tư, tiêu dùng của người dân. Các sản phẩm, dịch vụ của các ngân hàng với tốc độ số hóa nhanh và mạnh mẽ đã góp phần thúc đẩy và thu hút số lượng người dùng chuyển từ ngoại tuyến lên trực tuyến, sử dụng nhiều phương thức thanh toán không dùng tiền mặt. Theo đó, các tội phạm nguồn của rửa tiền cũng có sự biến chuyển, trở nên tinh vi và phức tạp hơn.</w:t>
      </w:r>
    </w:p>
    <w:p w:rsidR="002C76E4" w:rsidRPr="002C76E4" w:rsidRDefault="002C76E4" w:rsidP="002C76E4">
      <w:pPr>
        <w:shd w:val="clear" w:color="auto" w:fill="FFFFFF"/>
        <w:spacing w:before="120" w:after="0" w:line="240" w:lineRule="auto"/>
        <w:jc w:val="both"/>
        <w:rPr>
          <w:rFonts w:ascii="Calibri" w:eastAsia="Times New Roman" w:hAnsi="Calibri" w:cs="Calibri"/>
          <w:color w:val="666666"/>
        </w:rPr>
      </w:pPr>
      <w:r w:rsidRPr="002C76E4">
        <w:rPr>
          <w:rFonts w:ascii="Arial" w:eastAsia="Times New Roman" w:hAnsi="Arial" w:cs="Arial"/>
          <w:color w:val="666666"/>
          <w:sz w:val="20"/>
          <w:szCs w:val="20"/>
        </w:rPr>
        <w:t>Tổng Thư ký HHNH Nguyễn Quốc Hùng bày tỏ hi vọng, tọa đàm sẽ là cơ hội để các cơ quan quản lý, các TCTD trao đổi và cập nhật nhiều thông tin hữu ích. Ông Hùng đánh giá cao ý tưởng tổ chức tọa đàm của Ủy ban Chính sách thuộc HHNH, đồng thời mong muốn các diễn giả và đại biểu tích cực thảo luận, chia sẻ kinh nghiệm để triển khai hoạt động phòng ngừa rủi ro rửa tiền hiệu quả.</w:t>
      </w:r>
    </w:p>
    <w:p w:rsidR="002C76E4" w:rsidRPr="002C76E4" w:rsidRDefault="002C76E4" w:rsidP="002C76E4">
      <w:pPr>
        <w:shd w:val="clear" w:color="auto" w:fill="FFFFFF"/>
        <w:spacing w:before="120" w:after="0" w:line="240" w:lineRule="auto"/>
        <w:jc w:val="center"/>
        <w:rPr>
          <w:rFonts w:ascii="Calibri" w:eastAsia="Times New Roman" w:hAnsi="Calibri" w:cs="Calibri"/>
          <w:color w:val="666666"/>
        </w:rPr>
      </w:pPr>
      <w:r w:rsidRPr="002C76E4">
        <w:rPr>
          <w:rFonts w:ascii="Calibri" w:eastAsia="Times New Roman" w:hAnsi="Calibri" w:cs="Calibri"/>
          <w:noProof/>
          <w:color w:val="666666"/>
        </w:rPr>
        <w:drawing>
          <wp:inline distT="0" distB="0" distL="0" distR="0">
            <wp:extent cx="5943600" cy="4162425"/>
            <wp:effectExtent l="0" t="0" r="0" b="9525"/>
            <wp:docPr id="3" name="Picture 3" descr="Tăng cường nhận thức về rủi ro rửa tiề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ăng cường nhận thức về rủi ro rửa tiề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4162425"/>
                    </a:xfrm>
                    <a:prstGeom prst="rect">
                      <a:avLst/>
                    </a:prstGeom>
                    <a:noFill/>
                    <a:ln>
                      <a:noFill/>
                    </a:ln>
                  </pic:spPr>
                </pic:pic>
              </a:graphicData>
            </a:graphic>
          </wp:inline>
        </w:drawing>
      </w:r>
    </w:p>
    <w:p w:rsidR="002C76E4" w:rsidRPr="002C76E4" w:rsidRDefault="002C76E4" w:rsidP="002C76E4">
      <w:pPr>
        <w:shd w:val="clear" w:color="auto" w:fill="FFFFFF"/>
        <w:spacing w:before="120" w:after="0" w:line="240" w:lineRule="auto"/>
        <w:jc w:val="center"/>
        <w:rPr>
          <w:rFonts w:ascii="Calibri" w:eastAsia="Times New Roman" w:hAnsi="Calibri" w:cs="Calibri"/>
          <w:color w:val="666666"/>
        </w:rPr>
      </w:pPr>
      <w:r w:rsidRPr="002C76E4">
        <w:rPr>
          <w:rFonts w:ascii="Arial" w:eastAsia="Times New Roman" w:hAnsi="Arial" w:cs="Arial"/>
          <w:color w:val="666666"/>
          <w:sz w:val="16"/>
          <w:szCs w:val="16"/>
        </w:rPr>
        <w:t>Phó Chủ tịch kiêm Tổng Thư ký HHNH Nguyễn Quốc Hùng phát biểu tại toạ đàm.</w:t>
      </w:r>
    </w:p>
    <w:p w:rsidR="002C76E4" w:rsidRPr="002C76E4" w:rsidRDefault="002C76E4" w:rsidP="002C76E4">
      <w:pPr>
        <w:shd w:val="clear" w:color="auto" w:fill="FFFFFF"/>
        <w:spacing w:before="120" w:after="0" w:line="240" w:lineRule="auto"/>
        <w:jc w:val="both"/>
        <w:rPr>
          <w:rFonts w:ascii="Calibri" w:eastAsia="Times New Roman" w:hAnsi="Calibri" w:cs="Calibri"/>
          <w:color w:val="666666"/>
        </w:rPr>
      </w:pPr>
      <w:r w:rsidRPr="002C76E4">
        <w:rPr>
          <w:rFonts w:ascii="Arial" w:eastAsia="Times New Roman" w:hAnsi="Arial" w:cs="Arial"/>
          <w:color w:val="666666"/>
          <w:sz w:val="20"/>
          <w:szCs w:val="20"/>
        </w:rPr>
        <w:t xml:space="preserve">Chia sẻ tại tọa đàm, ông Trần Phương – Chủ nhiệm Ủy ban Chính sách (HHNH), Phó Tổng Giám đốc Ngân hàng BIDV – cho biết, nhằm thực hiện vai trò là đơn vị tham mưu, tư vấn cho Hội đồng HHNH, hỗ trợ cơ quan thường trực HHNH trong việc giải quyết những vấn đề có tính chất lớn và chuyên sâu về cơ chế, chính sách liên quan đến hoạt động ngân hàng và bảo vệ quyền lợi, lợi ích hợp pháp của các tổ chức hội viên, Ủy ban Chính sách đã nghiên cứu và xây dựng chương trình hoạt động năm 2023, tập trung vào những nội dung nhận được sự quan tâm sâu rộng của các thành viên HHNH trong bối cảnh kinh tế vĩ mô </w:t>
      </w:r>
      <w:r w:rsidRPr="002C76E4">
        <w:rPr>
          <w:rFonts w:ascii="Arial" w:eastAsia="Times New Roman" w:hAnsi="Arial" w:cs="Arial"/>
          <w:color w:val="666666"/>
          <w:sz w:val="20"/>
          <w:szCs w:val="20"/>
        </w:rPr>
        <w:lastRenderedPageBreak/>
        <w:t>nhiều biến động như hiện nay. Trong đó, việc nhận diện, quản lý hiệu quả các rủi ro phát sinh được đánh giá là nhiệm vụ quan trọng, xuyên suốt quá trình hoạt động của các NHTM.</w:t>
      </w:r>
    </w:p>
    <w:p w:rsidR="002C76E4" w:rsidRPr="002C76E4" w:rsidRDefault="002C76E4" w:rsidP="002C76E4">
      <w:pPr>
        <w:shd w:val="clear" w:color="auto" w:fill="FFFFFF"/>
        <w:spacing w:before="120" w:after="0" w:line="240" w:lineRule="auto"/>
        <w:jc w:val="both"/>
        <w:rPr>
          <w:rFonts w:ascii="Calibri" w:eastAsia="Times New Roman" w:hAnsi="Calibri" w:cs="Calibri"/>
          <w:color w:val="666666"/>
        </w:rPr>
      </w:pPr>
      <w:r w:rsidRPr="002C76E4">
        <w:rPr>
          <w:rFonts w:ascii="Arial" w:eastAsia="Times New Roman" w:hAnsi="Arial" w:cs="Arial"/>
          <w:color w:val="666666"/>
          <w:sz w:val="20"/>
          <w:szCs w:val="20"/>
        </w:rPr>
        <w:t>Mặc dù dịch bệnh đã được kiểm soát, Chính phủ ban hành nhiều giải pháp tháo gỡ khó khăn, vướng mắc cho nền kinh tế, tuy nhiên, với tác động cộng hưởng trong và ngoài nước dẫn đến rủi ro phát sinh ngày càng gia tăng, có nhiều chiều hướng phức tạp, như rủi ro về tội phạm tài chính, rửa tiền; rủi ro tuân thủ, rủi ro tài chính; rủi ro uy tín…</w:t>
      </w:r>
    </w:p>
    <w:p w:rsidR="002C76E4" w:rsidRPr="002C76E4" w:rsidRDefault="002C76E4" w:rsidP="002C76E4">
      <w:pPr>
        <w:shd w:val="clear" w:color="auto" w:fill="FFFFFF"/>
        <w:spacing w:before="120" w:after="0" w:line="240" w:lineRule="auto"/>
        <w:jc w:val="both"/>
        <w:rPr>
          <w:rFonts w:ascii="Calibri" w:eastAsia="Times New Roman" w:hAnsi="Calibri" w:cs="Calibri"/>
          <w:color w:val="666666"/>
        </w:rPr>
      </w:pPr>
      <w:r w:rsidRPr="002C76E4">
        <w:rPr>
          <w:rFonts w:ascii="Arial" w:eastAsia="Times New Roman" w:hAnsi="Arial" w:cs="Arial"/>
          <w:color w:val="666666"/>
          <w:sz w:val="20"/>
          <w:szCs w:val="20"/>
        </w:rPr>
        <w:t>Ông Trần Phương mong muốn lắng nghe chia sẻ của các đại biểu về các vấn đề cụ thể như phương thức, thủ đoạn tội phạm tài chính mà các ngân hàng đang gặp phải; những giải pháp, kinh nghiệm triển khai công tác PCRT, phòng chống tội phạm tài chính, hạn chế rủi ro mà các ngân hàng đã áp dụng; nhằm tăng cường nhận thức của các TCTD, nâng cao năng lực phát hiện rủi ro rửa tiền và tội phạm tài chính, hạn chế tối đa tác động tiêu cực với hoạt động của các TCTD.</w:t>
      </w:r>
    </w:p>
    <w:p w:rsidR="002C76E4" w:rsidRPr="002C76E4" w:rsidRDefault="002C76E4" w:rsidP="002C76E4">
      <w:pPr>
        <w:shd w:val="clear" w:color="auto" w:fill="FFFFFF"/>
        <w:spacing w:before="120" w:after="0" w:line="240" w:lineRule="auto"/>
        <w:jc w:val="center"/>
        <w:rPr>
          <w:rFonts w:ascii="Calibri" w:eastAsia="Times New Roman" w:hAnsi="Calibri" w:cs="Calibri"/>
          <w:color w:val="666666"/>
        </w:rPr>
      </w:pPr>
      <w:r w:rsidRPr="002C76E4">
        <w:rPr>
          <w:rFonts w:ascii="Arial" w:eastAsia="Times New Roman" w:hAnsi="Arial" w:cs="Arial"/>
          <w:noProof/>
          <w:color w:val="666666"/>
          <w:sz w:val="20"/>
          <w:szCs w:val="20"/>
        </w:rPr>
        <w:drawing>
          <wp:inline distT="0" distB="0" distL="0" distR="0">
            <wp:extent cx="5943600" cy="4457700"/>
            <wp:effectExtent l="0" t="0" r="0" b="0"/>
            <wp:docPr id="2" name="Picture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4457700"/>
                    </a:xfrm>
                    <a:prstGeom prst="rect">
                      <a:avLst/>
                    </a:prstGeom>
                    <a:noFill/>
                    <a:ln>
                      <a:noFill/>
                    </a:ln>
                  </pic:spPr>
                </pic:pic>
              </a:graphicData>
            </a:graphic>
          </wp:inline>
        </w:drawing>
      </w:r>
    </w:p>
    <w:p w:rsidR="002C76E4" w:rsidRPr="002C76E4" w:rsidRDefault="002C76E4" w:rsidP="002C76E4">
      <w:pPr>
        <w:shd w:val="clear" w:color="auto" w:fill="FFFFFF"/>
        <w:spacing w:before="120" w:after="0" w:line="240" w:lineRule="auto"/>
        <w:jc w:val="center"/>
        <w:rPr>
          <w:rFonts w:ascii="Calibri" w:eastAsia="Times New Roman" w:hAnsi="Calibri" w:cs="Calibri"/>
          <w:color w:val="666666"/>
        </w:rPr>
      </w:pPr>
      <w:r w:rsidRPr="002C76E4">
        <w:rPr>
          <w:rFonts w:ascii="Arial" w:eastAsia="Times New Roman" w:hAnsi="Arial" w:cs="Arial"/>
          <w:color w:val="666666"/>
          <w:sz w:val="16"/>
          <w:szCs w:val="16"/>
        </w:rPr>
        <w:t>Quang cảnh tọa đàm. (Ảnh: LK)</w:t>
      </w:r>
    </w:p>
    <w:p w:rsidR="002C76E4" w:rsidRPr="002C76E4" w:rsidRDefault="002C76E4" w:rsidP="002C76E4">
      <w:pPr>
        <w:shd w:val="clear" w:color="auto" w:fill="FFFFFF"/>
        <w:spacing w:before="120" w:after="0" w:line="240" w:lineRule="auto"/>
        <w:jc w:val="both"/>
        <w:rPr>
          <w:rFonts w:ascii="Calibri" w:eastAsia="Times New Roman" w:hAnsi="Calibri" w:cs="Calibri"/>
          <w:color w:val="666666"/>
        </w:rPr>
      </w:pPr>
      <w:r w:rsidRPr="002C76E4">
        <w:rPr>
          <w:rFonts w:ascii="Arial" w:eastAsia="Times New Roman" w:hAnsi="Arial" w:cs="Arial"/>
          <w:color w:val="666666"/>
          <w:sz w:val="20"/>
          <w:szCs w:val="20"/>
        </w:rPr>
        <w:t>Tại tọa đàm, ông Kalyanaraman Sivaramakrishnan – Phó Tổng Giám đốc Ngân hàng Techcombank chia sẻ về rủi ro tội phạm rửa tiền mà các TCTD phải đối mặt và tính cần thiết của công tác PCRT, thực thi các quy định pháp luật. Phó Tổng Giám đốc Ngân hàng Techcombank nhận định, sự phát triển kinh tế trong thời đại công nghệ số tiềm ẩn những nguy cơ đáng báo động về các loại hình tội phạm. Các TCTD đối mặt với nguy cơ bị các loại tội phạm rửa tiền/ tội phạm nguồn của tội phạm rửa tiền lợi dụng. TCTD sẽ đối diện với các rủi ro về pháp lý, tài chính, danh tiếng, tuân thủ nếu thiếu các biện pháp kiểm soát chặt chẽ và quản trị rủi ro hiệu quả.</w:t>
      </w:r>
    </w:p>
    <w:p w:rsidR="002C76E4" w:rsidRPr="002C76E4" w:rsidRDefault="002C76E4" w:rsidP="002C76E4">
      <w:pPr>
        <w:shd w:val="clear" w:color="auto" w:fill="FFFFFF"/>
        <w:spacing w:before="120" w:after="0" w:line="240" w:lineRule="auto"/>
        <w:jc w:val="both"/>
        <w:rPr>
          <w:rFonts w:ascii="Calibri" w:eastAsia="Times New Roman" w:hAnsi="Calibri" w:cs="Calibri"/>
          <w:color w:val="666666"/>
        </w:rPr>
      </w:pPr>
      <w:r w:rsidRPr="002C76E4">
        <w:rPr>
          <w:rFonts w:ascii="Arial" w:eastAsia="Times New Roman" w:hAnsi="Arial" w:cs="Arial"/>
          <w:color w:val="666666"/>
          <w:sz w:val="20"/>
          <w:szCs w:val="20"/>
        </w:rPr>
        <w:t xml:space="preserve">Tại Việt Nam, tội rửa tiền cũng đã được hình sự hóa và trách nhiệm pháp lý không dừng lại ở người tham gia trực tiếp vào giao dịch tội phạm mà đã được mở rộng tới các bên tham gia gián tiếp. Các quy định pháp luật về PCRT đã và đang tiếp tục được sửa đổi để nâng cao hiệu quả của công tác PCRT. Các yêu cầu </w:t>
      </w:r>
      <w:r w:rsidRPr="002C76E4">
        <w:rPr>
          <w:rFonts w:ascii="Arial" w:eastAsia="Times New Roman" w:hAnsi="Arial" w:cs="Arial"/>
          <w:color w:val="666666"/>
          <w:sz w:val="20"/>
          <w:szCs w:val="20"/>
        </w:rPr>
        <w:lastRenderedPageBreak/>
        <w:t>ngày càng khắt khe từ hành lang pháp lý trong nước sẽ có lợi ích tích cực đáng kể đến việc hình thành môi trường tuân thủ PCRT tại Việt Nam và đưa ra chuẩn mực ngày càng cao cho ngành Ngân hàng.</w:t>
      </w:r>
    </w:p>
    <w:p w:rsidR="002C76E4" w:rsidRPr="002C76E4" w:rsidRDefault="002C76E4" w:rsidP="002C76E4">
      <w:pPr>
        <w:shd w:val="clear" w:color="auto" w:fill="FFFFFF"/>
        <w:spacing w:before="120" w:after="0" w:line="240" w:lineRule="auto"/>
        <w:jc w:val="both"/>
        <w:rPr>
          <w:rFonts w:ascii="Calibri" w:eastAsia="Times New Roman" w:hAnsi="Calibri" w:cs="Calibri"/>
          <w:color w:val="666666"/>
        </w:rPr>
      </w:pPr>
      <w:r w:rsidRPr="002C76E4">
        <w:rPr>
          <w:rFonts w:ascii="Arial" w:eastAsia="Times New Roman" w:hAnsi="Arial" w:cs="Arial"/>
          <w:color w:val="666666"/>
          <w:sz w:val="20"/>
          <w:szCs w:val="20"/>
        </w:rPr>
        <w:t>Phó Tổng Giám đốc Ngân hàng Techcombank cho rằng, công tác quản trị PCRT, tội phạm tại các TCTD cần được chuyển đổi dựa trên bốn trụ cột chính, bao gồm chiến lược, khung quản trị và mô hình hoạt động; quy trình, chính sách; con người và văn hóa; hệ thống. Đồng thời, để nâng cao chất lượng PCRT tại Việt Nam thì sự đồng hành của cơ quan quản lý nhà nước là yếu tố then chốt, thông qua chính sách quy định; tư vấn hỗ trợ; hợp tác chia sẻ thông tin; cơ sở dữ liệu, khai thác dữ liệu.</w:t>
      </w:r>
    </w:p>
    <w:p w:rsidR="002C76E4" w:rsidRPr="002C76E4" w:rsidRDefault="002C76E4" w:rsidP="002C76E4">
      <w:pPr>
        <w:shd w:val="clear" w:color="auto" w:fill="FFFFFF"/>
        <w:spacing w:before="120" w:after="0" w:line="240" w:lineRule="auto"/>
        <w:jc w:val="both"/>
        <w:rPr>
          <w:rFonts w:ascii="Calibri" w:eastAsia="Times New Roman" w:hAnsi="Calibri" w:cs="Calibri"/>
          <w:color w:val="666666"/>
        </w:rPr>
      </w:pPr>
      <w:r w:rsidRPr="002C76E4">
        <w:rPr>
          <w:rFonts w:ascii="Arial" w:eastAsia="Times New Roman" w:hAnsi="Arial" w:cs="Arial"/>
          <w:color w:val="666666"/>
          <w:sz w:val="20"/>
          <w:szCs w:val="20"/>
        </w:rPr>
        <w:t>Đại diện Ngân hàng BIDV cũng có phần trình bày về tầm quan trọng của công tác nhận biết khách hàng, sàng lọc và giám sát giao dịch trong quản trị rủi ro liên quan đến hoạt động mua bán tài khoản ngân hàng, trong đó nhấn mạnh đến các giải pháp.</w:t>
      </w:r>
    </w:p>
    <w:p w:rsidR="002C76E4" w:rsidRPr="002C76E4" w:rsidRDefault="002C76E4" w:rsidP="002C76E4">
      <w:pPr>
        <w:shd w:val="clear" w:color="auto" w:fill="FFFFFF"/>
        <w:spacing w:before="120" w:after="0" w:line="240" w:lineRule="auto"/>
        <w:jc w:val="both"/>
        <w:rPr>
          <w:rFonts w:ascii="Calibri" w:eastAsia="Times New Roman" w:hAnsi="Calibri" w:cs="Calibri"/>
          <w:color w:val="666666"/>
        </w:rPr>
      </w:pPr>
      <w:r w:rsidRPr="002C76E4">
        <w:rPr>
          <w:rFonts w:ascii="Arial" w:eastAsia="Times New Roman" w:hAnsi="Arial" w:cs="Arial"/>
          <w:color w:val="666666"/>
          <w:sz w:val="20"/>
          <w:szCs w:val="20"/>
        </w:rPr>
        <w:t>Về phía ngân hàng, cần thực hiện nghiêm công tác nhận biết thông tin khách hàng; thẩm định kĩ rủi ro của các sản phẩm, dịch vụ sử dụng công nghệ mới trước khi triển khai chính thức; thực hiện theo dõi, sàng lọc, rà soát các tài khoản; thực hiện “làm sạch” dữ liệu khách hàng và tài khoản của khách hàng; chủ động nghiên cứu, trang bị các giải pháp, ứng dụng công nghệ, dữ liệu datafile hỗ trợ xác thực thông tin khách hàng, chủ tài khoản ngân hàng; đẩy mạnh công tác truyền thông, tuyên truyền, nâng cao nhận thức của khách hàng trong việc đăng ký mở và sử dụng tài khoản.</w:t>
      </w:r>
    </w:p>
    <w:p w:rsidR="002C76E4" w:rsidRPr="002C76E4" w:rsidRDefault="002C76E4" w:rsidP="002C76E4">
      <w:pPr>
        <w:shd w:val="clear" w:color="auto" w:fill="FFFFFF"/>
        <w:spacing w:before="120" w:after="0" w:line="240" w:lineRule="auto"/>
        <w:jc w:val="both"/>
        <w:rPr>
          <w:rFonts w:ascii="Calibri" w:eastAsia="Times New Roman" w:hAnsi="Calibri" w:cs="Calibri"/>
          <w:color w:val="666666"/>
        </w:rPr>
      </w:pPr>
      <w:r w:rsidRPr="002C76E4">
        <w:rPr>
          <w:rFonts w:ascii="Arial" w:eastAsia="Times New Roman" w:hAnsi="Arial" w:cs="Arial"/>
          <w:color w:val="666666"/>
          <w:sz w:val="20"/>
          <w:szCs w:val="20"/>
        </w:rPr>
        <w:t>Về phía các cơ quan quản lý, toàn ngành Ngân hàng cần kết nối cơ sở dữ liệu (CSDL) quốc gia về dân cư, căn cước công dân (CCCD), thẻ căn cước công dân gắn chíp; đồng bộ thông tin tài khoản ngân hàng với CSDL quốc gia về dân cư; triển khai các giải pháp xác thực khách hàng qua CCCD gắn chíp trên thiết bị di động hoặc theo phương thức app-to-app; NHNN xem xét quy định giới hạn số lượng tài khoản thanh toán mở cho một khách hàng hoặc cho từng nhóm khách hàng.</w:t>
      </w:r>
    </w:p>
    <w:p w:rsidR="002C76E4" w:rsidRPr="002C76E4" w:rsidRDefault="002C76E4" w:rsidP="002C76E4">
      <w:pPr>
        <w:shd w:val="clear" w:color="auto" w:fill="FFFFFF"/>
        <w:spacing w:before="120" w:after="0" w:line="240" w:lineRule="auto"/>
        <w:jc w:val="both"/>
        <w:rPr>
          <w:rFonts w:ascii="Calibri" w:eastAsia="Times New Roman" w:hAnsi="Calibri" w:cs="Calibri"/>
          <w:color w:val="666666"/>
        </w:rPr>
      </w:pPr>
      <w:r w:rsidRPr="002C76E4">
        <w:rPr>
          <w:rFonts w:ascii="Arial" w:eastAsia="Times New Roman" w:hAnsi="Arial" w:cs="Arial"/>
          <w:color w:val="666666"/>
          <w:sz w:val="20"/>
          <w:szCs w:val="20"/>
        </w:rPr>
        <w:t>Bên cạnh đó, đại diện Ngân hàng TPBank đưa ra các giải pháp nhận biết khách hàng mở tài khoản bằng phương thức điện tử (eKYC) tại ngân hàng, đồng thời chỉ ra một số khó khăn, thách thức như: cơ chế phối hợp giữa các ngân hàng; một số vấn đề chưa có quy định, hướng dẫn cụ thể để có cơ sở pháp lý thực; tốn nhiều nguồn lực đặc biệt cho công tác hậu kiểm, đầu tư nhiều công nghệ; khó xác minh tính chính xác 100% và đầy đủ thôn tin trên giấy tờ tùy thân của khách hàng…</w:t>
      </w:r>
    </w:p>
    <w:p w:rsidR="002C76E4" w:rsidRPr="002C76E4" w:rsidRDefault="002C76E4" w:rsidP="002C76E4">
      <w:pPr>
        <w:shd w:val="clear" w:color="auto" w:fill="FFFFFF"/>
        <w:spacing w:before="120" w:after="0" w:line="240" w:lineRule="auto"/>
        <w:jc w:val="both"/>
        <w:rPr>
          <w:rFonts w:ascii="Calibri" w:eastAsia="Times New Roman" w:hAnsi="Calibri" w:cs="Calibri"/>
          <w:color w:val="666666"/>
        </w:rPr>
      </w:pPr>
      <w:r w:rsidRPr="002C76E4">
        <w:rPr>
          <w:rFonts w:ascii="Arial" w:eastAsia="Times New Roman" w:hAnsi="Arial" w:cs="Arial"/>
          <w:color w:val="666666"/>
          <w:sz w:val="20"/>
          <w:szCs w:val="20"/>
        </w:rPr>
        <w:t>Đại diện khác của Ngân hàng Techcombank chia sẻ thêm về phương pháp tiếp cận và kinh nghiệm triển khai chuyển đổi mô hình quản trị rủi ro rửa tiền, với các bài học về quản trị, nguồn lực, quản lý sự thay đổi và cơ chế phối hợp.</w:t>
      </w:r>
    </w:p>
    <w:p w:rsidR="002C76E4" w:rsidRPr="002C76E4" w:rsidRDefault="002C76E4" w:rsidP="002C76E4">
      <w:pPr>
        <w:shd w:val="clear" w:color="auto" w:fill="FFFFFF"/>
        <w:spacing w:before="120" w:after="0" w:line="240" w:lineRule="auto"/>
        <w:jc w:val="both"/>
        <w:rPr>
          <w:rFonts w:ascii="Calibri" w:eastAsia="Times New Roman" w:hAnsi="Calibri" w:cs="Calibri"/>
          <w:color w:val="666666"/>
        </w:rPr>
      </w:pPr>
      <w:r w:rsidRPr="002C76E4">
        <w:rPr>
          <w:rFonts w:ascii="Arial" w:eastAsia="Times New Roman" w:hAnsi="Arial" w:cs="Arial"/>
          <w:color w:val="666666"/>
          <w:sz w:val="20"/>
          <w:szCs w:val="20"/>
        </w:rPr>
        <w:t>Phát biểu tại tọa đàm, ông Phạm Tiên Phong – Cục trưởng Cục PCRT, Cơ quan Thanh tra, giám sát ngân hàng (NHNN) - cho biết, với xu hướng phát triển mạnh mẽ của khoa học, công nghệ cũng như phương thức, thủ đoạn tội phạm thực hiện các hành vi rửa tiền, tài trợ khủng bố ngày càng trở nên tinh vi. Thời gian qua, NHNN đã thường xuyên theo dõi, giám sát chặt chẽ tình hình triển khai và có những văn bản chỉ đạo các TCTD thực hiện các biện pháp ngăn ngừa hành vi tội phạm liên quan đến rửa tiền và các tội phạm khác để giảm thiểu rủi ro cho hoạt động ngân hàng, phối hợp chặt chẽ với các cơ quan chức năng, cơ quan điều tra trong trao đổi thông tin, kịp thời xử lí nhiều vụ việc.</w:t>
      </w:r>
    </w:p>
    <w:p w:rsidR="002C76E4" w:rsidRPr="002C76E4" w:rsidRDefault="002C76E4" w:rsidP="002C76E4">
      <w:pPr>
        <w:shd w:val="clear" w:color="auto" w:fill="FFFFFF"/>
        <w:spacing w:before="120" w:after="0" w:line="240" w:lineRule="auto"/>
        <w:jc w:val="both"/>
        <w:rPr>
          <w:rFonts w:ascii="Calibri" w:eastAsia="Times New Roman" w:hAnsi="Calibri" w:cs="Calibri"/>
          <w:color w:val="666666"/>
        </w:rPr>
      </w:pPr>
      <w:r w:rsidRPr="002C76E4">
        <w:rPr>
          <w:rFonts w:ascii="Arial" w:eastAsia="Times New Roman" w:hAnsi="Arial" w:cs="Arial"/>
          <w:color w:val="666666"/>
          <w:sz w:val="20"/>
          <w:szCs w:val="20"/>
        </w:rPr>
        <w:t>Qua công tác đấu tranh, phòng chống tội phạm rửa tiền và các tội phạm nguồn tội rửa tiền, cũng như qua hoạt động đánh giá rủi ro quốc gia lần hai, hiện nay, NHNN đang phối hợp với các Bộ, ngành cùng một số định chế tài chính thực hiện, và đã nhận thấy một số rủi ro chính mà các ngân hàng có thể đối mặt trong thời gian tới.</w:t>
      </w:r>
    </w:p>
    <w:p w:rsidR="002C76E4" w:rsidRPr="002C76E4" w:rsidRDefault="002C76E4" w:rsidP="002C76E4">
      <w:pPr>
        <w:shd w:val="clear" w:color="auto" w:fill="FFFFFF"/>
        <w:spacing w:before="120" w:after="0" w:line="240" w:lineRule="auto"/>
        <w:jc w:val="both"/>
        <w:rPr>
          <w:rFonts w:ascii="Calibri" w:eastAsia="Times New Roman" w:hAnsi="Calibri" w:cs="Calibri"/>
          <w:color w:val="666666"/>
        </w:rPr>
      </w:pPr>
      <w:r w:rsidRPr="002C76E4">
        <w:rPr>
          <w:rFonts w:ascii="Arial" w:eastAsia="Times New Roman" w:hAnsi="Arial" w:cs="Arial"/>
          <w:color w:val="666666"/>
          <w:sz w:val="20"/>
          <w:szCs w:val="20"/>
        </w:rPr>
        <w:t>Cục trưởng Cục PCRT chia sẻ, thời gian qua, cùng với TCTD, chi nhánh ngân hàng nước ngoài, tổ chức cung ứng các dịch vụ trung gian thanh toán, để tăng cường năng lực PCRT, tài trợ khủng bố, NHNN đã phối hợp với các cơ quan chức năng liên quan, các đối tượng báo cáo thực hiện một số biện pháp nghiệp vụ để xử lí, hỗ trợ cho các TCTD, tiêu biểu là việc phối hợp đề xuất, ban hành Luật PCRT 2022 cũng như các văn bản pháp lí có liên quan trong thời gian tới.</w:t>
      </w:r>
    </w:p>
    <w:p w:rsidR="002C76E4" w:rsidRPr="002C76E4" w:rsidRDefault="002C76E4" w:rsidP="002C76E4">
      <w:pPr>
        <w:shd w:val="clear" w:color="auto" w:fill="FFFFFF"/>
        <w:spacing w:before="120" w:after="0" w:line="240" w:lineRule="auto"/>
        <w:jc w:val="center"/>
        <w:rPr>
          <w:rFonts w:ascii="Calibri" w:eastAsia="Times New Roman" w:hAnsi="Calibri" w:cs="Calibri"/>
          <w:color w:val="666666"/>
        </w:rPr>
      </w:pPr>
      <w:r w:rsidRPr="002C76E4">
        <w:rPr>
          <w:rFonts w:ascii="Arial" w:eastAsia="Times New Roman" w:hAnsi="Arial" w:cs="Arial"/>
          <w:noProof/>
          <w:color w:val="666666"/>
          <w:sz w:val="20"/>
          <w:szCs w:val="20"/>
        </w:rPr>
        <w:lastRenderedPageBreak/>
        <w:drawing>
          <wp:inline distT="0" distB="0" distL="0" distR="0">
            <wp:extent cx="5943600" cy="3962400"/>
            <wp:effectExtent l="0" t="0" r="0" b="0"/>
            <wp:docPr id="1"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962400"/>
                    </a:xfrm>
                    <a:prstGeom prst="rect">
                      <a:avLst/>
                    </a:prstGeom>
                    <a:noFill/>
                    <a:ln>
                      <a:noFill/>
                    </a:ln>
                  </pic:spPr>
                </pic:pic>
              </a:graphicData>
            </a:graphic>
          </wp:inline>
        </w:drawing>
      </w:r>
    </w:p>
    <w:p w:rsidR="002C76E4" w:rsidRPr="002C76E4" w:rsidRDefault="002C76E4" w:rsidP="002C76E4">
      <w:pPr>
        <w:shd w:val="clear" w:color="auto" w:fill="FFFFFF"/>
        <w:spacing w:before="120" w:after="0" w:line="240" w:lineRule="auto"/>
        <w:jc w:val="center"/>
        <w:rPr>
          <w:rFonts w:ascii="Calibri" w:eastAsia="Times New Roman" w:hAnsi="Calibri" w:cs="Calibri"/>
          <w:color w:val="666666"/>
        </w:rPr>
      </w:pPr>
      <w:r w:rsidRPr="002C76E4">
        <w:rPr>
          <w:rFonts w:ascii="Arial" w:eastAsia="Times New Roman" w:hAnsi="Arial" w:cs="Arial"/>
          <w:color w:val="666666"/>
          <w:sz w:val="16"/>
          <w:szCs w:val="16"/>
        </w:rPr>
        <w:t>Các đại biểu tham dự phiên thảo luận bàn tròn</w:t>
      </w:r>
    </w:p>
    <w:p w:rsidR="002C76E4" w:rsidRPr="002C76E4" w:rsidRDefault="002C76E4" w:rsidP="002C76E4">
      <w:pPr>
        <w:shd w:val="clear" w:color="auto" w:fill="FFFFFF"/>
        <w:spacing w:before="120" w:after="0" w:line="240" w:lineRule="auto"/>
        <w:jc w:val="both"/>
        <w:rPr>
          <w:rFonts w:ascii="Calibri" w:eastAsia="Times New Roman" w:hAnsi="Calibri" w:cs="Calibri"/>
          <w:color w:val="666666"/>
        </w:rPr>
      </w:pPr>
      <w:r w:rsidRPr="002C76E4">
        <w:rPr>
          <w:rFonts w:ascii="Arial" w:eastAsia="Times New Roman" w:hAnsi="Arial" w:cs="Arial"/>
          <w:color w:val="666666"/>
          <w:sz w:val="20"/>
          <w:szCs w:val="20"/>
        </w:rPr>
        <w:t>Trong khuôn khổ chương trình, các đại biểu đại diện Cục PCRT, HHNH, ngân hàng Standard Charter Việt Nam, các NHTM đã tham gia phiên thảo luận bàn tròn nhằm làm rõ hơn những nội dung liên quan đến các bài trình bày tại tọa đàm.</w:t>
      </w:r>
    </w:p>
    <w:p w:rsidR="002C76E4" w:rsidRPr="002C76E4" w:rsidRDefault="002C76E4" w:rsidP="002C76E4">
      <w:pPr>
        <w:shd w:val="clear" w:color="auto" w:fill="FFFFFF"/>
        <w:spacing w:before="120" w:after="0" w:line="240" w:lineRule="auto"/>
        <w:jc w:val="both"/>
        <w:rPr>
          <w:rFonts w:ascii="Calibri" w:eastAsia="Times New Roman" w:hAnsi="Calibri" w:cs="Calibri"/>
          <w:color w:val="666666"/>
        </w:rPr>
      </w:pPr>
      <w:r w:rsidRPr="002C76E4">
        <w:rPr>
          <w:rFonts w:ascii="Arial" w:eastAsia="Times New Roman" w:hAnsi="Arial" w:cs="Arial"/>
          <w:color w:val="666666"/>
          <w:sz w:val="20"/>
          <w:szCs w:val="20"/>
        </w:rPr>
        <w:t>Đánh giá cao chủ đề cũng như những chia sẻ tại tọa đàm, Phó Thống đốc NHNN Phạm Tiến Dũng cho rằng đây là lĩnh vực vừa mới vừa khó nhưng lại rất quan trọng đối với hoạt động kinh doanh của các ngân hàng. Nhất là khi số lượng tài khoản ngân hàng ngày càng tăng trưởng (hiện có khoảng 150 triệu tài khoản, trong đó 74% của người trưởng thành, hơn 90% giao dịch qua kênh số ngân hàng…). Do vậy, các ngân hàng cần phải quan tâm đúng mức đối với hoạt động này để hạn chế rủi ro xảy ra gây tổn thất cho ngân hàng về tài chính, danh tiếng...</w:t>
      </w:r>
    </w:p>
    <w:p w:rsidR="002C76E4" w:rsidRPr="002C76E4" w:rsidRDefault="002C76E4" w:rsidP="002C76E4">
      <w:pPr>
        <w:shd w:val="clear" w:color="auto" w:fill="FFFFFF"/>
        <w:spacing w:before="120" w:after="0" w:line="240" w:lineRule="auto"/>
        <w:jc w:val="both"/>
        <w:rPr>
          <w:rFonts w:ascii="Calibri" w:eastAsia="Times New Roman" w:hAnsi="Calibri" w:cs="Calibri"/>
          <w:color w:val="666666"/>
        </w:rPr>
      </w:pPr>
      <w:r w:rsidRPr="002C76E4">
        <w:rPr>
          <w:rFonts w:ascii="Arial" w:eastAsia="Times New Roman" w:hAnsi="Arial" w:cs="Arial"/>
          <w:color w:val="666666"/>
          <w:sz w:val="20"/>
          <w:szCs w:val="20"/>
        </w:rPr>
        <w:t>PCRT là vấn đề trọng tâm của các ngân hàng, ngân hàng nào quan tâm đến PCRT thì ngân hàng đó sẽ phát triển mạnh. Việc tăng cường bảo mật eKYC, tăng cường kết nối với Bộ Công an là hết sức cần thiết. Phó Thống đốc chia sẻ, Bộ Công an và NHNN đã ban hành kế hoạch thực hiện, định hướng thời gian tới sẽ thực hiện theo kế hoạch này.</w:t>
      </w:r>
    </w:p>
    <w:p w:rsidR="002C76E4" w:rsidRPr="002C76E4" w:rsidRDefault="002C76E4" w:rsidP="002C76E4">
      <w:pPr>
        <w:shd w:val="clear" w:color="auto" w:fill="FFFFFF"/>
        <w:spacing w:before="120" w:after="0" w:line="240" w:lineRule="auto"/>
        <w:jc w:val="both"/>
        <w:rPr>
          <w:rFonts w:ascii="Calibri" w:eastAsia="Times New Roman" w:hAnsi="Calibri" w:cs="Calibri"/>
          <w:color w:val="666666"/>
        </w:rPr>
      </w:pPr>
      <w:r w:rsidRPr="002C76E4">
        <w:rPr>
          <w:rFonts w:ascii="Arial" w:eastAsia="Times New Roman" w:hAnsi="Arial" w:cs="Arial"/>
          <w:color w:val="666666"/>
          <w:sz w:val="20"/>
          <w:szCs w:val="20"/>
        </w:rPr>
        <w:t>Thời gian qua, NHNN thường xuyên theo dõi, giám sát tình hình triển khai, chỉ đạo các TCTD thực hiện các biện pháp ngăn ngừa hành vi rửa tiền và các tội phạm có liên quan, giảm thiểu rủi ro trong hoạt động ngân hàng và phối hợp chặt chẽ với các cơ quan chức năng, cơ quan điều tra trao đổi thông tin, kịp thời xử lý nhiều vụ việc. NHNN yêu cầu các TCTD báo cáo đầy đủ các giao dịch đáng ngờ, giao dịch có giá trị lớn để NHNN nắm bắt.</w:t>
      </w:r>
    </w:p>
    <w:p w:rsidR="002C76E4" w:rsidRPr="002C76E4" w:rsidRDefault="002C76E4" w:rsidP="002C76E4">
      <w:pPr>
        <w:shd w:val="clear" w:color="auto" w:fill="FFFFFF"/>
        <w:spacing w:before="120" w:after="0" w:line="240" w:lineRule="auto"/>
        <w:jc w:val="both"/>
        <w:rPr>
          <w:rFonts w:ascii="Calibri" w:eastAsia="Times New Roman" w:hAnsi="Calibri" w:cs="Calibri"/>
          <w:color w:val="666666"/>
        </w:rPr>
      </w:pPr>
      <w:r w:rsidRPr="002C76E4">
        <w:rPr>
          <w:rFonts w:ascii="Arial" w:eastAsia="Times New Roman" w:hAnsi="Arial" w:cs="Arial"/>
          <w:color w:val="666666"/>
          <w:sz w:val="20"/>
          <w:szCs w:val="20"/>
        </w:rPr>
        <w:t>Phó Thống đốc nhấn mạnh, trong quá trình triển khai, NHNN luôn lắng nghe và các TCTD cũng cần chia sẻ ý kiến đến NHNN để làm sao giải quyết được câu chuyện PCRT, cải thiện được thực trạng tội phạm tài chính tại Việt Nam.</w:t>
      </w:r>
    </w:p>
    <w:p w:rsidR="002C76E4" w:rsidRPr="002C76E4" w:rsidRDefault="002C76E4" w:rsidP="002C76E4">
      <w:pPr>
        <w:shd w:val="clear" w:color="auto" w:fill="FFFFFF"/>
        <w:spacing w:before="120" w:after="0" w:line="240" w:lineRule="auto"/>
        <w:jc w:val="both"/>
        <w:rPr>
          <w:rFonts w:ascii="Calibri" w:eastAsia="Times New Roman" w:hAnsi="Calibri" w:cs="Calibri"/>
          <w:color w:val="666666"/>
        </w:rPr>
      </w:pPr>
      <w:r w:rsidRPr="002C76E4">
        <w:rPr>
          <w:rFonts w:ascii="Arial" w:eastAsia="Times New Roman" w:hAnsi="Arial" w:cs="Arial"/>
          <w:color w:val="666666"/>
          <w:sz w:val="20"/>
          <w:szCs w:val="20"/>
        </w:rPr>
        <w:t xml:space="preserve">Phó Thống đốc yêu cầu các ngân hàng phải nghiên cứu giải pháp sớm phát hiện dấu hiệu giao dịch nghi ngờ, gian lận để xử lý; tăng cường thực hiện qua eKYC, phối hợp với Bộ Công an và lưu ý dấu hiệu gian lận... Trong thời gian tới, NHNN sẽ ban hành kế hoạch triển khai công tác phòng chống rửa tiền, tài trợ </w:t>
      </w:r>
      <w:r w:rsidRPr="002C76E4">
        <w:rPr>
          <w:rFonts w:ascii="Arial" w:eastAsia="Times New Roman" w:hAnsi="Arial" w:cs="Arial"/>
          <w:color w:val="666666"/>
          <w:sz w:val="20"/>
          <w:szCs w:val="20"/>
        </w:rPr>
        <w:lastRenderedPageBreak/>
        <w:t>khủng bố và sẽ xử lý nghiêm ngân hàng nào thực hiện báo cáo về vấn đề này không nghiêm túc. Phó Thống đốc NHNN Phạm Tiến Dũng cũng đề nghị các Vụ, Cục thuộc NHNN, các TCTD cần đẩy mạnh hơn nữa các giải pháp PCRT trong bối cảnh phải thích ứng với sự thay đổi liên tục của các điều kiện kinh tế vĩ mô.</w:t>
      </w:r>
    </w:p>
    <w:p w:rsidR="002C76E4" w:rsidRPr="002C76E4" w:rsidRDefault="002C76E4" w:rsidP="002C76E4">
      <w:pPr>
        <w:shd w:val="clear" w:color="auto" w:fill="FFFFFF"/>
        <w:spacing w:before="120" w:after="0" w:line="240" w:lineRule="auto"/>
        <w:jc w:val="both"/>
        <w:rPr>
          <w:rFonts w:ascii="Calibri" w:eastAsia="Times New Roman" w:hAnsi="Calibri" w:cs="Calibri"/>
          <w:color w:val="666666"/>
        </w:rPr>
      </w:pPr>
      <w:r w:rsidRPr="002C76E4">
        <w:rPr>
          <w:rFonts w:ascii="Arial" w:eastAsia="Times New Roman" w:hAnsi="Arial" w:cs="Arial"/>
          <w:b/>
          <w:bCs/>
          <w:i/>
          <w:iCs/>
          <w:color w:val="666666"/>
          <w:sz w:val="18"/>
          <w:szCs w:val="18"/>
        </w:rPr>
        <w:t>LK</w:t>
      </w:r>
    </w:p>
    <w:p w:rsidR="00645F76" w:rsidRDefault="003E59E6"/>
    <w:sectPr w:rsidR="00645F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6E4"/>
    <w:rsid w:val="002C76E4"/>
    <w:rsid w:val="002C7D55"/>
    <w:rsid w:val="003E59E6"/>
    <w:rsid w:val="00764752"/>
    <w:rsid w:val="00907B41"/>
    <w:rsid w:val="00F220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E661C5-83C5-4F2A-B765-F2185B017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xq">
    <w:name w:val="xq"/>
    <w:basedOn w:val="DefaultParagraphFont"/>
    <w:rsid w:val="002C76E4"/>
  </w:style>
  <w:style w:type="paragraph" w:styleId="NormalWeb">
    <w:name w:val="Normal (Web)"/>
    <w:basedOn w:val="Normal"/>
    <w:uiPriority w:val="99"/>
    <w:semiHidden/>
    <w:unhideWhenUsed/>
    <w:rsid w:val="002C76E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216840">
      <w:bodyDiv w:val="1"/>
      <w:marLeft w:val="0"/>
      <w:marRight w:val="0"/>
      <w:marTop w:val="0"/>
      <w:marBottom w:val="0"/>
      <w:divBdr>
        <w:top w:val="none" w:sz="0" w:space="0" w:color="auto"/>
        <w:left w:val="none" w:sz="0" w:space="0" w:color="auto"/>
        <w:bottom w:val="none" w:sz="0" w:space="0" w:color="auto"/>
        <w:right w:val="none" w:sz="0" w:space="0" w:color="auto"/>
      </w:divBdr>
      <w:divsChild>
        <w:div w:id="254286325">
          <w:marLeft w:val="0"/>
          <w:marRight w:val="0"/>
          <w:marTop w:val="0"/>
          <w:marBottom w:val="150"/>
          <w:divBdr>
            <w:top w:val="none" w:sz="0" w:space="0" w:color="auto"/>
            <w:left w:val="none" w:sz="0" w:space="0" w:color="auto"/>
            <w:bottom w:val="single" w:sz="12" w:space="0" w:color="DEDFDF"/>
            <w:right w:val="none" w:sz="0" w:space="0" w:color="auto"/>
          </w:divBdr>
        </w:div>
        <w:div w:id="150877509">
          <w:marLeft w:val="0"/>
          <w:marRight w:val="0"/>
          <w:marTop w:val="0"/>
          <w:marBottom w:val="150"/>
          <w:divBdr>
            <w:top w:val="none" w:sz="0" w:space="0" w:color="auto"/>
            <w:left w:val="none" w:sz="0" w:space="0" w:color="auto"/>
            <w:bottom w:val="none" w:sz="0" w:space="0" w:color="auto"/>
            <w:right w:val="none" w:sz="0" w:space="0" w:color="auto"/>
          </w:divBdr>
          <w:divsChild>
            <w:div w:id="1844393125">
              <w:marLeft w:val="0"/>
              <w:marRight w:val="150"/>
              <w:marTop w:val="0"/>
              <w:marBottom w:val="0"/>
              <w:divBdr>
                <w:top w:val="none" w:sz="0" w:space="0" w:color="auto"/>
                <w:left w:val="none" w:sz="0" w:space="0" w:color="auto"/>
                <w:bottom w:val="none" w:sz="0" w:space="0" w:color="auto"/>
                <w:right w:val="none" w:sz="0" w:space="0" w:color="auto"/>
              </w:divBdr>
            </w:div>
            <w:div w:id="1188374030">
              <w:marLeft w:val="0"/>
              <w:marRight w:val="150"/>
              <w:marTop w:val="0"/>
              <w:marBottom w:val="0"/>
              <w:divBdr>
                <w:top w:val="none" w:sz="0" w:space="0" w:color="auto"/>
                <w:left w:val="none" w:sz="0" w:space="0" w:color="auto"/>
                <w:bottom w:val="none" w:sz="0" w:space="0" w:color="auto"/>
                <w:right w:val="none" w:sz="0" w:space="0" w:color="auto"/>
              </w:divBdr>
            </w:div>
          </w:divsChild>
        </w:div>
        <w:div w:id="6734557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1820</Words>
  <Characters>10374</Characters>
  <Application>Microsoft Office Word</Application>
  <DocSecurity>0</DocSecurity>
  <Lines>86</Lines>
  <Paragraphs>24</Paragraphs>
  <ScaleCrop>false</ScaleCrop>
  <Company/>
  <LinksUpToDate>false</LinksUpToDate>
  <CharactersWithSpaces>12170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Quang Hung (CQTTGSNH)</dc:creator>
  <cp:keywords/>
  <dc:description/>
  <cp:lastModifiedBy>Nguyen Quang Hung (CQTTGSNH)</cp:lastModifiedBy>
  <cp:revision>4</cp:revision>
  <dcterms:created xsi:type="dcterms:W3CDTF">2023-07-05T04:06:00Z</dcterms:created>
  <dcterms:modified xsi:type="dcterms:W3CDTF">2023-07-05T04:12:00Z</dcterms:modified>
</cp:coreProperties>
</file>