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top w:w="30" w:type="dxa"/>
          <w:left w:w="30" w:type="dxa"/>
          <w:bottom w:w="30" w:type="dxa"/>
          <w:right w:w="30" w:type="dxa"/>
        </w:tblCellMar>
        <w:tblLook w:val="04A0" w:firstRow="1" w:lastRow="0" w:firstColumn="1" w:lastColumn="0" w:noHBand="0" w:noVBand="1"/>
      </w:tblPr>
      <w:tblGrid>
        <w:gridCol w:w="9086"/>
      </w:tblGrid>
      <w:tr w:rsidR="00EB5BA9" w:rsidRPr="00EB5BA9" w:rsidTr="00EB5BA9">
        <w:trPr>
          <w:tblCellSpacing w:w="0" w:type="dxa"/>
        </w:trPr>
        <w:tc>
          <w:tcPr>
            <w:tcW w:w="0" w:type="auto"/>
            <w:vAlign w:val="center"/>
            <w:hideMark/>
          </w:tcPr>
          <w:p w:rsidR="00EB5BA9" w:rsidRPr="00EB5BA9" w:rsidRDefault="00EB5BA9" w:rsidP="00EB5BA9">
            <w:pPr>
              <w:spacing w:after="0" w:line="240" w:lineRule="auto"/>
              <w:rPr>
                <w:rFonts w:ascii="Times New Roman" w:eastAsia="Times New Roman" w:hAnsi="Times New Roman" w:cs="Times New Roman"/>
                <w:sz w:val="24"/>
                <w:szCs w:val="24"/>
                <w:lang w:eastAsia="en-SG"/>
              </w:rPr>
            </w:pPr>
            <w:r w:rsidRPr="00EB5BA9">
              <w:rPr>
                <w:rFonts w:ascii="Times New Roman" w:eastAsia="Times New Roman" w:hAnsi="Times New Roman" w:cs="Times New Roman"/>
                <w:sz w:val="24"/>
                <w:szCs w:val="24"/>
                <w:lang w:eastAsia="en-SG"/>
              </w:rPr>
              <w:t>Khu vực đối ngoại: Vị thế đầu tư quốc tế</w:t>
            </w:r>
          </w:p>
        </w:tc>
      </w:tr>
      <w:tr w:rsidR="00EB5BA9" w:rsidRPr="00EB5BA9" w:rsidTr="00EB5BA9">
        <w:trPr>
          <w:trHeight w:val="150"/>
          <w:tblCellSpacing w:w="0" w:type="dxa"/>
        </w:trPr>
        <w:tc>
          <w:tcPr>
            <w:tcW w:w="0" w:type="auto"/>
            <w:vAlign w:val="center"/>
            <w:hideMark/>
          </w:tcPr>
          <w:p w:rsidR="00EB5BA9" w:rsidRPr="00EB5BA9" w:rsidRDefault="00EB5BA9" w:rsidP="00EB5BA9">
            <w:pPr>
              <w:spacing w:after="0" w:line="240" w:lineRule="auto"/>
              <w:rPr>
                <w:rFonts w:ascii="Times New Roman" w:eastAsia="Times New Roman" w:hAnsi="Times New Roman" w:cs="Times New Roman"/>
                <w:sz w:val="16"/>
                <w:szCs w:val="24"/>
                <w:lang w:eastAsia="en-SG"/>
              </w:rPr>
            </w:pPr>
          </w:p>
        </w:tc>
      </w:tr>
      <w:tr w:rsidR="00EB5BA9" w:rsidRPr="00EB5BA9" w:rsidTr="00EB5BA9">
        <w:trPr>
          <w:tblCellSpacing w:w="0" w:type="dxa"/>
        </w:trPr>
        <w:tc>
          <w:tcPr>
            <w:tcW w:w="0" w:type="auto"/>
            <w:vAlign w:val="center"/>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FFFF"/>
              <w:tblLook w:val="01E0" w:firstRow="1" w:lastRow="1" w:firstColumn="1" w:lastColumn="1" w:noHBand="0" w:noVBand="0"/>
            </w:tblPr>
            <w:tblGrid>
              <w:gridCol w:w="9016"/>
            </w:tblGrid>
            <w:tr w:rsidR="00EB5BA9" w:rsidRPr="00EB5BA9">
              <w:tc>
                <w:tcPr>
                  <w:tcW w:w="9228" w:type="dxa"/>
                  <w:tcBorders>
                    <w:top w:val="single" w:sz="4" w:space="0" w:color="auto"/>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80" w:after="60" w:line="264" w:lineRule="auto"/>
                    <w:jc w:val="center"/>
                    <w:rPr>
                      <w:rFonts w:ascii="Times New Roman" w:eastAsia="Times New Roman" w:hAnsi="Times New Roman" w:cs="Times New Roman"/>
                      <w:sz w:val="24"/>
                      <w:szCs w:val="24"/>
                      <w:lang w:eastAsia="en-SG"/>
                    </w:rPr>
                  </w:pPr>
                  <w:r w:rsidRPr="00EB5BA9">
                    <w:rPr>
                      <w:rFonts w:ascii="Arial" w:eastAsia="Times New Roman" w:hAnsi="Arial" w:cs="Arial"/>
                      <w:b/>
                      <w:sz w:val="20"/>
                      <w:szCs w:val="20"/>
                      <w:lang w:eastAsia="en-SG"/>
                    </w:rPr>
                    <w:t>VIỆT NAM</w:t>
                  </w:r>
                </w:p>
                <w:p w:rsidR="00EB5BA9" w:rsidRPr="00EB5BA9" w:rsidRDefault="00EB5BA9" w:rsidP="00EB5BA9">
                  <w:pPr>
                    <w:spacing w:before="80" w:after="60" w:line="264" w:lineRule="auto"/>
                    <w:jc w:val="center"/>
                    <w:rPr>
                      <w:rFonts w:ascii="Times New Roman" w:eastAsia="Times New Roman" w:hAnsi="Times New Roman" w:cs="Times New Roman"/>
                      <w:sz w:val="24"/>
                      <w:szCs w:val="24"/>
                      <w:lang w:eastAsia="en-SG"/>
                    </w:rPr>
                  </w:pPr>
                  <w:r w:rsidRPr="00EB5BA9">
                    <w:rPr>
                      <w:rFonts w:ascii="Arial" w:eastAsia="Times New Roman" w:hAnsi="Arial" w:cs="Arial"/>
                      <w:b/>
                      <w:sz w:val="20"/>
                      <w:szCs w:val="20"/>
                      <w:lang w:eastAsia="en-SG"/>
                    </w:rPr>
                    <w:t>Vị thế Đầu tư Quốc tế</w:t>
                  </w:r>
                </w:p>
              </w:tc>
            </w:tr>
          </w:tbl>
          <w:p w:rsidR="00EB5BA9" w:rsidRPr="00EB5BA9" w:rsidRDefault="00EB5BA9" w:rsidP="00EB5BA9">
            <w:pPr>
              <w:spacing w:before="80" w:after="60" w:line="264" w:lineRule="auto"/>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 </w:t>
            </w:r>
          </w:p>
          <w:tbl>
            <w:tblPr>
              <w:tblW w:w="9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6"/>
              <w:gridCol w:w="6856"/>
            </w:tblGrid>
            <w:tr w:rsidR="00EB5BA9" w:rsidRPr="00EB5BA9">
              <w:tc>
                <w:tcPr>
                  <w:tcW w:w="9082" w:type="dxa"/>
                  <w:gridSpan w:val="2"/>
                  <w:tcBorders>
                    <w:top w:val="single" w:sz="4" w:space="0" w:color="auto"/>
                    <w:left w:val="single" w:sz="4" w:space="0" w:color="auto"/>
                    <w:bottom w:val="single" w:sz="4" w:space="0" w:color="auto"/>
                    <w:right w:val="single" w:sz="4" w:space="0" w:color="auto"/>
                  </w:tcBorders>
                  <w:shd w:val="clear" w:color="auto" w:fill="CCCCCC"/>
                  <w:hideMark/>
                </w:tcPr>
                <w:p w:rsidR="00EB5BA9" w:rsidRPr="00EB5BA9" w:rsidRDefault="00EB5BA9" w:rsidP="00EB5BA9">
                  <w:pPr>
                    <w:spacing w:before="80" w:after="60" w:line="264" w:lineRule="auto"/>
                    <w:jc w:val="center"/>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0. Những yêu cầu tiên quyết của chất lượng</w:t>
                  </w:r>
                </w:p>
              </w:tc>
            </w:tr>
            <w:tr w:rsidR="00EB5BA9" w:rsidRPr="00EB5BA9">
              <w:tc>
                <w:tcPr>
                  <w:tcW w:w="2226" w:type="dxa"/>
                  <w:tcBorders>
                    <w:top w:val="single" w:sz="4" w:space="0" w:color="auto"/>
                    <w:left w:val="single" w:sz="4" w:space="0" w:color="auto"/>
                    <w:bottom w:val="nil"/>
                    <w:right w:val="single" w:sz="4" w:space="0" w:color="auto"/>
                  </w:tcBorders>
                  <w:shd w:val="clear" w:color="auto" w:fill="E6E6E6"/>
                  <w:hideMark/>
                </w:tcPr>
                <w:p w:rsidR="00EB5BA9" w:rsidRPr="00EB5BA9" w:rsidRDefault="00EB5BA9" w:rsidP="00EB5BA9">
                  <w:pPr>
                    <w:spacing w:before="80" w:after="60" w:line="240" w:lineRule="auto"/>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xml:space="preserve">01. Môi trường pháp lý </w:t>
                  </w:r>
                </w:p>
              </w:tc>
              <w:tc>
                <w:tcPr>
                  <w:tcW w:w="6856" w:type="dxa"/>
                  <w:tcBorders>
                    <w:top w:val="single" w:sz="4" w:space="0" w:color="auto"/>
                    <w:left w:val="single" w:sz="4" w:space="0" w:color="auto"/>
                    <w:bottom w:val="nil"/>
                    <w:right w:val="single" w:sz="4" w:space="0" w:color="auto"/>
                  </w:tcBorders>
                  <w:shd w:val="clear" w:color="auto" w:fill="E6E6E6"/>
                  <w:hideMark/>
                </w:tcPr>
                <w:p w:rsidR="00EB5BA9" w:rsidRPr="00EB5BA9" w:rsidRDefault="00EB5BA9" w:rsidP="00EB5BA9">
                  <w:pPr>
                    <w:spacing w:before="80" w:after="60" w:line="240" w:lineRule="auto"/>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xml:space="preserve">0.1.1. Trách nhiệm thu thập, xử lý, và phổ biến số liệu thống kê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80" w:after="60" w:line="240"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w:t>
                  </w:r>
                </w:p>
              </w:tc>
              <w:tc>
                <w:tcPr>
                  <w:tcW w:w="685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60" w:line="240" w:lineRule="auto"/>
                    <w:jc w:val="both"/>
                    <w:rPr>
                      <w:rFonts w:ascii="Times New Roman" w:eastAsia="Times New Roman" w:hAnsi="Times New Roman" w:cs="Times New Roman"/>
                      <w:sz w:val="24"/>
                      <w:szCs w:val="24"/>
                      <w:lang w:eastAsia="en-SG"/>
                    </w:rPr>
                  </w:pPr>
                  <w:r w:rsidRPr="00EB5BA9">
                    <w:rPr>
                      <w:rFonts w:ascii="Arial" w:eastAsia="Times New Roman" w:hAnsi="Arial" w:cs="Arial"/>
                      <w:b/>
                      <w:sz w:val="20"/>
                      <w:szCs w:val="20"/>
                      <w:u w:val="single"/>
                      <w:lang w:eastAsia="en-SG"/>
                    </w:rPr>
                    <w:t>Ngân hàng Nhà  nước</w:t>
                  </w:r>
                </w:p>
                <w:p w:rsidR="00EB5BA9" w:rsidRPr="00EB5BA9" w:rsidRDefault="00EB5BA9" w:rsidP="00EB5BA9">
                  <w:pPr>
                    <w:spacing w:before="60" w:after="60" w:line="240" w:lineRule="auto"/>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Các hoạt động  của Ngân hàng Nhà nước (NHNN) được điều chỉnh bởi Luật Ngân hàng Nhà nước năm 2010 và “Ngân hàng Nhà nước tổ chức thống kê, thu thập thông tin về kinh tế, tiền tệ và ngân hàng trong nước và nước ngoài phục vụ việc nghiên cứu, phân tích và dự báo diễn biến tiền tệ để xây dựng và điều hành chính sách tiền tệ quốc gia” và Điều 35 Luật NHNN quy định “Tổ chức, cá nhân có trách nhiệm cung cấp thông tin cho Ngân hàng Nhà nước để xây dựng Bảng cân đối tiền tệ, xây dựng cán cân thanh toán của Việt Nam và đánh giá, dự báo xu hướng phát triển của thị trường tiền tệ nhằm phục vụ việc xây dựng và điều hành chính sách tiền tệ quốc gia, công tác quản lý ngoại hối. Các tổ chức tín dụng có trách nhiệm cung cấp thông tin, số liệu thống kê theo yêu cầu của Ngân hàng Nhà nước để đánh giá, thanh tra, giám sát tình hình hoạt động của hệ thống các tổ chức tín dụng và của từng tổ chức tín dụng..”</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80" w:after="60" w:line="240"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c>
                <w:tcPr>
                  <w:tcW w:w="6856" w:type="dxa"/>
                  <w:tcBorders>
                    <w:top w:val="nil"/>
                    <w:left w:val="single" w:sz="4" w:space="0" w:color="auto"/>
                    <w:bottom w:val="nil"/>
                    <w:right w:val="single" w:sz="4" w:space="0" w:color="auto"/>
                  </w:tcBorders>
                  <w:shd w:val="clear" w:color="auto" w:fill="E6E6E6"/>
                  <w:hideMark/>
                </w:tcPr>
                <w:p w:rsidR="00EB5BA9" w:rsidRPr="00EB5BA9" w:rsidRDefault="00EB5BA9" w:rsidP="00EB5BA9">
                  <w:pPr>
                    <w:spacing w:before="60" w:after="60" w:line="240"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xml:space="preserve">0.1.2. Chia sẻ thông tin và phối hợp giữa các cơ quan sản xuất </w:t>
                  </w:r>
                  <w:r w:rsidRPr="00EB5BA9">
                    <w:rPr>
                      <w:rFonts w:ascii="Arial" w:eastAsia="Times New Roman" w:hAnsi="Arial" w:cs="Arial"/>
                      <w:b/>
                      <w:color w:val="0000FF"/>
                      <w:sz w:val="20"/>
                      <w:szCs w:val="20"/>
                      <w:lang w:eastAsia="en-SG"/>
                    </w:rPr>
                    <w:br/>
                    <w:t xml:space="preserve">số liệu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80" w:after="60" w:line="240"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c>
                <w:tcPr>
                  <w:tcW w:w="685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60" w:line="120"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80" w:after="60" w:line="240"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c>
                <w:tcPr>
                  <w:tcW w:w="6856" w:type="dxa"/>
                  <w:tcBorders>
                    <w:top w:val="nil"/>
                    <w:left w:val="single" w:sz="4" w:space="0" w:color="auto"/>
                    <w:bottom w:val="nil"/>
                    <w:right w:val="single" w:sz="4" w:space="0" w:color="auto"/>
                  </w:tcBorders>
                  <w:shd w:val="clear" w:color="auto" w:fill="E6E6E6"/>
                  <w:hideMark/>
                </w:tcPr>
                <w:p w:rsidR="00EB5BA9" w:rsidRPr="00EB5BA9" w:rsidRDefault="00EB5BA9" w:rsidP="00EB5BA9">
                  <w:pPr>
                    <w:spacing w:before="60" w:after="60" w:line="240"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xml:space="preserve">0.1.3. Vấn đề bảo mật thông tin của đối tượng cung cấp tin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80" w:after="60" w:line="240"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c>
                <w:tcPr>
                  <w:tcW w:w="685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60" w:line="240" w:lineRule="auto"/>
                    <w:jc w:val="both"/>
                    <w:rPr>
                      <w:rFonts w:ascii="Times New Roman" w:eastAsia="Times New Roman" w:hAnsi="Times New Roman" w:cs="Times New Roman"/>
                      <w:sz w:val="24"/>
                      <w:szCs w:val="24"/>
                      <w:lang w:eastAsia="en-SG"/>
                    </w:rPr>
                  </w:pPr>
                  <w:r w:rsidRPr="00EB5BA9">
                    <w:rPr>
                      <w:rFonts w:ascii="Arial" w:eastAsia="Times New Roman" w:hAnsi="Arial" w:cs="Arial"/>
                      <w:b/>
                      <w:sz w:val="20"/>
                      <w:szCs w:val="20"/>
                      <w:u w:val="single"/>
                      <w:lang w:eastAsia="en-SG"/>
                    </w:rPr>
                    <w:t>Ngân hàng Nhà  nước</w:t>
                  </w:r>
                </w:p>
                <w:p w:rsidR="00EB5BA9" w:rsidRPr="00EB5BA9" w:rsidRDefault="00EB5BA9" w:rsidP="00EB5BA9">
                  <w:pPr>
                    <w:spacing w:before="60" w:after="60" w:line="240" w:lineRule="auto"/>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Điều 38 Luật NHNN quy định: “Ngân hàng Nhà nước có trách nhiệm lập danh mục, thay đổi độ mật, giải mật bí mật nhà nước về lĩnh vực tiền tệ và ngân hàng gửi cơ quan nhà nước có thẩm quyền quyết định; bảo vệ bí mật của Ngân hàng Nhà nước và của tổ chức, cá nhân theo quy định của pháp luật. Ngân hàng Nhà nước được quyền từ chối yêu cầu của tổ chức, cá nhân về việc cung cấp thông tin mật về tiền tệ và ngân hàng, trừ trường hợp theo yêu cầu của cơ quan nhà nước có thẩm quyền theo quy định của pháp luật. Cán bộ, công chức Ngân hàng Nhà nước phải giữ bí mật thông tin hoạt động nghiệp vụ của Ngân hàng Nhà nước, của các tổ chức tín dụng và bí mật tiền gửi của tổ chức, cá nhân theo quy định của pháp luật”.</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80" w:after="60" w:line="240"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c>
                <w:tcPr>
                  <w:tcW w:w="6856" w:type="dxa"/>
                  <w:tcBorders>
                    <w:top w:val="nil"/>
                    <w:left w:val="single" w:sz="4" w:space="0" w:color="auto"/>
                    <w:bottom w:val="nil"/>
                    <w:right w:val="single" w:sz="4" w:space="0" w:color="auto"/>
                  </w:tcBorders>
                  <w:shd w:val="clear" w:color="auto" w:fill="E6E6E6"/>
                  <w:hideMark/>
                </w:tcPr>
                <w:p w:rsidR="00EB5BA9" w:rsidRPr="00EB5BA9" w:rsidRDefault="00EB5BA9" w:rsidP="00EB5BA9">
                  <w:pPr>
                    <w:spacing w:before="60" w:after="60" w:line="240"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xml:space="preserve">0.1.4. Đảm bảo việc thực hiện chế độ báo cáo thống kê </w:t>
                  </w:r>
                </w:p>
              </w:tc>
            </w:tr>
            <w:tr w:rsidR="00EB5BA9" w:rsidRPr="00EB5BA9">
              <w:tc>
                <w:tcPr>
                  <w:tcW w:w="222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80" w:after="60" w:line="240"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c>
                <w:tcPr>
                  <w:tcW w:w="685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60" w:after="60" w:line="240" w:lineRule="auto"/>
                    <w:jc w:val="both"/>
                    <w:rPr>
                      <w:rFonts w:ascii="Times New Roman" w:eastAsia="Times New Roman" w:hAnsi="Times New Roman" w:cs="Times New Roman"/>
                      <w:sz w:val="24"/>
                      <w:szCs w:val="24"/>
                      <w:lang w:eastAsia="en-SG"/>
                    </w:rPr>
                  </w:pPr>
                  <w:r w:rsidRPr="00EB5BA9">
                    <w:rPr>
                      <w:rFonts w:ascii="Arial" w:eastAsia="Times New Roman" w:hAnsi="Arial" w:cs="Arial"/>
                      <w:b/>
                      <w:sz w:val="20"/>
                      <w:szCs w:val="20"/>
                      <w:u w:val="single"/>
                      <w:lang w:eastAsia="en-SG"/>
                    </w:rPr>
                    <w:t>Ngân hàng Nhà  nước</w:t>
                  </w:r>
                </w:p>
                <w:p w:rsidR="00EB5BA9" w:rsidRPr="00EB5BA9" w:rsidRDefault="00EB5BA9" w:rsidP="00EB5BA9">
                  <w:pPr>
                    <w:spacing w:before="60" w:after="60" w:line="240" w:lineRule="auto"/>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Điều 13 Luật Tổ chức tín dụng năm 2010 quy định: “Tổ chức tín dụng, chi nhánh ngân hàng nước ngoài có trách nhiệm cung cấp cho Ngân hàng Nhà nước thông tin liên quan đến hoạt động kinh doanh và được Ngân hàng Nhà nước cung cấp thông tin của khách hàng có quan hệ tín dụng với tổ chức tín dụng, chi nhánh ngân hàng nước ngoài theo quy định của Ngân hàng Nhà nước”.</w:t>
                  </w:r>
                </w:p>
                <w:p w:rsidR="00EB5BA9" w:rsidRPr="00EB5BA9" w:rsidRDefault="00EB5BA9" w:rsidP="00EB5BA9">
                  <w:pPr>
                    <w:spacing w:before="60" w:after="60" w:line="240" w:lineRule="auto"/>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Chức năng công bố số liệu được giao cho NHNN tại Điều 37 của Luật NHNN.</w:t>
                  </w:r>
                </w:p>
              </w:tc>
            </w:tr>
            <w:tr w:rsidR="00EB5BA9" w:rsidRPr="00EB5BA9">
              <w:tc>
                <w:tcPr>
                  <w:tcW w:w="2226" w:type="dxa"/>
                  <w:tcBorders>
                    <w:top w:val="single" w:sz="4" w:space="0" w:color="auto"/>
                    <w:left w:val="single" w:sz="4" w:space="0" w:color="auto"/>
                    <w:bottom w:val="nil"/>
                    <w:right w:val="single" w:sz="4" w:space="0" w:color="auto"/>
                  </w:tcBorders>
                  <w:shd w:val="clear" w:color="auto" w:fill="E0E0E0"/>
                  <w:hideMark/>
                </w:tcPr>
                <w:p w:rsidR="00EB5BA9" w:rsidRPr="00EB5BA9" w:rsidRDefault="00EB5BA9" w:rsidP="00EB5BA9">
                  <w:pPr>
                    <w:spacing w:before="80" w:after="60" w:line="240" w:lineRule="auto"/>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0.2. Các nguồn lực</w:t>
                  </w:r>
                </w:p>
              </w:tc>
              <w:tc>
                <w:tcPr>
                  <w:tcW w:w="6856" w:type="dxa"/>
                  <w:tcBorders>
                    <w:top w:val="single" w:sz="4" w:space="0" w:color="auto"/>
                    <w:left w:val="single" w:sz="4" w:space="0" w:color="auto"/>
                    <w:bottom w:val="nil"/>
                    <w:right w:val="single" w:sz="4" w:space="0" w:color="auto"/>
                  </w:tcBorders>
                  <w:shd w:val="clear" w:color="auto" w:fill="E0E0E0"/>
                  <w:hideMark/>
                </w:tcPr>
                <w:p w:rsidR="00EB5BA9" w:rsidRPr="00EB5BA9" w:rsidRDefault="00EB5BA9" w:rsidP="00EB5BA9">
                  <w:pPr>
                    <w:spacing w:before="80" w:after="60" w:line="240" w:lineRule="auto"/>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xml:space="preserve">0.2.1. Cán bộ, trang thiết bị, máy tính và tài chính </w:t>
                  </w:r>
                </w:p>
              </w:tc>
            </w:tr>
            <w:tr w:rsidR="00EB5BA9" w:rsidRPr="00EB5BA9">
              <w:tc>
                <w:tcPr>
                  <w:tcW w:w="222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80" w:after="60" w:line="240" w:lineRule="auto"/>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w:t>
                  </w:r>
                </w:p>
              </w:tc>
              <w:tc>
                <w:tcPr>
                  <w:tcW w:w="685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80" w:after="60" w:line="240" w:lineRule="auto"/>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w:t>
                  </w:r>
                </w:p>
              </w:tc>
            </w:tr>
            <w:tr w:rsidR="00EB5BA9" w:rsidRPr="00EB5BA9">
              <w:tc>
                <w:tcPr>
                  <w:tcW w:w="9082" w:type="dxa"/>
                  <w:gridSpan w:val="2"/>
                  <w:tcBorders>
                    <w:top w:val="single" w:sz="4" w:space="0" w:color="auto"/>
                    <w:left w:val="single" w:sz="4" w:space="0" w:color="auto"/>
                    <w:bottom w:val="single" w:sz="4" w:space="0" w:color="auto"/>
                    <w:right w:val="single" w:sz="4" w:space="0" w:color="auto"/>
                  </w:tcBorders>
                  <w:shd w:val="clear" w:color="auto" w:fill="E0E0E0"/>
                  <w:hideMark/>
                </w:tcPr>
                <w:p w:rsidR="00EB5BA9" w:rsidRPr="00EB5BA9" w:rsidRDefault="00EB5BA9" w:rsidP="00EB5BA9">
                  <w:pPr>
                    <w:spacing w:before="80" w:after="60" w:line="240" w:lineRule="auto"/>
                    <w:ind w:left="720" w:hanging="360"/>
                    <w:contextualSpacing/>
                    <w:jc w:val="center"/>
                    <w:rPr>
                      <w:rFonts w:ascii="Times New Roman" w:eastAsia="Times New Roman" w:hAnsi="Times New Roman" w:cs="Times New Roman"/>
                      <w:sz w:val="24"/>
                      <w:szCs w:val="24"/>
                      <w:lang w:eastAsia="en-SG"/>
                    </w:rPr>
                  </w:pPr>
                  <w:r w:rsidRPr="00EB5BA9">
                    <w:rPr>
                      <w:rFonts w:ascii="Arial" w:eastAsia="Arial" w:hAnsi="Arial" w:cs="Arial"/>
                      <w:b/>
                      <w:color w:val="0000FF"/>
                      <w:sz w:val="20"/>
                      <w:szCs w:val="20"/>
                      <w:lang w:eastAsia="en-SG"/>
                    </w:rPr>
                    <w:lastRenderedPageBreak/>
                    <w:t>1.</w:t>
                  </w:r>
                  <w:r w:rsidRPr="00EB5BA9">
                    <w:rPr>
                      <w:rFonts w:ascii="Times New Roman" w:eastAsia="Arial" w:hAnsi="Times New Roman" w:cs="Times New Roman"/>
                      <w:b/>
                      <w:color w:val="0000FF"/>
                      <w:sz w:val="14"/>
                      <w:szCs w:val="14"/>
                      <w:lang w:eastAsia="en-SG"/>
                    </w:rPr>
                    <w:t xml:space="preserve">     </w:t>
                  </w:r>
                  <w:r w:rsidRPr="00EB5BA9">
                    <w:rPr>
                      <w:rFonts w:ascii="Arial" w:eastAsia="Times New Roman" w:hAnsi="Arial" w:cs="Arial"/>
                      <w:b/>
                      <w:color w:val="0000FF"/>
                      <w:sz w:val="20"/>
                      <w:szCs w:val="20"/>
                      <w:lang w:eastAsia="en-SG"/>
                    </w:rPr>
                    <w:t>Tính thống nhất</w:t>
                  </w:r>
                </w:p>
              </w:tc>
            </w:tr>
            <w:tr w:rsidR="00EB5BA9" w:rsidRPr="00EB5BA9">
              <w:tc>
                <w:tcPr>
                  <w:tcW w:w="2226" w:type="dxa"/>
                  <w:tcBorders>
                    <w:top w:val="single" w:sz="4" w:space="0" w:color="auto"/>
                    <w:left w:val="single" w:sz="4" w:space="0" w:color="auto"/>
                    <w:bottom w:val="nil"/>
                    <w:right w:val="single" w:sz="4" w:space="0" w:color="auto"/>
                  </w:tcBorders>
                  <w:shd w:val="clear" w:color="auto" w:fill="E6E6E6"/>
                  <w:hideMark/>
                </w:tcPr>
                <w:p w:rsidR="00EB5BA9" w:rsidRPr="00EB5BA9" w:rsidRDefault="00EB5BA9" w:rsidP="00EB5BA9">
                  <w:pPr>
                    <w:spacing w:before="80" w:after="60" w:line="240" w:lineRule="auto"/>
                    <w:rPr>
                      <w:rFonts w:ascii="Times New Roman" w:eastAsia="Times New Roman" w:hAnsi="Times New Roman" w:cs="Times New Roman"/>
                      <w:sz w:val="24"/>
                      <w:szCs w:val="24"/>
                      <w:lang w:eastAsia="en-SG"/>
                    </w:rPr>
                  </w:pPr>
                  <w:r w:rsidRPr="00EB5BA9">
                    <w:rPr>
                      <w:rFonts w:ascii="Arial" w:eastAsia="Times New Roman" w:hAnsi="Arial" w:cs="Arial"/>
                      <w:b/>
                      <w:color w:val="0000FF"/>
                      <w:spacing w:val="-8"/>
                      <w:sz w:val="20"/>
                      <w:szCs w:val="20"/>
                      <w:lang w:eastAsia="en-SG"/>
                    </w:rPr>
                    <w:t>1.1.Tính chuyên môn</w:t>
                  </w:r>
                </w:p>
              </w:tc>
              <w:tc>
                <w:tcPr>
                  <w:tcW w:w="6856" w:type="dxa"/>
                  <w:tcBorders>
                    <w:top w:val="single" w:sz="4" w:space="0" w:color="auto"/>
                    <w:left w:val="single" w:sz="4" w:space="0" w:color="auto"/>
                    <w:bottom w:val="nil"/>
                    <w:right w:val="single" w:sz="4" w:space="0" w:color="auto"/>
                  </w:tcBorders>
                  <w:shd w:val="clear" w:color="auto" w:fill="E6E6E6"/>
                  <w:hideMark/>
                </w:tcPr>
                <w:p w:rsidR="00EB5BA9" w:rsidRPr="00EB5BA9" w:rsidRDefault="00EB5BA9" w:rsidP="00EB5BA9">
                  <w:pPr>
                    <w:spacing w:before="80" w:after="60" w:line="240" w:lineRule="auto"/>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xml:space="preserve">1.1.1. Nguyên tắc khách quan và không thiên vị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80" w:after="60" w:line="240" w:lineRule="auto"/>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w:t>
                  </w:r>
                </w:p>
              </w:tc>
              <w:tc>
                <w:tcPr>
                  <w:tcW w:w="685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80" w:after="60" w:line="240" w:lineRule="auto"/>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80" w:after="60" w:line="240"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w:t>
                  </w:r>
                </w:p>
              </w:tc>
              <w:tc>
                <w:tcPr>
                  <w:tcW w:w="6856" w:type="dxa"/>
                  <w:tcBorders>
                    <w:top w:val="nil"/>
                    <w:left w:val="single" w:sz="4" w:space="0" w:color="auto"/>
                    <w:bottom w:val="nil"/>
                    <w:right w:val="single" w:sz="4" w:space="0" w:color="auto"/>
                  </w:tcBorders>
                  <w:shd w:val="clear" w:color="auto" w:fill="E6E6E6"/>
                  <w:hideMark/>
                </w:tcPr>
                <w:p w:rsidR="00EB5BA9" w:rsidRPr="00EB5BA9" w:rsidRDefault="00EB5BA9" w:rsidP="00EB5BA9">
                  <w:pPr>
                    <w:spacing w:before="80" w:after="60" w:line="240"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xml:space="preserve">1.1.2. Lựa chọn các nguồn số liệu, phương pháp luận và hình thức phổ biến thông tin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80" w:after="60" w:line="240"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c>
                <w:tcPr>
                  <w:tcW w:w="685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80" w:after="60" w:line="240"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80" w:after="60" w:line="240"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c>
                <w:tcPr>
                  <w:tcW w:w="6856" w:type="dxa"/>
                  <w:tcBorders>
                    <w:top w:val="nil"/>
                    <w:left w:val="single" w:sz="4" w:space="0" w:color="auto"/>
                    <w:bottom w:val="nil"/>
                    <w:right w:val="single" w:sz="4" w:space="0" w:color="auto"/>
                  </w:tcBorders>
                  <w:shd w:val="clear" w:color="auto" w:fill="E6E6E6"/>
                  <w:hideMark/>
                </w:tcPr>
                <w:p w:rsidR="00EB5BA9" w:rsidRPr="00EB5BA9" w:rsidRDefault="00EB5BA9" w:rsidP="00EB5BA9">
                  <w:pPr>
                    <w:spacing w:before="80" w:after="60" w:line="240"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xml:space="preserve">1.1.3. Đưa ý kiến khi số liệu thống kê bị hiểu sai và sử dụng sai </w:t>
                  </w:r>
                </w:p>
              </w:tc>
            </w:tr>
            <w:tr w:rsidR="00EB5BA9" w:rsidRPr="00EB5BA9">
              <w:tc>
                <w:tcPr>
                  <w:tcW w:w="222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80" w:after="60" w:line="240"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c>
                <w:tcPr>
                  <w:tcW w:w="685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80" w:after="60" w:line="240"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r>
            <w:tr w:rsidR="00EB5BA9" w:rsidRPr="00EB5BA9">
              <w:tc>
                <w:tcPr>
                  <w:tcW w:w="2226" w:type="dxa"/>
                  <w:tcBorders>
                    <w:top w:val="single" w:sz="4" w:space="0" w:color="auto"/>
                    <w:left w:val="single" w:sz="4" w:space="0" w:color="auto"/>
                    <w:bottom w:val="nil"/>
                    <w:right w:val="single" w:sz="4" w:space="0" w:color="auto"/>
                  </w:tcBorders>
                  <w:shd w:val="clear" w:color="auto" w:fill="E0E0E0"/>
                  <w:hideMark/>
                </w:tcPr>
                <w:p w:rsidR="00EB5BA9" w:rsidRPr="00EB5BA9" w:rsidRDefault="00EB5BA9" w:rsidP="00EB5BA9">
                  <w:pPr>
                    <w:spacing w:before="8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pacing w:val="-8"/>
                      <w:sz w:val="20"/>
                      <w:szCs w:val="20"/>
                      <w:lang w:eastAsia="en-SG"/>
                    </w:rPr>
                    <w:t>1.2. Tính minh bạch</w:t>
                  </w:r>
                </w:p>
              </w:tc>
              <w:tc>
                <w:tcPr>
                  <w:tcW w:w="6856" w:type="dxa"/>
                  <w:tcBorders>
                    <w:top w:val="single" w:sz="4" w:space="0" w:color="auto"/>
                    <w:left w:val="single" w:sz="4" w:space="0" w:color="auto"/>
                    <w:bottom w:val="nil"/>
                    <w:right w:val="single" w:sz="4" w:space="0" w:color="auto"/>
                  </w:tcBorders>
                  <w:shd w:val="clear" w:color="auto" w:fill="E0E0E0"/>
                  <w:hideMark/>
                </w:tcPr>
                <w:p w:rsidR="00EB5BA9" w:rsidRPr="00EB5BA9" w:rsidRDefault="00EB5BA9" w:rsidP="00EB5BA9">
                  <w:pPr>
                    <w:spacing w:before="80" w:after="60" w:line="264" w:lineRule="auto"/>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xml:space="preserve">1.2.1. Công bố các điều khoản và điều kiện để thực hiện thu thập, xử lý và phổ biến số liệu thống kê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8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w:t>
                  </w:r>
                </w:p>
              </w:tc>
              <w:tc>
                <w:tcPr>
                  <w:tcW w:w="685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8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8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w:t>
                  </w:r>
                </w:p>
              </w:tc>
              <w:tc>
                <w:tcPr>
                  <w:tcW w:w="6856" w:type="dxa"/>
                  <w:tcBorders>
                    <w:top w:val="nil"/>
                    <w:left w:val="single" w:sz="4" w:space="0" w:color="auto"/>
                    <w:bottom w:val="nil"/>
                    <w:right w:val="single" w:sz="4" w:space="0" w:color="auto"/>
                  </w:tcBorders>
                  <w:shd w:val="clear" w:color="auto" w:fill="E6E6E6"/>
                  <w:hideMark/>
                </w:tcPr>
                <w:p w:rsidR="00EB5BA9" w:rsidRPr="00EB5BA9" w:rsidRDefault="00EB5BA9" w:rsidP="00EB5BA9">
                  <w:pPr>
                    <w:spacing w:before="8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xml:space="preserve">1.2.2. Quyền tiếp cận số liệu thống kê trước khi công bố của nội bộ các cơ quan chính phủ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80" w:after="6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c>
                <w:tcPr>
                  <w:tcW w:w="685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8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sz w:val="20"/>
                      <w:szCs w:val="20"/>
                      <w:u w:val="single"/>
                      <w:lang w:eastAsia="en-SG"/>
                    </w:rPr>
                    <w:t>Ngân hàng Nhà  nước</w:t>
                  </w:r>
                </w:p>
                <w:p w:rsidR="00EB5BA9" w:rsidRPr="00EB5BA9" w:rsidRDefault="00EB5BA9" w:rsidP="00EB5BA9">
                  <w:pPr>
                    <w:spacing w:before="8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NHNN cung cấp cho Thủ tướng Chính phủ, Văn phòng Tổng Bí thư, Bộ Kế hoạch và Đầu tư, Bộ Tài chính, Bộ Công thương, Ủy  ban Giám sát tài chính quốc gia, số liệu cán cân thanh toán hàng quý.</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8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w:t>
                  </w:r>
                </w:p>
              </w:tc>
              <w:tc>
                <w:tcPr>
                  <w:tcW w:w="6856" w:type="dxa"/>
                  <w:tcBorders>
                    <w:top w:val="nil"/>
                    <w:left w:val="single" w:sz="4" w:space="0" w:color="auto"/>
                    <w:bottom w:val="nil"/>
                    <w:right w:val="single" w:sz="4" w:space="0" w:color="auto"/>
                  </w:tcBorders>
                  <w:shd w:val="clear" w:color="auto" w:fill="E6E6E6"/>
                  <w:hideMark/>
                </w:tcPr>
                <w:p w:rsidR="00EB5BA9" w:rsidRPr="00EB5BA9" w:rsidRDefault="00EB5BA9" w:rsidP="00EB5BA9">
                  <w:pPr>
                    <w:spacing w:before="8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xml:space="preserve">1.2.3. Các sản phẩm  thống kê thuộc thẩm quyền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80" w:after="6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c>
                <w:tcPr>
                  <w:tcW w:w="685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8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sz w:val="20"/>
                      <w:szCs w:val="20"/>
                      <w:u w:val="single"/>
                      <w:lang w:eastAsia="en-SG"/>
                    </w:rPr>
                    <w:t>Ngân hàng Nhà  nước</w:t>
                  </w:r>
                </w:p>
                <w:p w:rsidR="00EB5BA9" w:rsidRPr="00EB5BA9" w:rsidRDefault="00EB5BA9" w:rsidP="00EB5BA9">
                  <w:pPr>
                    <w:spacing w:before="8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NHNN đưa ra các bình luận chung về diễn biến kinh tế vĩ mô và các hoạt động chính sách ở Việt Nam tại một số mục số liệu trong Báo cáo Thường niên của mình.</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80" w:after="6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c>
                <w:tcPr>
                  <w:tcW w:w="6856" w:type="dxa"/>
                  <w:tcBorders>
                    <w:top w:val="nil"/>
                    <w:left w:val="single" w:sz="4" w:space="0" w:color="auto"/>
                    <w:bottom w:val="nil"/>
                    <w:right w:val="single" w:sz="4" w:space="0" w:color="auto"/>
                  </w:tcBorders>
                  <w:shd w:val="clear" w:color="auto" w:fill="E6E6E6"/>
                  <w:hideMark/>
                </w:tcPr>
                <w:p w:rsidR="00EB5BA9" w:rsidRPr="00EB5BA9" w:rsidRDefault="00EB5BA9" w:rsidP="00EB5BA9">
                  <w:pPr>
                    <w:spacing w:before="8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xml:space="preserve">1.2.4. Thông báo trước về những thay đổi lớn trong phương pháp luận, nguồn số liệu và các kỹ thuật thống kê </w:t>
                  </w:r>
                </w:p>
              </w:tc>
            </w:tr>
            <w:tr w:rsidR="00EB5BA9" w:rsidRPr="00EB5BA9">
              <w:tc>
                <w:tcPr>
                  <w:tcW w:w="222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80" w:after="6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c>
                <w:tcPr>
                  <w:tcW w:w="685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8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sz w:val="20"/>
                      <w:szCs w:val="20"/>
                      <w:u w:val="single"/>
                      <w:lang w:eastAsia="en-SG"/>
                    </w:rPr>
                    <w:t>Ngân hàng Nhà  nước</w:t>
                  </w:r>
                </w:p>
                <w:p w:rsidR="00EB5BA9" w:rsidRPr="00EB5BA9" w:rsidRDefault="00EB5BA9" w:rsidP="00EB5BA9">
                  <w:pPr>
                    <w:spacing w:before="8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Hiện nay, mọi phương pháp luận được điều chỉnh ở bất cứ thời điểm nào chỉ được thể hiện trong chú thích quốc gia của Việt Nam trên ấn phẩm Thống kê tài chính Quốc tế (IFS).</w:t>
                  </w:r>
                </w:p>
              </w:tc>
            </w:tr>
            <w:tr w:rsidR="00EB5BA9" w:rsidRPr="00EB5BA9">
              <w:tc>
                <w:tcPr>
                  <w:tcW w:w="2226" w:type="dxa"/>
                  <w:tcBorders>
                    <w:top w:val="single" w:sz="4" w:space="0" w:color="auto"/>
                    <w:left w:val="single" w:sz="4" w:space="0" w:color="auto"/>
                    <w:bottom w:val="nil"/>
                    <w:right w:val="single" w:sz="4" w:space="0" w:color="auto"/>
                  </w:tcBorders>
                  <w:shd w:val="clear" w:color="auto" w:fill="E0E0E0"/>
                  <w:hideMark/>
                </w:tcPr>
                <w:p w:rsidR="00EB5BA9" w:rsidRPr="00EB5BA9" w:rsidRDefault="00EB5BA9" w:rsidP="00EB5BA9">
                  <w:pPr>
                    <w:spacing w:before="80" w:after="60" w:line="264" w:lineRule="auto"/>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1.3. Các tiêu chuẩn đạo đức</w:t>
                  </w:r>
                </w:p>
              </w:tc>
              <w:tc>
                <w:tcPr>
                  <w:tcW w:w="6856" w:type="dxa"/>
                  <w:tcBorders>
                    <w:top w:val="single" w:sz="4" w:space="0" w:color="auto"/>
                    <w:left w:val="single" w:sz="4" w:space="0" w:color="auto"/>
                    <w:bottom w:val="nil"/>
                    <w:right w:val="single" w:sz="4" w:space="0" w:color="auto"/>
                  </w:tcBorders>
                  <w:shd w:val="clear" w:color="auto" w:fill="E0E0E0"/>
                  <w:hideMark/>
                </w:tcPr>
                <w:p w:rsidR="00EB5BA9" w:rsidRPr="00EB5BA9" w:rsidRDefault="00EB5BA9" w:rsidP="00EB5BA9">
                  <w:pPr>
                    <w:spacing w:before="80" w:after="60" w:line="264" w:lineRule="auto"/>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xml:space="preserve">1.3.1. Những chỉ dẫn về hành vi của cán bộ </w:t>
                  </w:r>
                </w:p>
              </w:tc>
            </w:tr>
            <w:tr w:rsidR="00EB5BA9" w:rsidRPr="00EB5BA9">
              <w:tc>
                <w:tcPr>
                  <w:tcW w:w="222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80" w:after="60" w:line="120" w:lineRule="auto"/>
                    <w:rPr>
                      <w:rFonts w:ascii="Times New Roman" w:eastAsia="Times New Roman" w:hAnsi="Times New Roman" w:cs="Times New Roman"/>
                      <w:sz w:val="24"/>
                      <w:szCs w:val="24"/>
                      <w:lang w:eastAsia="en-SG"/>
                    </w:rPr>
                  </w:pPr>
                  <w:r w:rsidRPr="00EB5BA9">
                    <w:rPr>
                      <w:rFonts w:ascii="Arial" w:eastAsia="Times New Roman" w:hAnsi="Arial" w:cs="Arial"/>
                      <w:sz w:val="20"/>
                      <w:szCs w:val="20"/>
                      <w:shd w:val="clear" w:color="auto" w:fill="FFFFFF"/>
                      <w:lang w:eastAsia="en-SG"/>
                    </w:rPr>
                    <w:t> </w:t>
                  </w:r>
                </w:p>
              </w:tc>
              <w:tc>
                <w:tcPr>
                  <w:tcW w:w="685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80" w:after="60" w:line="120" w:lineRule="auto"/>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w:t>
                  </w:r>
                </w:p>
              </w:tc>
            </w:tr>
            <w:tr w:rsidR="00EB5BA9" w:rsidRPr="00EB5BA9">
              <w:tc>
                <w:tcPr>
                  <w:tcW w:w="9082" w:type="dxa"/>
                  <w:gridSpan w:val="2"/>
                  <w:tcBorders>
                    <w:top w:val="single" w:sz="4" w:space="0" w:color="auto"/>
                    <w:left w:val="single" w:sz="4" w:space="0" w:color="auto"/>
                    <w:bottom w:val="single" w:sz="4" w:space="0" w:color="auto"/>
                    <w:right w:val="single" w:sz="4" w:space="0" w:color="auto"/>
                  </w:tcBorders>
                  <w:shd w:val="clear" w:color="auto" w:fill="E0E0E0"/>
                  <w:hideMark/>
                </w:tcPr>
                <w:p w:rsidR="00EB5BA9" w:rsidRPr="00EB5BA9" w:rsidRDefault="00EB5BA9" w:rsidP="00EB5BA9">
                  <w:pPr>
                    <w:spacing w:before="80" w:after="60" w:line="240" w:lineRule="auto"/>
                    <w:jc w:val="center"/>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2. Phương pháp luận</w:t>
                  </w:r>
                </w:p>
              </w:tc>
            </w:tr>
            <w:tr w:rsidR="00EB5BA9" w:rsidRPr="00EB5BA9">
              <w:tc>
                <w:tcPr>
                  <w:tcW w:w="2226" w:type="dxa"/>
                  <w:tcBorders>
                    <w:top w:val="single" w:sz="4" w:space="0" w:color="auto"/>
                    <w:left w:val="single" w:sz="4" w:space="0" w:color="auto"/>
                    <w:bottom w:val="nil"/>
                    <w:right w:val="single" w:sz="4" w:space="0" w:color="auto"/>
                  </w:tcBorders>
                  <w:shd w:val="clear" w:color="auto" w:fill="E0E0E0"/>
                  <w:hideMark/>
                </w:tcPr>
                <w:p w:rsidR="00EB5BA9" w:rsidRPr="00EB5BA9" w:rsidRDefault="00EB5BA9" w:rsidP="00EB5BA9">
                  <w:pPr>
                    <w:spacing w:before="80" w:after="60" w:line="264" w:lineRule="auto"/>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xml:space="preserve">2.1. Các định nghĩa và khái niệm </w:t>
                  </w:r>
                </w:p>
              </w:tc>
              <w:tc>
                <w:tcPr>
                  <w:tcW w:w="6856" w:type="dxa"/>
                  <w:tcBorders>
                    <w:top w:val="single" w:sz="4" w:space="0" w:color="auto"/>
                    <w:left w:val="single" w:sz="4" w:space="0" w:color="auto"/>
                    <w:bottom w:val="nil"/>
                    <w:right w:val="single" w:sz="4" w:space="0" w:color="auto"/>
                  </w:tcBorders>
                  <w:shd w:val="clear" w:color="auto" w:fill="E0E0E0"/>
                  <w:hideMark/>
                </w:tcPr>
                <w:p w:rsidR="00EB5BA9" w:rsidRPr="00EB5BA9" w:rsidRDefault="00EB5BA9" w:rsidP="00EB5BA9">
                  <w:pPr>
                    <w:spacing w:before="80" w:after="60" w:line="240" w:lineRule="auto"/>
                    <w:rPr>
                      <w:rFonts w:ascii="Times New Roman" w:eastAsia="Times New Roman" w:hAnsi="Times New Roman" w:cs="Times New Roman"/>
                      <w:sz w:val="24"/>
                      <w:szCs w:val="24"/>
                      <w:lang w:eastAsia="en-SG"/>
                    </w:rPr>
                  </w:pPr>
                  <w:r w:rsidRPr="00EB5BA9">
                    <w:rPr>
                      <w:rFonts w:ascii="Arial" w:eastAsia="Times New Roman" w:hAnsi="Arial" w:cs="Arial"/>
                      <w:color w:val="0000FF"/>
                      <w:sz w:val="20"/>
                      <w:szCs w:val="20"/>
                      <w:lang w:eastAsia="en-SG"/>
                    </w:rPr>
                    <w:t>2.1.1. Cấu trúc chung về khái niệm và định nghĩa tuân theo các chuẩn mực, hướng dẫn và cách thực hành tốt đã được quốc tế công nhận.</w:t>
                  </w:r>
                </w:p>
              </w:tc>
            </w:tr>
            <w:tr w:rsidR="00EB5BA9" w:rsidRPr="00EB5BA9">
              <w:tc>
                <w:tcPr>
                  <w:tcW w:w="222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80" w:after="60" w:line="264" w:lineRule="auto"/>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w:t>
                  </w:r>
                </w:p>
              </w:tc>
              <w:tc>
                <w:tcPr>
                  <w:tcW w:w="685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tabs>
                      <w:tab w:val="center" w:pos="4680"/>
                      <w:tab w:val="right" w:pos="9360"/>
                    </w:tabs>
                    <w:spacing w:before="60" w:after="60" w:line="240" w:lineRule="auto"/>
                    <w:ind w:firstLine="357"/>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IIP của Việt Nam là bảng báo cáo thống kê thể hiện số dư về tài sản có và tài sản nợ tài chính nước ngoài của Việt Nam với phần còn lại của thế giới tại một thời điểm nhất định. Số dư này là kết quả các các giao dịch đối ngoại trong kỳ được đo lường theo giá trị thị trường hiện thời (giá cả và tỷ giá thị trường) và các nhân tố khác như xóa bỏ hoặc phân tổ lại tại một thời điểm nhất định.Tuy nhiên hiện chưa có văn bản pháp lý quy định về việc lập IIP.</w:t>
                  </w:r>
                </w:p>
                <w:p w:rsidR="00EB5BA9" w:rsidRPr="00EB5BA9" w:rsidRDefault="00EB5BA9" w:rsidP="00EB5BA9">
                  <w:pPr>
                    <w:tabs>
                      <w:tab w:val="center" w:pos="4680"/>
                      <w:tab w:val="right" w:pos="9360"/>
                    </w:tabs>
                    <w:spacing w:before="60" w:after="60" w:line="240" w:lineRule="auto"/>
                    <w:ind w:firstLine="357"/>
                    <w:jc w:val="both"/>
                    <w:rPr>
                      <w:rFonts w:ascii="Times New Roman" w:eastAsia="Times New Roman" w:hAnsi="Times New Roman" w:cs="Times New Roman"/>
                      <w:sz w:val="24"/>
                      <w:szCs w:val="24"/>
                      <w:lang w:eastAsia="en-SG"/>
                    </w:rPr>
                  </w:pPr>
                  <w:r w:rsidRPr="00EB5BA9">
                    <w:rPr>
                      <w:rFonts w:ascii="Arial" w:eastAsia="Times New Roman" w:hAnsi="Arial" w:cs="Arial"/>
                      <w:spacing w:val="-4"/>
                      <w:sz w:val="20"/>
                      <w:szCs w:val="20"/>
                      <w:lang w:eastAsia="en-SG"/>
                    </w:rPr>
                    <w:t>Số liệu IIP của Việt Nam được được hướng dẫn theo Cẩm nang Cán cân Thanh toán (BPM6) với đơn vị tính là triệu Đô la Mỹ. Hiện không có chú thích về phương pháp luận nào được ghi kèm các số liệu.</w:t>
                  </w:r>
                </w:p>
                <w:p w:rsidR="00EB5BA9" w:rsidRPr="00EB5BA9" w:rsidRDefault="00EB5BA9" w:rsidP="00EB5BA9">
                  <w:pPr>
                    <w:spacing w:before="60" w:after="60" w:line="240" w:lineRule="auto"/>
                    <w:ind w:firstLine="357"/>
                    <w:jc w:val="both"/>
                    <w:rPr>
                      <w:rFonts w:ascii="Times New Roman" w:eastAsia="Times New Roman" w:hAnsi="Times New Roman" w:cs="Times New Roman"/>
                      <w:sz w:val="24"/>
                      <w:szCs w:val="24"/>
                      <w:lang w:eastAsia="en-SG"/>
                    </w:rPr>
                  </w:pPr>
                  <w:r w:rsidRPr="00EB5BA9">
                    <w:rPr>
                      <w:rFonts w:ascii="Arial" w:eastAsia="Times New Roman" w:hAnsi="Arial" w:cs="Arial"/>
                      <w:spacing w:val="-2"/>
                      <w:sz w:val="20"/>
                      <w:szCs w:val="20"/>
                      <w:lang w:eastAsia="en-SG"/>
                    </w:rPr>
                    <w:t xml:space="preserve">Phạm vi số liệu, các định nghĩa, và cách phân loại nhìn chung tuân thủ </w:t>
                  </w:r>
                  <w:r w:rsidRPr="00EB5BA9">
                    <w:rPr>
                      <w:rFonts w:ascii="Arial" w:eastAsia="Times New Roman" w:hAnsi="Arial" w:cs="Arial"/>
                      <w:spacing w:val="-2"/>
                      <w:sz w:val="20"/>
                      <w:szCs w:val="20"/>
                      <w:lang w:eastAsia="en-SG"/>
                    </w:rPr>
                    <w:lastRenderedPageBreak/>
                    <w:t>theo hướng dẫn trong BPM6 và được quy định trong “Nghị định của Chính phủ Về quản lý cán cân thanh toán quốc tế của Việt Nam”.</w:t>
                  </w:r>
                </w:p>
                <w:p w:rsidR="00EB5BA9" w:rsidRPr="00EB5BA9" w:rsidRDefault="00EB5BA9" w:rsidP="00EB5BA9">
                  <w:pPr>
                    <w:spacing w:before="60" w:after="60" w:line="240" w:lineRule="auto"/>
                    <w:ind w:firstLine="357"/>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Về nguyên tắc thì IIP của Việt Nam đề cập đến tất cả các hộ gia đình và các đơn vị thể chế tham gia vào hoạt động kinh tế đối ngoại tại Việt Nam.</w:t>
                  </w:r>
                </w:p>
                <w:p w:rsidR="00EB5BA9" w:rsidRPr="00EB5BA9" w:rsidRDefault="00EB5BA9" w:rsidP="00EB5BA9">
                  <w:pPr>
                    <w:spacing w:before="60" w:after="60" w:line="240" w:lineRule="auto"/>
                    <w:ind w:firstLine="357"/>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Theo Pháp lệnh sửa đổi, bổ sung một số điều của Pháp lệnh ngoại hối,  đầu tư trực tiếp là việc nhà đầu tư nước ngoài bỏ vốn đầu tư và tham gia quản lý hoạt động đầu tư tại Việt Nam. Trên thực tế, hoạt động đầu tư trực tiếp nước ngoài tại Việt Nam, nhà đầu tư nước ngoài (người không cư trú) thường đóng góp trên 10% tổng vốn đầu tư của doanh nghiệp.</w:t>
                  </w:r>
                </w:p>
              </w:tc>
            </w:tr>
            <w:tr w:rsidR="00EB5BA9" w:rsidRPr="00EB5BA9">
              <w:tc>
                <w:tcPr>
                  <w:tcW w:w="2226" w:type="dxa"/>
                  <w:tcBorders>
                    <w:top w:val="single" w:sz="4" w:space="0" w:color="auto"/>
                    <w:left w:val="single" w:sz="4" w:space="0" w:color="auto"/>
                    <w:bottom w:val="nil"/>
                    <w:right w:val="single" w:sz="4" w:space="0" w:color="auto"/>
                  </w:tcBorders>
                  <w:shd w:val="clear" w:color="auto" w:fill="E0E0E0"/>
                  <w:hideMark/>
                </w:tcPr>
                <w:p w:rsidR="00EB5BA9" w:rsidRPr="00EB5BA9" w:rsidRDefault="00EB5BA9" w:rsidP="00EB5BA9">
                  <w:pPr>
                    <w:spacing w:before="80" w:after="60" w:line="264" w:lineRule="auto"/>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lastRenderedPageBreak/>
                    <w:t>2.2. Phạm vi</w:t>
                  </w:r>
                </w:p>
              </w:tc>
              <w:tc>
                <w:tcPr>
                  <w:tcW w:w="6856" w:type="dxa"/>
                  <w:tcBorders>
                    <w:top w:val="single" w:sz="4" w:space="0" w:color="auto"/>
                    <w:left w:val="single" w:sz="4" w:space="0" w:color="auto"/>
                    <w:bottom w:val="nil"/>
                    <w:right w:val="single" w:sz="4" w:space="0" w:color="auto"/>
                  </w:tcBorders>
                  <w:shd w:val="clear" w:color="auto" w:fill="E0E0E0"/>
                  <w:hideMark/>
                </w:tcPr>
                <w:p w:rsidR="00EB5BA9" w:rsidRPr="00EB5BA9" w:rsidRDefault="00EB5BA9" w:rsidP="00EB5BA9">
                  <w:pPr>
                    <w:spacing w:before="80" w:after="60" w:line="240" w:lineRule="auto"/>
                    <w:rPr>
                      <w:rFonts w:ascii="Times New Roman" w:eastAsia="Times New Roman" w:hAnsi="Times New Roman" w:cs="Times New Roman"/>
                      <w:sz w:val="24"/>
                      <w:szCs w:val="24"/>
                      <w:lang w:eastAsia="en-SG"/>
                    </w:rPr>
                  </w:pPr>
                  <w:r w:rsidRPr="00EB5BA9">
                    <w:rPr>
                      <w:rFonts w:ascii="Arial" w:eastAsia="Times New Roman" w:hAnsi="Arial" w:cs="Arial"/>
                      <w:color w:val="0000FF"/>
                      <w:sz w:val="20"/>
                      <w:szCs w:val="20"/>
                      <w:lang w:eastAsia="en-SG"/>
                    </w:rPr>
                    <w:t xml:space="preserve">2.2.1. Phạm vi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80" w:after="60" w:line="120" w:lineRule="auto"/>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w:t>
                  </w:r>
                </w:p>
              </w:tc>
              <w:tc>
                <w:tcPr>
                  <w:tcW w:w="685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80" w:after="60" w:line="120" w:lineRule="auto"/>
                    <w:rPr>
                      <w:rFonts w:ascii="Times New Roman" w:eastAsia="Times New Roman" w:hAnsi="Times New Roman" w:cs="Times New Roman"/>
                      <w:sz w:val="24"/>
                      <w:szCs w:val="24"/>
                      <w:lang w:eastAsia="en-SG"/>
                    </w:rPr>
                  </w:pPr>
                  <w:r w:rsidRPr="00EB5BA9">
                    <w:rPr>
                      <w:rFonts w:ascii="Arial" w:eastAsia="Times New Roman" w:hAnsi="Arial" w:cs="Arial"/>
                      <w:color w:val="0000FF"/>
                      <w:sz w:val="20"/>
                      <w:szCs w:val="20"/>
                      <w:lang w:eastAsia="en-SG"/>
                    </w:rPr>
                    <w:t>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80" w:after="60" w:line="264" w:lineRule="auto"/>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w:t>
                  </w:r>
                </w:p>
              </w:tc>
              <w:tc>
                <w:tcPr>
                  <w:tcW w:w="6856" w:type="dxa"/>
                  <w:tcBorders>
                    <w:top w:val="nil"/>
                    <w:left w:val="single" w:sz="4" w:space="0" w:color="auto"/>
                    <w:bottom w:val="nil"/>
                    <w:right w:val="single" w:sz="4" w:space="0" w:color="auto"/>
                  </w:tcBorders>
                  <w:shd w:val="clear" w:color="auto" w:fill="E6E6E6"/>
                  <w:hideMark/>
                </w:tcPr>
                <w:p w:rsidR="00EB5BA9" w:rsidRPr="00EB5BA9" w:rsidRDefault="00EB5BA9" w:rsidP="00EB5BA9">
                  <w:pPr>
                    <w:spacing w:before="80" w:after="60" w:line="240" w:lineRule="auto"/>
                    <w:rPr>
                      <w:rFonts w:ascii="Times New Roman" w:eastAsia="Times New Roman" w:hAnsi="Times New Roman" w:cs="Times New Roman"/>
                      <w:sz w:val="24"/>
                      <w:szCs w:val="24"/>
                      <w:lang w:eastAsia="en-SG"/>
                    </w:rPr>
                  </w:pPr>
                  <w:r w:rsidRPr="00EB5BA9">
                    <w:rPr>
                      <w:rFonts w:ascii="Arial" w:eastAsia="Times New Roman" w:hAnsi="Arial" w:cs="Arial"/>
                      <w:color w:val="0000FF"/>
                      <w:sz w:val="20"/>
                      <w:szCs w:val="20"/>
                      <w:lang w:eastAsia="en-SG"/>
                    </w:rPr>
                    <w:t>2.2.1.1. Phạm vi của số liệu</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80" w:after="60" w:line="264" w:lineRule="auto"/>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w:t>
                  </w:r>
                </w:p>
              </w:tc>
              <w:tc>
                <w:tcPr>
                  <w:tcW w:w="685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80" w:after="60" w:line="240" w:lineRule="auto"/>
                    <w:ind w:firstLine="360"/>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 xml:space="preserve">Phạm vi giao dịch:  IIP  là bảng báo cáo thống kê thể hiện số dư về tài sản có và tài sản nợ tài chính nước ngoài của Việt Nam với phần còn lại của thế giới tại một thời điểm nhất định. </w:t>
                  </w:r>
                </w:p>
                <w:p w:rsidR="00EB5BA9" w:rsidRPr="00EB5BA9" w:rsidRDefault="00EB5BA9" w:rsidP="00EB5BA9">
                  <w:pPr>
                    <w:spacing w:before="80" w:after="60" w:line="240" w:lineRule="auto"/>
                    <w:ind w:firstLine="360"/>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Phạm vi địa lý: Lãnh thổ địa lý để tham chiếu là lãnh thổ nước Cộng hoà Xã hội Chủ nghĩa Việt Nam.</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80" w:after="60" w:line="264" w:lineRule="auto"/>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c>
                <w:tcPr>
                  <w:tcW w:w="6856" w:type="dxa"/>
                  <w:tcBorders>
                    <w:top w:val="nil"/>
                    <w:left w:val="single" w:sz="4" w:space="0" w:color="auto"/>
                    <w:bottom w:val="nil"/>
                    <w:right w:val="single" w:sz="4" w:space="0" w:color="auto"/>
                  </w:tcBorders>
                  <w:shd w:val="clear" w:color="auto" w:fill="E6E6E6"/>
                  <w:hideMark/>
                </w:tcPr>
                <w:p w:rsidR="00EB5BA9" w:rsidRPr="00EB5BA9" w:rsidRDefault="00EB5BA9" w:rsidP="00EB5BA9">
                  <w:pPr>
                    <w:spacing w:before="80" w:after="60" w:line="240" w:lineRule="auto"/>
                    <w:rPr>
                      <w:rFonts w:ascii="Times New Roman" w:eastAsia="Times New Roman" w:hAnsi="Times New Roman" w:cs="Times New Roman"/>
                      <w:sz w:val="24"/>
                      <w:szCs w:val="24"/>
                      <w:lang w:eastAsia="en-SG"/>
                    </w:rPr>
                  </w:pPr>
                  <w:r w:rsidRPr="00EB5BA9">
                    <w:rPr>
                      <w:rFonts w:ascii="Arial" w:eastAsia="Times New Roman" w:hAnsi="Arial" w:cs="Arial"/>
                      <w:color w:val="0000FF"/>
                      <w:sz w:val="20"/>
                      <w:szCs w:val="20"/>
                      <w:lang w:eastAsia="en-SG"/>
                    </w:rPr>
                    <w:t>2.2.1.2. Những trường hợp ngoại lệ</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80" w:after="60" w:line="120" w:lineRule="auto"/>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w:t>
                  </w:r>
                </w:p>
              </w:tc>
              <w:tc>
                <w:tcPr>
                  <w:tcW w:w="685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80" w:after="60" w:line="120" w:lineRule="auto"/>
                    <w:rPr>
                      <w:rFonts w:ascii="Times New Roman" w:eastAsia="Times New Roman" w:hAnsi="Times New Roman" w:cs="Times New Roman"/>
                      <w:sz w:val="24"/>
                      <w:szCs w:val="24"/>
                      <w:lang w:eastAsia="en-SG"/>
                    </w:rPr>
                  </w:pPr>
                  <w:r w:rsidRPr="00EB5BA9">
                    <w:rPr>
                      <w:rFonts w:ascii="Arial" w:eastAsia="Times New Roman" w:hAnsi="Arial" w:cs="Arial"/>
                      <w:color w:val="0000FF"/>
                      <w:sz w:val="20"/>
                      <w:szCs w:val="20"/>
                      <w:lang w:eastAsia="en-SG"/>
                    </w:rPr>
                    <w:t>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80" w:after="60" w:line="264" w:lineRule="auto"/>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w:t>
                  </w:r>
                </w:p>
              </w:tc>
              <w:tc>
                <w:tcPr>
                  <w:tcW w:w="6856" w:type="dxa"/>
                  <w:tcBorders>
                    <w:top w:val="nil"/>
                    <w:left w:val="single" w:sz="4" w:space="0" w:color="auto"/>
                    <w:bottom w:val="nil"/>
                    <w:right w:val="single" w:sz="4" w:space="0" w:color="auto"/>
                  </w:tcBorders>
                  <w:shd w:val="clear" w:color="auto" w:fill="E6E6E6"/>
                  <w:hideMark/>
                </w:tcPr>
                <w:p w:rsidR="00EB5BA9" w:rsidRPr="00EB5BA9" w:rsidRDefault="00EB5BA9" w:rsidP="00EB5BA9">
                  <w:pPr>
                    <w:spacing w:before="80" w:after="60" w:line="240" w:lineRule="auto"/>
                    <w:rPr>
                      <w:rFonts w:ascii="Times New Roman" w:eastAsia="Times New Roman" w:hAnsi="Times New Roman" w:cs="Times New Roman"/>
                      <w:sz w:val="24"/>
                      <w:szCs w:val="24"/>
                      <w:lang w:eastAsia="en-SG"/>
                    </w:rPr>
                  </w:pPr>
                  <w:r w:rsidRPr="00EB5BA9">
                    <w:rPr>
                      <w:rFonts w:ascii="Arial" w:eastAsia="Times New Roman" w:hAnsi="Arial" w:cs="Arial"/>
                      <w:color w:val="0000FF"/>
                      <w:sz w:val="20"/>
                      <w:szCs w:val="20"/>
                      <w:lang w:eastAsia="en-SG"/>
                    </w:rPr>
                    <w:t>2.2.1.3. Những hoạt động không được ghi chép</w:t>
                  </w:r>
                </w:p>
              </w:tc>
            </w:tr>
            <w:tr w:rsidR="00EB5BA9" w:rsidRPr="00EB5BA9">
              <w:tc>
                <w:tcPr>
                  <w:tcW w:w="222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80" w:after="60" w:line="120" w:lineRule="auto"/>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w:t>
                  </w:r>
                </w:p>
              </w:tc>
              <w:tc>
                <w:tcPr>
                  <w:tcW w:w="685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80" w:after="60" w:line="120" w:lineRule="auto"/>
                    <w:rPr>
                      <w:rFonts w:ascii="Times New Roman" w:eastAsia="Times New Roman" w:hAnsi="Times New Roman" w:cs="Times New Roman"/>
                      <w:sz w:val="24"/>
                      <w:szCs w:val="24"/>
                      <w:lang w:eastAsia="en-SG"/>
                    </w:rPr>
                  </w:pPr>
                  <w:r w:rsidRPr="00EB5BA9">
                    <w:rPr>
                      <w:rFonts w:ascii="Arial" w:eastAsia="Times New Roman" w:hAnsi="Arial" w:cs="Arial"/>
                      <w:color w:val="0000FF"/>
                      <w:sz w:val="20"/>
                      <w:szCs w:val="20"/>
                      <w:lang w:eastAsia="en-SG"/>
                    </w:rPr>
                    <w:t> </w:t>
                  </w:r>
                </w:p>
              </w:tc>
            </w:tr>
            <w:tr w:rsidR="00EB5BA9" w:rsidRPr="00EB5BA9">
              <w:tc>
                <w:tcPr>
                  <w:tcW w:w="2226" w:type="dxa"/>
                  <w:tcBorders>
                    <w:top w:val="single" w:sz="4" w:space="0" w:color="auto"/>
                    <w:left w:val="single" w:sz="4" w:space="0" w:color="auto"/>
                    <w:bottom w:val="nil"/>
                    <w:right w:val="single" w:sz="4" w:space="0" w:color="auto"/>
                  </w:tcBorders>
                  <w:shd w:val="clear" w:color="auto" w:fill="E0E0E0"/>
                  <w:hideMark/>
                </w:tcPr>
                <w:p w:rsidR="00EB5BA9" w:rsidRPr="00EB5BA9" w:rsidRDefault="00EB5BA9" w:rsidP="00EB5BA9">
                  <w:pPr>
                    <w:spacing w:before="80" w:after="60" w:line="264" w:lineRule="auto"/>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2.3. Phân loại/</w:t>
                  </w:r>
                  <w:r w:rsidRPr="00EB5BA9">
                    <w:rPr>
                      <w:rFonts w:ascii="Arial" w:eastAsia="Times New Roman" w:hAnsi="Arial" w:cs="Arial"/>
                      <w:b/>
                      <w:color w:val="0000FF"/>
                      <w:sz w:val="20"/>
                      <w:szCs w:val="20"/>
                      <w:lang w:eastAsia="en-SG"/>
                    </w:rPr>
                    <w:br/>
                    <w:t xml:space="preserve">phân ngành </w:t>
                  </w:r>
                </w:p>
              </w:tc>
              <w:tc>
                <w:tcPr>
                  <w:tcW w:w="6856" w:type="dxa"/>
                  <w:tcBorders>
                    <w:top w:val="single" w:sz="4" w:space="0" w:color="auto"/>
                    <w:left w:val="single" w:sz="4" w:space="0" w:color="auto"/>
                    <w:bottom w:val="nil"/>
                    <w:right w:val="single" w:sz="4" w:space="0" w:color="auto"/>
                  </w:tcBorders>
                  <w:shd w:val="clear" w:color="auto" w:fill="E0E0E0"/>
                  <w:hideMark/>
                </w:tcPr>
                <w:p w:rsidR="00EB5BA9" w:rsidRPr="00EB5BA9" w:rsidRDefault="00EB5BA9" w:rsidP="00EB5BA9">
                  <w:pPr>
                    <w:spacing w:before="80" w:after="60" w:line="240" w:lineRule="auto"/>
                    <w:rPr>
                      <w:rFonts w:ascii="Times New Roman" w:eastAsia="Times New Roman" w:hAnsi="Times New Roman" w:cs="Times New Roman"/>
                      <w:sz w:val="24"/>
                      <w:szCs w:val="24"/>
                      <w:lang w:eastAsia="en-SG"/>
                    </w:rPr>
                  </w:pPr>
                  <w:r w:rsidRPr="00EB5BA9">
                    <w:rPr>
                      <w:rFonts w:ascii="Arial" w:eastAsia="Times New Roman" w:hAnsi="Arial" w:cs="Arial"/>
                      <w:color w:val="0000FF"/>
                      <w:sz w:val="20"/>
                      <w:szCs w:val="20"/>
                      <w:lang w:eastAsia="en-SG"/>
                    </w:rPr>
                    <w:t xml:space="preserve">2.3.1. Phân loại/phân ngành </w:t>
                  </w:r>
                </w:p>
              </w:tc>
            </w:tr>
            <w:tr w:rsidR="00EB5BA9" w:rsidRPr="00EB5BA9">
              <w:tc>
                <w:tcPr>
                  <w:tcW w:w="222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80" w:after="60" w:line="264" w:lineRule="auto"/>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w:t>
                  </w:r>
                </w:p>
              </w:tc>
              <w:tc>
                <w:tcPr>
                  <w:tcW w:w="685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80" w:after="60" w:line="240" w:lineRule="auto"/>
                    <w:ind w:firstLine="374"/>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Các giao dịch được phân tổ theo các hạng mục chuẩn cán cân thanh toán được trình bày trong BPM6. Trong các hạng mục chính trong IIP gồm: Đầu tư trực tiếp, đầu tư gián tiếp, vay trả nợ nước ngoài (gồm vay ngắn, trung và dài hạn), tiền và tiền gửi, tài sản khác, dự trữ quốc tế.</w:t>
                  </w:r>
                </w:p>
              </w:tc>
            </w:tr>
            <w:tr w:rsidR="00EB5BA9" w:rsidRPr="00EB5BA9">
              <w:tc>
                <w:tcPr>
                  <w:tcW w:w="2226" w:type="dxa"/>
                  <w:tcBorders>
                    <w:top w:val="single" w:sz="4" w:space="0" w:color="auto"/>
                    <w:left w:val="single" w:sz="4" w:space="0" w:color="auto"/>
                    <w:bottom w:val="nil"/>
                    <w:right w:val="single" w:sz="4" w:space="0" w:color="auto"/>
                  </w:tcBorders>
                  <w:shd w:val="clear" w:color="auto" w:fill="E0E0E0"/>
                  <w:hideMark/>
                </w:tcPr>
                <w:p w:rsidR="00EB5BA9" w:rsidRPr="00EB5BA9" w:rsidRDefault="00EB5BA9" w:rsidP="00EB5BA9">
                  <w:pPr>
                    <w:spacing w:before="80" w:after="60" w:line="264" w:lineRule="auto"/>
                    <w:ind w:left="-108" w:right="-9"/>
                    <w:jc w:val="center"/>
                    <w:rPr>
                      <w:rFonts w:ascii="Times New Roman" w:eastAsia="Times New Roman" w:hAnsi="Times New Roman" w:cs="Times New Roman"/>
                      <w:sz w:val="24"/>
                      <w:szCs w:val="24"/>
                      <w:lang w:eastAsia="en-SG"/>
                    </w:rPr>
                  </w:pPr>
                  <w:r w:rsidRPr="00EB5BA9">
                    <w:rPr>
                      <w:rFonts w:ascii="Arial" w:eastAsia="Times New Roman" w:hAnsi="Arial" w:cs="Arial"/>
                      <w:b/>
                      <w:color w:val="0000FF"/>
                      <w:spacing w:val="-8"/>
                      <w:sz w:val="20"/>
                      <w:szCs w:val="20"/>
                      <w:lang w:eastAsia="en-SG"/>
                    </w:rPr>
                    <w:t>2.4. Cơ sở để ghi chép</w:t>
                  </w:r>
                </w:p>
              </w:tc>
              <w:tc>
                <w:tcPr>
                  <w:tcW w:w="6856" w:type="dxa"/>
                  <w:tcBorders>
                    <w:top w:val="single" w:sz="4" w:space="0" w:color="auto"/>
                    <w:left w:val="single" w:sz="4" w:space="0" w:color="auto"/>
                    <w:bottom w:val="nil"/>
                    <w:right w:val="single" w:sz="4" w:space="0" w:color="auto"/>
                  </w:tcBorders>
                  <w:shd w:val="clear" w:color="auto" w:fill="E0E0E0"/>
                  <w:hideMark/>
                </w:tcPr>
                <w:p w:rsidR="00EB5BA9" w:rsidRPr="00EB5BA9" w:rsidRDefault="00EB5BA9" w:rsidP="00EB5BA9">
                  <w:pPr>
                    <w:spacing w:before="80" w:after="60" w:line="264" w:lineRule="auto"/>
                    <w:rPr>
                      <w:rFonts w:ascii="Times New Roman" w:eastAsia="Times New Roman" w:hAnsi="Times New Roman" w:cs="Times New Roman"/>
                      <w:sz w:val="24"/>
                      <w:szCs w:val="24"/>
                      <w:lang w:eastAsia="en-SG"/>
                    </w:rPr>
                  </w:pPr>
                  <w:r w:rsidRPr="00EB5BA9">
                    <w:rPr>
                      <w:rFonts w:ascii="Arial" w:eastAsia="Times New Roman" w:hAnsi="Arial" w:cs="Arial"/>
                      <w:color w:val="0000FF"/>
                      <w:sz w:val="20"/>
                      <w:szCs w:val="20"/>
                      <w:lang w:eastAsia="en-SG"/>
                    </w:rPr>
                    <w:t xml:space="preserve">2.4.1. Giá trị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80" w:after="60" w:line="244" w:lineRule="auto"/>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w:t>
                  </w:r>
                </w:p>
              </w:tc>
              <w:tc>
                <w:tcPr>
                  <w:tcW w:w="685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80" w:after="60" w:line="244" w:lineRule="auto"/>
                    <w:ind w:firstLine="360"/>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Phần lớn các giao dịch được xác định theo giá thị trường và được chuyển đổi sang Đô la Mỹ theo tỷ giá áp dụng cho ngày giao dịch. Số liệu tiền và tiền gửi, dự trữ quốc tế được chuyển đổi sang đô la Mỹ, áp dụng tỷ giá bình quân liên ngân hàng tại thời điểm cuối kỳ.</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80" w:after="60" w:line="264" w:lineRule="auto"/>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c>
                <w:tcPr>
                  <w:tcW w:w="6856" w:type="dxa"/>
                  <w:tcBorders>
                    <w:top w:val="nil"/>
                    <w:left w:val="single" w:sz="4" w:space="0" w:color="auto"/>
                    <w:bottom w:val="nil"/>
                    <w:right w:val="single" w:sz="4" w:space="0" w:color="auto"/>
                  </w:tcBorders>
                  <w:shd w:val="clear" w:color="auto" w:fill="E6E6E6"/>
                  <w:hideMark/>
                </w:tcPr>
                <w:p w:rsidR="00EB5BA9" w:rsidRPr="00EB5BA9" w:rsidRDefault="00EB5BA9" w:rsidP="00EB5BA9">
                  <w:pPr>
                    <w:spacing w:before="80" w:after="60" w:line="264" w:lineRule="auto"/>
                    <w:rPr>
                      <w:rFonts w:ascii="Times New Roman" w:eastAsia="Times New Roman" w:hAnsi="Times New Roman" w:cs="Times New Roman"/>
                      <w:sz w:val="24"/>
                      <w:szCs w:val="24"/>
                      <w:lang w:eastAsia="en-SG"/>
                    </w:rPr>
                  </w:pPr>
                  <w:r w:rsidRPr="00EB5BA9">
                    <w:rPr>
                      <w:rFonts w:ascii="Arial" w:eastAsia="Times New Roman" w:hAnsi="Arial" w:cs="Arial"/>
                      <w:color w:val="0000FF"/>
                      <w:sz w:val="20"/>
                      <w:szCs w:val="20"/>
                      <w:lang w:eastAsia="en-SG"/>
                    </w:rPr>
                    <w:t xml:space="preserve">2.4.2. Cơ sở ghi chép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80" w:after="60" w:line="120" w:lineRule="auto"/>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w:t>
                  </w:r>
                </w:p>
              </w:tc>
              <w:tc>
                <w:tcPr>
                  <w:tcW w:w="685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80" w:after="60" w:line="120" w:lineRule="auto"/>
                    <w:rPr>
                      <w:rFonts w:ascii="Times New Roman" w:eastAsia="Times New Roman" w:hAnsi="Times New Roman" w:cs="Times New Roman"/>
                      <w:sz w:val="24"/>
                      <w:szCs w:val="24"/>
                      <w:lang w:eastAsia="en-SG"/>
                    </w:rPr>
                  </w:pPr>
                  <w:r w:rsidRPr="00EB5BA9">
                    <w:rPr>
                      <w:rFonts w:ascii="Arial" w:eastAsia="Times New Roman" w:hAnsi="Arial" w:cs="Arial"/>
                      <w:color w:val="0000FF"/>
                      <w:sz w:val="20"/>
                      <w:szCs w:val="20"/>
                      <w:lang w:eastAsia="en-SG"/>
                    </w:rPr>
                    <w:t>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80" w:after="60" w:line="264" w:lineRule="auto"/>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w:t>
                  </w:r>
                </w:p>
              </w:tc>
              <w:tc>
                <w:tcPr>
                  <w:tcW w:w="6856" w:type="dxa"/>
                  <w:tcBorders>
                    <w:top w:val="nil"/>
                    <w:left w:val="single" w:sz="4" w:space="0" w:color="auto"/>
                    <w:bottom w:val="nil"/>
                    <w:right w:val="single" w:sz="4" w:space="0" w:color="auto"/>
                  </w:tcBorders>
                  <w:shd w:val="clear" w:color="auto" w:fill="E6E6E6"/>
                  <w:hideMark/>
                </w:tcPr>
                <w:p w:rsidR="00EB5BA9" w:rsidRPr="00EB5BA9" w:rsidRDefault="00EB5BA9" w:rsidP="00EB5BA9">
                  <w:pPr>
                    <w:spacing w:before="80" w:after="60" w:line="264" w:lineRule="auto"/>
                    <w:rPr>
                      <w:rFonts w:ascii="Times New Roman" w:eastAsia="Times New Roman" w:hAnsi="Times New Roman" w:cs="Times New Roman"/>
                      <w:sz w:val="24"/>
                      <w:szCs w:val="24"/>
                      <w:lang w:eastAsia="en-SG"/>
                    </w:rPr>
                  </w:pPr>
                  <w:r w:rsidRPr="00EB5BA9">
                    <w:rPr>
                      <w:rFonts w:ascii="Arial" w:eastAsia="Times New Roman" w:hAnsi="Arial" w:cs="Arial"/>
                      <w:color w:val="0000FF"/>
                      <w:sz w:val="20"/>
                      <w:szCs w:val="20"/>
                      <w:lang w:eastAsia="en-SG"/>
                    </w:rPr>
                    <w:t xml:space="preserve">2.4.3. Tính gộp hoặc tính thuần </w:t>
                  </w:r>
                </w:p>
              </w:tc>
            </w:tr>
            <w:tr w:rsidR="00EB5BA9" w:rsidRPr="00EB5BA9">
              <w:trPr>
                <w:trHeight w:val="64"/>
              </w:trPr>
              <w:tc>
                <w:tcPr>
                  <w:tcW w:w="222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80" w:after="60" w:line="64" w:lineRule="atLeast"/>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w:t>
                  </w:r>
                </w:p>
              </w:tc>
              <w:tc>
                <w:tcPr>
                  <w:tcW w:w="685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80" w:after="60" w:line="64" w:lineRule="atLeast"/>
                    <w:rPr>
                      <w:rFonts w:ascii="Times New Roman" w:eastAsia="Times New Roman" w:hAnsi="Times New Roman" w:cs="Times New Roman"/>
                      <w:sz w:val="24"/>
                      <w:szCs w:val="24"/>
                      <w:lang w:eastAsia="en-SG"/>
                    </w:rPr>
                  </w:pPr>
                  <w:r w:rsidRPr="00EB5BA9">
                    <w:rPr>
                      <w:rFonts w:ascii="Arial" w:eastAsia="Times New Roman" w:hAnsi="Arial" w:cs="Arial"/>
                      <w:color w:val="0000FF"/>
                      <w:sz w:val="20"/>
                      <w:szCs w:val="20"/>
                      <w:lang w:eastAsia="en-SG"/>
                    </w:rPr>
                    <w:t> </w:t>
                  </w:r>
                </w:p>
              </w:tc>
            </w:tr>
            <w:tr w:rsidR="00EB5BA9" w:rsidRPr="00EB5BA9">
              <w:tc>
                <w:tcPr>
                  <w:tcW w:w="9082" w:type="dxa"/>
                  <w:gridSpan w:val="2"/>
                  <w:tcBorders>
                    <w:top w:val="single" w:sz="4" w:space="0" w:color="auto"/>
                    <w:left w:val="single" w:sz="4" w:space="0" w:color="auto"/>
                    <w:bottom w:val="single" w:sz="4" w:space="0" w:color="auto"/>
                    <w:right w:val="single" w:sz="4" w:space="0" w:color="auto"/>
                  </w:tcBorders>
                  <w:shd w:val="clear" w:color="auto" w:fill="E0E0E0"/>
                  <w:hideMark/>
                </w:tcPr>
                <w:p w:rsidR="00EB5BA9" w:rsidRPr="00EB5BA9" w:rsidRDefault="00EB5BA9" w:rsidP="00EB5BA9">
                  <w:pPr>
                    <w:spacing w:before="80" w:after="60" w:line="264" w:lineRule="auto"/>
                    <w:jc w:val="center"/>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3. Tính chính xác và độ tin cậy của số liệu</w:t>
                  </w:r>
                </w:p>
              </w:tc>
            </w:tr>
            <w:tr w:rsidR="00EB5BA9" w:rsidRPr="00EB5BA9">
              <w:tc>
                <w:tcPr>
                  <w:tcW w:w="2226" w:type="dxa"/>
                  <w:tcBorders>
                    <w:top w:val="single" w:sz="4" w:space="0" w:color="auto"/>
                    <w:left w:val="single" w:sz="4" w:space="0" w:color="auto"/>
                    <w:bottom w:val="nil"/>
                    <w:right w:val="single" w:sz="4" w:space="0" w:color="auto"/>
                  </w:tcBorders>
                  <w:shd w:val="clear" w:color="auto" w:fill="E0E0E0"/>
                  <w:hideMark/>
                </w:tcPr>
                <w:p w:rsidR="00EB5BA9" w:rsidRPr="00EB5BA9" w:rsidRDefault="00EB5BA9" w:rsidP="00EB5BA9">
                  <w:pPr>
                    <w:spacing w:before="80" w:after="60" w:line="264" w:lineRule="auto"/>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xml:space="preserve">3.1. Số liệu nguồn </w:t>
                  </w:r>
                </w:p>
              </w:tc>
              <w:tc>
                <w:tcPr>
                  <w:tcW w:w="6856" w:type="dxa"/>
                  <w:tcBorders>
                    <w:top w:val="single" w:sz="4" w:space="0" w:color="auto"/>
                    <w:left w:val="single" w:sz="4" w:space="0" w:color="auto"/>
                    <w:bottom w:val="nil"/>
                    <w:right w:val="single" w:sz="4" w:space="0" w:color="auto"/>
                  </w:tcBorders>
                  <w:shd w:val="clear" w:color="auto" w:fill="E0E0E0"/>
                  <w:hideMark/>
                </w:tcPr>
                <w:p w:rsidR="00EB5BA9" w:rsidRPr="00EB5BA9" w:rsidRDefault="00EB5BA9" w:rsidP="00EB5BA9">
                  <w:pPr>
                    <w:spacing w:before="80" w:after="60" w:line="264" w:lineRule="auto"/>
                    <w:rPr>
                      <w:rFonts w:ascii="Times New Roman" w:eastAsia="Times New Roman" w:hAnsi="Times New Roman" w:cs="Times New Roman"/>
                      <w:sz w:val="24"/>
                      <w:szCs w:val="24"/>
                      <w:lang w:eastAsia="en-SG"/>
                    </w:rPr>
                  </w:pPr>
                  <w:r w:rsidRPr="00EB5BA9">
                    <w:rPr>
                      <w:rFonts w:ascii="Arial" w:eastAsia="Times New Roman" w:hAnsi="Arial" w:cs="Arial"/>
                      <w:color w:val="0000FF"/>
                      <w:sz w:val="20"/>
                      <w:szCs w:val="20"/>
                      <w:lang w:eastAsia="en-SG"/>
                    </w:rPr>
                    <w:t>3.1.1. Chương trình thu thập số liệu nguồn</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80" w:after="60" w:line="252" w:lineRule="auto"/>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w:t>
                  </w:r>
                </w:p>
              </w:tc>
              <w:tc>
                <w:tcPr>
                  <w:tcW w:w="685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80" w:after="60" w:line="252" w:lineRule="auto"/>
                    <w:rPr>
                      <w:rFonts w:ascii="Times New Roman" w:eastAsia="Times New Roman" w:hAnsi="Times New Roman" w:cs="Times New Roman"/>
                      <w:sz w:val="24"/>
                      <w:szCs w:val="24"/>
                      <w:lang w:eastAsia="en-SG"/>
                    </w:rPr>
                  </w:pPr>
                  <w:r w:rsidRPr="00EB5BA9">
                    <w:rPr>
                      <w:rFonts w:ascii="Arial" w:eastAsia="Times New Roman" w:hAnsi="Arial" w:cs="Arial"/>
                      <w:color w:val="0000FF"/>
                      <w:sz w:val="20"/>
                      <w:szCs w:val="20"/>
                      <w:lang w:eastAsia="en-SG"/>
                    </w:rPr>
                    <w:t>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80" w:after="60" w:line="252" w:lineRule="auto"/>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w:t>
                  </w:r>
                </w:p>
              </w:tc>
              <w:tc>
                <w:tcPr>
                  <w:tcW w:w="6856" w:type="dxa"/>
                  <w:tcBorders>
                    <w:top w:val="nil"/>
                    <w:left w:val="single" w:sz="4" w:space="0" w:color="auto"/>
                    <w:bottom w:val="nil"/>
                    <w:right w:val="single" w:sz="4" w:space="0" w:color="auto"/>
                  </w:tcBorders>
                  <w:shd w:val="clear" w:color="auto" w:fill="E6E6E6"/>
                  <w:hideMark/>
                </w:tcPr>
                <w:p w:rsidR="00EB5BA9" w:rsidRPr="00EB5BA9" w:rsidRDefault="00EB5BA9" w:rsidP="00EB5BA9">
                  <w:pPr>
                    <w:spacing w:before="80" w:after="60" w:line="252" w:lineRule="auto"/>
                    <w:rPr>
                      <w:rFonts w:ascii="Times New Roman" w:eastAsia="Times New Roman" w:hAnsi="Times New Roman" w:cs="Times New Roman"/>
                      <w:sz w:val="24"/>
                      <w:szCs w:val="24"/>
                      <w:lang w:eastAsia="en-SG"/>
                    </w:rPr>
                  </w:pPr>
                  <w:r w:rsidRPr="00EB5BA9">
                    <w:rPr>
                      <w:rFonts w:ascii="Arial" w:eastAsia="Times New Roman" w:hAnsi="Arial" w:cs="Arial"/>
                      <w:color w:val="0000FF"/>
                      <w:sz w:val="20"/>
                      <w:szCs w:val="20"/>
                      <w:lang w:eastAsia="en-SG"/>
                    </w:rPr>
                    <w:t xml:space="preserve">3.1.2. Các định nghĩa, phạm vi, phân loại, định giá và thời gian thu thập số liệu nguồn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80" w:after="60" w:line="252" w:lineRule="auto"/>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w:t>
                  </w:r>
                </w:p>
              </w:tc>
              <w:tc>
                <w:tcPr>
                  <w:tcW w:w="685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80" w:after="60" w:line="252" w:lineRule="auto"/>
                    <w:ind w:firstLine="372"/>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 xml:space="preserve">Bộ Kế hoạch và Đầu tư (KHĐT) thực hiện thu thập các số liệu về đầu tư trực tiếp nước ngoài (FDI) tại Việt Nam, và đầu tư trực tiếp của Việt Nam ra nước ngoài. Các công ty có vốn đầu tư trực tiếp nước ngoài phải báo cáo số liệu hàng quý về vốn đầu tư và các khoản vay. Không có </w:t>
                  </w:r>
                  <w:r w:rsidRPr="00EB5BA9">
                    <w:rPr>
                      <w:rFonts w:ascii="Arial" w:eastAsia="Times New Roman" w:hAnsi="Arial" w:cs="Arial"/>
                      <w:sz w:val="20"/>
                      <w:szCs w:val="20"/>
                      <w:lang w:eastAsia="en-SG"/>
                    </w:rPr>
                    <w:lastRenderedPageBreak/>
                    <w:t>sự phân biệt giữa tài sản nợ với công ty mẹ và tài sản nợ với các chủ nợ không cư trú khác, và không có thông tin về lợi nhuận giữ lại và lợi nhuận chuyển về nước, thoái vốn. Tuy nhiên Bộ KHĐT chưa công bố số liệu tích lũy. Hiện tại NHNN sử dụng số liệu thực hiện trong kỳ qua các năm để tính toán số liệu tích lũy về đầu tư trực tiếp nước ngoài vào Việt Nam.</w:t>
                  </w:r>
                </w:p>
                <w:p w:rsidR="00EB5BA9" w:rsidRPr="00EB5BA9" w:rsidRDefault="00EB5BA9" w:rsidP="00EB5BA9">
                  <w:pPr>
                    <w:spacing w:before="80" w:after="60" w:line="252" w:lineRule="auto"/>
                    <w:ind w:firstLine="372"/>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 xml:space="preserve">Bắt đầu từ năm 2005, NHNN ước tính trên số liệu thực hiện ĐTTT của Việt Nam ra nước ngoài trên cơ sở  số liệu của Bộ KHĐT cung cấp. NHNN cũng sử dụng số liệu thực hiện trong kỳ qua các năm để tính toán số liệu tích lũy về đầu tư trực tiếp ra nước ngoài.  </w:t>
                  </w:r>
                </w:p>
                <w:p w:rsidR="00EB5BA9" w:rsidRPr="00EB5BA9" w:rsidRDefault="00EB5BA9" w:rsidP="00EB5BA9">
                  <w:pPr>
                    <w:spacing w:before="80" w:after="60" w:line="252" w:lineRule="auto"/>
                    <w:ind w:firstLine="372"/>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 xml:space="preserve">Số liệu về đầu tư gián tiếp bắt đầu được thu thập và báo cáo trong mục đầu tư vào giấy tờ có giá khi Chính phủ Việt Nam phát hành trái phiếu ra thị trường quốc tế tháng 11/2005. Từ năm 2006, NHNN  ước tính số liệu về đầu tư vào giấy tờ có giá của khu vực tư nhân. Tuy nhiên, những ước tính này vẫn còn hạn chế bởi vì thống kê hiện hành không phân biệt nhà đầu tư nước ngoài là người không cư trú và người cư trú. NHNN ước tính số liệu tích lũy của hạng mục đầu tư gián tiếp dựa trên số liệu tích lũy qua các năm.  </w:t>
                  </w:r>
                </w:p>
                <w:p w:rsidR="00EB5BA9" w:rsidRPr="00EB5BA9" w:rsidRDefault="00EB5BA9" w:rsidP="00EB5BA9">
                  <w:pPr>
                    <w:spacing w:before="80" w:after="60" w:line="252" w:lineRule="auto"/>
                    <w:ind w:firstLine="372"/>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 xml:space="preserve">Số liệu về đầu tư khác của chính phủ trung ương về các khoản vay của khu vực chính phủ, nợ của doanh nghiệp được Chính phủ bảo lãnh được thu thập từ Bộ Tài chính, số liệu về các khoản vay của khu vực doanh nghiệp và tư nhân không được Chính phủ bảo lãnh được thu thập từ NHNN, và về tín dụng thương mại được thu thập từ các ngân hàng thương mại. Số liệu tích lũy cũng được NHNN tính toán dựa trên số liệu số dư nợ của do NHNN và Bộ Tài chính cung cấp và số liệu số dư tiền tệ do NHNN cung cấp. </w:t>
                  </w:r>
                </w:p>
                <w:p w:rsidR="00EB5BA9" w:rsidRPr="00EB5BA9" w:rsidRDefault="00EB5BA9" w:rsidP="00EB5BA9">
                  <w:pPr>
                    <w:spacing w:before="80" w:after="60" w:line="252" w:lineRule="auto"/>
                    <w:ind w:firstLine="372"/>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 xml:space="preserve">Từ năm 2009, NHNN đã thiết lập thêm hai hạng mục: Hạng mục đầu tư gián tiếp ra nước ngoài của các tổ chức tín dụng, số liệu thu thập từ bảng cân đối tiền tệ của các tổ chức tín dụng; Hạng mục tiền và tiền gửi của khu vực khác để thống kê lượng ngoại tệ nắm giữ trong dân chúng không tập trung vào hệ thống ngân hàng.   </w:t>
                  </w:r>
                </w:p>
                <w:p w:rsidR="00EB5BA9" w:rsidRPr="00EB5BA9" w:rsidRDefault="00EB5BA9" w:rsidP="00EB5BA9">
                  <w:pPr>
                    <w:spacing w:before="80" w:after="60" w:line="252" w:lineRule="auto"/>
                    <w:ind w:firstLine="372"/>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 xml:space="preserve">Số liệu dự trữ ngoại hối do NHNN cung cấp.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80" w:after="60" w:line="252" w:lineRule="auto"/>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lastRenderedPageBreak/>
                    <w:t> </w:t>
                  </w:r>
                </w:p>
              </w:tc>
              <w:tc>
                <w:tcPr>
                  <w:tcW w:w="6856" w:type="dxa"/>
                  <w:tcBorders>
                    <w:top w:val="nil"/>
                    <w:left w:val="single" w:sz="4" w:space="0" w:color="auto"/>
                    <w:bottom w:val="nil"/>
                    <w:right w:val="single" w:sz="4" w:space="0" w:color="auto"/>
                  </w:tcBorders>
                  <w:shd w:val="clear" w:color="auto" w:fill="E6E6E6"/>
                  <w:hideMark/>
                </w:tcPr>
                <w:p w:rsidR="00EB5BA9" w:rsidRPr="00EB5BA9" w:rsidRDefault="00EB5BA9" w:rsidP="00EB5BA9">
                  <w:pPr>
                    <w:spacing w:before="80" w:after="60" w:line="252" w:lineRule="auto"/>
                    <w:rPr>
                      <w:rFonts w:ascii="Times New Roman" w:eastAsia="Times New Roman" w:hAnsi="Times New Roman" w:cs="Times New Roman"/>
                      <w:sz w:val="24"/>
                      <w:szCs w:val="24"/>
                      <w:lang w:eastAsia="en-SG"/>
                    </w:rPr>
                  </w:pPr>
                  <w:r w:rsidRPr="00EB5BA9">
                    <w:rPr>
                      <w:rFonts w:ascii="Arial" w:eastAsia="Times New Roman" w:hAnsi="Arial" w:cs="Arial"/>
                      <w:color w:val="0000FF"/>
                      <w:sz w:val="20"/>
                      <w:szCs w:val="20"/>
                      <w:lang w:eastAsia="en-SG"/>
                    </w:rPr>
                    <w:t xml:space="preserve">3.1.3. Tính kịp thời  của số liệu nguồn </w:t>
                  </w:r>
                </w:p>
              </w:tc>
            </w:tr>
            <w:tr w:rsidR="00EB5BA9" w:rsidRPr="00EB5BA9">
              <w:tc>
                <w:tcPr>
                  <w:tcW w:w="222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80" w:after="60" w:line="252" w:lineRule="auto"/>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w:t>
                  </w:r>
                </w:p>
              </w:tc>
              <w:tc>
                <w:tcPr>
                  <w:tcW w:w="685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80" w:after="60" w:line="252" w:lineRule="auto"/>
                    <w:rPr>
                      <w:rFonts w:ascii="Times New Roman" w:eastAsia="Times New Roman" w:hAnsi="Times New Roman" w:cs="Times New Roman"/>
                      <w:sz w:val="24"/>
                      <w:szCs w:val="24"/>
                      <w:lang w:eastAsia="en-SG"/>
                    </w:rPr>
                  </w:pPr>
                  <w:r w:rsidRPr="00EB5BA9">
                    <w:rPr>
                      <w:rFonts w:ascii="Arial" w:eastAsia="Times New Roman" w:hAnsi="Arial" w:cs="Arial"/>
                      <w:color w:val="0000FF"/>
                      <w:sz w:val="20"/>
                      <w:szCs w:val="20"/>
                      <w:lang w:eastAsia="en-SG"/>
                    </w:rPr>
                    <w:t> </w:t>
                  </w:r>
                </w:p>
              </w:tc>
            </w:tr>
            <w:tr w:rsidR="00EB5BA9" w:rsidRPr="00EB5BA9">
              <w:tc>
                <w:tcPr>
                  <w:tcW w:w="2226" w:type="dxa"/>
                  <w:tcBorders>
                    <w:top w:val="single" w:sz="4" w:space="0" w:color="auto"/>
                    <w:left w:val="single" w:sz="4" w:space="0" w:color="auto"/>
                    <w:bottom w:val="nil"/>
                    <w:right w:val="single" w:sz="4" w:space="0" w:color="auto"/>
                  </w:tcBorders>
                  <w:shd w:val="clear" w:color="auto" w:fill="E0E0E0"/>
                  <w:hideMark/>
                </w:tcPr>
                <w:p w:rsidR="00EB5BA9" w:rsidRPr="00EB5BA9" w:rsidRDefault="00EB5BA9" w:rsidP="00EB5BA9">
                  <w:pPr>
                    <w:spacing w:before="80" w:after="60" w:line="264" w:lineRule="auto"/>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3.2. Đánh giá nguồn số liệu</w:t>
                  </w:r>
                </w:p>
              </w:tc>
              <w:tc>
                <w:tcPr>
                  <w:tcW w:w="6856" w:type="dxa"/>
                  <w:tcBorders>
                    <w:top w:val="single" w:sz="4" w:space="0" w:color="auto"/>
                    <w:left w:val="single" w:sz="4" w:space="0" w:color="auto"/>
                    <w:bottom w:val="nil"/>
                    <w:right w:val="single" w:sz="4" w:space="0" w:color="auto"/>
                  </w:tcBorders>
                  <w:shd w:val="clear" w:color="auto" w:fill="E0E0E0"/>
                  <w:hideMark/>
                </w:tcPr>
                <w:p w:rsidR="00EB5BA9" w:rsidRPr="00EB5BA9" w:rsidRDefault="00EB5BA9" w:rsidP="00EB5BA9">
                  <w:pPr>
                    <w:spacing w:before="8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xml:space="preserve">3.2.1. Đánh giá nguồn số liệu </w:t>
                  </w:r>
                </w:p>
              </w:tc>
            </w:tr>
            <w:tr w:rsidR="00EB5BA9" w:rsidRPr="00EB5BA9">
              <w:tc>
                <w:tcPr>
                  <w:tcW w:w="222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80" w:after="6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c>
                <w:tcPr>
                  <w:tcW w:w="685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80" w:after="6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r>
            <w:tr w:rsidR="00EB5BA9" w:rsidRPr="00EB5BA9">
              <w:tc>
                <w:tcPr>
                  <w:tcW w:w="2226" w:type="dxa"/>
                  <w:tcBorders>
                    <w:top w:val="single" w:sz="4" w:space="0" w:color="auto"/>
                    <w:left w:val="single" w:sz="4" w:space="0" w:color="auto"/>
                    <w:bottom w:val="nil"/>
                    <w:right w:val="single" w:sz="4" w:space="0" w:color="auto"/>
                  </w:tcBorders>
                  <w:shd w:val="clear" w:color="auto" w:fill="E0E0E0"/>
                  <w:hideMark/>
                </w:tcPr>
                <w:p w:rsidR="00EB5BA9" w:rsidRPr="00EB5BA9" w:rsidRDefault="00EB5BA9" w:rsidP="00EB5BA9">
                  <w:pPr>
                    <w:spacing w:before="80" w:after="60" w:line="264" w:lineRule="auto"/>
                    <w:ind w:left="-108" w:right="-151"/>
                    <w:jc w:val="center"/>
                    <w:rPr>
                      <w:rFonts w:ascii="Times New Roman" w:eastAsia="Times New Roman" w:hAnsi="Times New Roman" w:cs="Times New Roman"/>
                      <w:sz w:val="24"/>
                      <w:szCs w:val="24"/>
                      <w:lang w:eastAsia="en-SG"/>
                    </w:rPr>
                  </w:pPr>
                  <w:r w:rsidRPr="00EB5BA9">
                    <w:rPr>
                      <w:rFonts w:ascii="Arial" w:eastAsia="Times New Roman" w:hAnsi="Arial" w:cs="Arial"/>
                      <w:b/>
                      <w:color w:val="0000FF"/>
                      <w:spacing w:val="-8"/>
                      <w:sz w:val="20"/>
                      <w:szCs w:val="20"/>
                      <w:lang w:eastAsia="en-SG"/>
                    </w:rPr>
                    <w:t>3.3. Kỹ thuật thống kê</w:t>
                  </w:r>
                </w:p>
              </w:tc>
              <w:tc>
                <w:tcPr>
                  <w:tcW w:w="6856" w:type="dxa"/>
                  <w:tcBorders>
                    <w:top w:val="single" w:sz="4" w:space="0" w:color="auto"/>
                    <w:left w:val="single" w:sz="4" w:space="0" w:color="auto"/>
                    <w:bottom w:val="nil"/>
                    <w:right w:val="single" w:sz="4" w:space="0" w:color="auto"/>
                  </w:tcBorders>
                  <w:shd w:val="clear" w:color="auto" w:fill="E0E0E0"/>
                  <w:hideMark/>
                </w:tcPr>
                <w:p w:rsidR="00EB5BA9" w:rsidRPr="00EB5BA9" w:rsidRDefault="00EB5BA9" w:rsidP="00EB5BA9">
                  <w:pPr>
                    <w:spacing w:before="80" w:after="60" w:line="264" w:lineRule="auto"/>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xml:space="preserve">3.3.1. Các kỹ thuật thống kê số liệu nguồn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w:t>
                  </w:r>
                </w:p>
              </w:tc>
              <w:tc>
                <w:tcPr>
                  <w:tcW w:w="685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w:t>
                  </w:r>
                </w:p>
              </w:tc>
              <w:tc>
                <w:tcPr>
                  <w:tcW w:w="6856" w:type="dxa"/>
                  <w:tcBorders>
                    <w:top w:val="nil"/>
                    <w:left w:val="single" w:sz="4" w:space="0" w:color="auto"/>
                    <w:bottom w:val="nil"/>
                    <w:right w:val="single" w:sz="4" w:space="0" w:color="auto"/>
                  </w:tcBorders>
                  <w:shd w:val="clear" w:color="auto" w:fill="E6E6E6"/>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xml:space="preserve">3.3.2. Các quy trình thống kê khác </w:t>
                  </w:r>
                </w:p>
              </w:tc>
            </w:tr>
            <w:tr w:rsidR="00EB5BA9" w:rsidRPr="00EB5BA9">
              <w:tc>
                <w:tcPr>
                  <w:tcW w:w="222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c>
                <w:tcPr>
                  <w:tcW w:w="685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r>
            <w:tr w:rsidR="00EB5BA9" w:rsidRPr="00EB5BA9">
              <w:tc>
                <w:tcPr>
                  <w:tcW w:w="2226" w:type="dxa"/>
                  <w:tcBorders>
                    <w:top w:val="single" w:sz="4" w:space="0" w:color="auto"/>
                    <w:left w:val="single" w:sz="4" w:space="0" w:color="auto"/>
                    <w:bottom w:val="nil"/>
                    <w:right w:val="single" w:sz="4" w:space="0" w:color="auto"/>
                  </w:tcBorders>
                  <w:shd w:val="clear" w:color="auto" w:fill="E0E0E0"/>
                  <w:hideMark/>
                </w:tcPr>
                <w:p w:rsidR="00EB5BA9" w:rsidRPr="00EB5BA9" w:rsidRDefault="00EB5BA9" w:rsidP="00EB5BA9">
                  <w:pPr>
                    <w:spacing w:before="60" w:after="60" w:line="264" w:lineRule="auto"/>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3.4. Tính hợp lệ của số liệu</w:t>
                  </w:r>
                </w:p>
              </w:tc>
              <w:tc>
                <w:tcPr>
                  <w:tcW w:w="6856" w:type="dxa"/>
                  <w:tcBorders>
                    <w:top w:val="single" w:sz="4" w:space="0" w:color="auto"/>
                    <w:left w:val="single" w:sz="4" w:space="0" w:color="auto"/>
                    <w:bottom w:val="nil"/>
                    <w:right w:val="single" w:sz="4" w:space="0" w:color="auto"/>
                  </w:tcBorders>
                  <w:shd w:val="clear" w:color="auto" w:fill="E0E0E0"/>
                  <w:hideMark/>
                </w:tcPr>
                <w:p w:rsidR="00EB5BA9" w:rsidRPr="00EB5BA9" w:rsidRDefault="00EB5BA9" w:rsidP="00EB5BA9">
                  <w:pPr>
                    <w:spacing w:before="60" w:after="60" w:line="264" w:lineRule="auto"/>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xml:space="preserve">3.4.1. Tính hợp lệ của các số liệu trung gian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w:t>
                  </w:r>
                </w:p>
              </w:tc>
              <w:tc>
                <w:tcPr>
                  <w:tcW w:w="685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w:t>
                  </w:r>
                </w:p>
              </w:tc>
              <w:tc>
                <w:tcPr>
                  <w:tcW w:w="6856" w:type="dxa"/>
                  <w:tcBorders>
                    <w:top w:val="nil"/>
                    <w:left w:val="single" w:sz="4" w:space="0" w:color="auto"/>
                    <w:bottom w:val="nil"/>
                    <w:right w:val="single" w:sz="4" w:space="0" w:color="auto"/>
                  </w:tcBorders>
                  <w:shd w:val="clear" w:color="auto" w:fill="E6E6E6"/>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xml:space="preserve">3.4.2. Đánh giá số liệu trung gian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c>
                <w:tcPr>
                  <w:tcW w:w="685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r>
            <w:tr w:rsidR="00EB5BA9" w:rsidRPr="00EB5BA9">
              <w:tc>
                <w:tcPr>
                  <w:tcW w:w="222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c>
                <w:tcPr>
                  <w:tcW w:w="6856" w:type="dxa"/>
                  <w:tcBorders>
                    <w:top w:val="nil"/>
                    <w:left w:val="single" w:sz="4" w:space="0" w:color="auto"/>
                    <w:bottom w:val="single" w:sz="4" w:space="0" w:color="auto"/>
                    <w:right w:val="single" w:sz="4" w:space="0" w:color="auto"/>
                  </w:tcBorders>
                  <w:shd w:val="clear" w:color="auto" w:fill="E6E6E6"/>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xml:space="preserve">3.4.3. Đánh giá những chênh lệch trong số liệu và những vấn đề khác trong các đầu ra thống kê </w:t>
                  </w:r>
                </w:p>
              </w:tc>
            </w:tr>
            <w:tr w:rsidR="00EB5BA9" w:rsidRPr="00EB5BA9">
              <w:tc>
                <w:tcPr>
                  <w:tcW w:w="222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lastRenderedPageBreak/>
                    <w:t> </w:t>
                  </w:r>
                </w:p>
              </w:tc>
              <w:tc>
                <w:tcPr>
                  <w:tcW w:w="6856" w:type="dxa"/>
                  <w:tcBorders>
                    <w:top w:val="nil"/>
                    <w:left w:val="single" w:sz="4" w:space="0" w:color="auto"/>
                    <w:bottom w:val="single" w:sz="4" w:space="0" w:color="auto"/>
                    <w:right w:val="single" w:sz="4" w:space="0" w:color="auto"/>
                  </w:tcBorders>
                  <w:shd w:val="clear" w:color="auto" w:fill="E6E6E6"/>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r>
            <w:tr w:rsidR="00EB5BA9" w:rsidRPr="00EB5BA9">
              <w:tc>
                <w:tcPr>
                  <w:tcW w:w="2226" w:type="dxa"/>
                  <w:tcBorders>
                    <w:top w:val="single" w:sz="4" w:space="0" w:color="auto"/>
                    <w:left w:val="single" w:sz="4" w:space="0" w:color="auto"/>
                    <w:bottom w:val="nil"/>
                    <w:right w:val="single" w:sz="4" w:space="0" w:color="auto"/>
                  </w:tcBorders>
                  <w:shd w:val="clear" w:color="auto" w:fill="E0E0E0"/>
                  <w:hideMark/>
                </w:tcPr>
                <w:p w:rsidR="00EB5BA9" w:rsidRPr="00EB5BA9" w:rsidRDefault="00EB5BA9" w:rsidP="00EB5BA9">
                  <w:pPr>
                    <w:spacing w:before="60" w:after="60" w:line="264" w:lineRule="auto"/>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3.5. Nghiên cứu sửa đổi</w:t>
                  </w:r>
                </w:p>
              </w:tc>
              <w:tc>
                <w:tcPr>
                  <w:tcW w:w="6856" w:type="dxa"/>
                  <w:tcBorders>
                    <w:top w:val="single" w:sz="4" w:space="0" w:color="auto"/>
                    <w:left w:val="single" w:sz="4" w:space="0" w:color="auto"/>
                    <w:bottom w:val="nil"/>
                    <w:right w:val="single" w:sz="4" w:space="0" w:color="auto"/>
                  </w:tcBorders>
                  <w:shd w:val="clear" w:color="auto" w:fill="E0E0E0"/>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xml:space="preserve">3.5.1. Nghiên cứu và phân tích những sửa đổi </w:t>
                  </w:r>
                </w:p>
              </w:tc>
            </w:tr>
            <w:tr w:rsidR="00EB5BA9" w:rsidRPr="00EB5BA9">
              <w:tc>
                <w:tcPr>
                  <w:tcW w:w="222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c>
                <w:tcPr>
                  <w:tcW w:w="685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r>
            <w:tr w:rsidR="00EB5BA9" w:rsidRPr="00EB5BA9">
              <w:tc>
                <w:tcPr>
                  <w:tcW w:w="9082" w:type="dxa"/>
                  <w:gridSpan w:val="2"/>
                  <w:tcBorders>
                    <w:top w:val="single" w:sz="4" w:space="0" w:color="auto"/>
                    <w:left w:val="single" w:sz="4" w:space="0" w:color="auto"/>
                    <w:bottom w:val="single" w:sz="4" w:space="0" w:color="auto"/>
                    <w:right w:val="single" w:sz="4" w:space="0" w:color="auto"/>
                  </w:tcBorders>
                  <w:shd w:val="clear" w:color="auto" w:fill="E6E6E6"/>
                  <w:hideMark/>
                </w:tcPr>
                <w:p w:rsidR="00EB5BA9" w:rsidRPr="00EB5BA9" w:rsidRDefault="00EB5BA9" w:rsidP="00EB5BA9">
                  <w:pPr>
                    <w:spacing w:before="60" w:after="60" w:line="264" w:lineRule="auto"/>
                    <w:jc w:val="center"/>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4. Khả năng bảo trì</w:t>
                  </w:r>
                </w:p>
              </w:tc>
            </w:tr>
            <w:tr w:rsidR="00EB5BA9" w:rsidRPr="00EB5BA9">
              <w:tc>
                <w:tcPr>
                  <w:tcW w:w="2226" w:type="dxa"/>
                  <w:tcBorders>
                    <w:top w:val="single" w:sz="4" w:space="0" w:color="auto"/>
                    <w:left w:val="single" w:sz="4" w:space="0" w:color="auto"/>
                    <w:bottom w:val="nil"/>
                    <w:right w:val="single" w:sz="4" w:space="0" w:color="auto"/>
                  </w:tcBorders>
                  <w:shd w:val="clear" w:color="auto" w:fill="E0E0E0"/>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4.1.Tính định kỳ và kịp thời</w:t>
                  </w:r>
                </w:p>
              </w:tc>
              <w:tc>
                <w:tcPr>
                  <w:tcW w:w="6856" w:type="dxa"/>
                  <w:tcBorders>
                    <w:top w:val="single" w:sz="4" w:space="0" w:color="auto"/>
                    <w:left w:val="single" w:sz="4" w:space="0" w:color="auto"/>
                    <w:bottom w:val="nil"/>
                    <w:right w:val="single" w:sz="4" w:space="0" w:color="auto"/>
                  </w:tcBorders>
                  <w:shd w:val="clear" w:color="auto" w:fill="E0E0E0"/>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xml:space="preserve">4.1.1. Tính định kỳ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c>
                <w:tcPr>
                  <w:tcW w:w="685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c>
                <w:tcPr>
                  <w:tcW w:w="6856" w:type="dxa"/>
                  <w:tcBorders>
                    <w:top w:val="nil"/>
                    <w:left w:val="single" w:sz="4" w:space="0" w:color="auto"/>
                    <w:bottom w:val="nil"/>
                    <w:right w:val="single" w:sz="4" w:space="0" w:color="auto"/>
                  </w:tcBorders>
                  <w:shd w:val="clear" w:color="auto" w:fill="E6E6E6"/>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xml:space="preserve">4.1.2. Tính kịp thời </w:t>
                  </w:r>
                </w:p>
              </w:tc>
            </w:tr>
            <w:tr w:rsidR="00EB5BA9" w:rsidRPr="00EB5BA9">
              <w:tc>
                <w:tcPr>
                  <w:tcW w:w="222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c>
                <w:tcPr>
                  <w:tcW w:w="685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r>
            <w:tr w:rsidR="00EB5BA9" w:rsidRPr="00EB5BA9">
              <w:tc>
                <w:tcPr>
                  <w:tcW w:w="2226" w:type="dxa"/>
                  <w:tcBorders>
                    <w:top w:val="single" w:sz="4" w:space="0" w:color="auto"/>
                    <w:left w:val="single" w:sz="4" w:space="0" w:color="auto"/>
                    <w:bottom w:val="nil"/>
                    <w:right w:val="single" w:sz="4" w:space="0" w:color="auto"/>
                  </w:tcBorders>
                  <w:shd w:val="clear" w:color="auto" w:fill="E0E0E0"/>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4</w:t>
                  </w:r>
                  <w:r w:rsidRPr="00EB5BA9">
                    <w:rPr>
                      <w:rFonts w:ascii="Arial" w:eastAsia="Times New Roman" w:hAnsi="Arial" w:cs="Arial"/>
                      <w:b/>
                      <w:color w:val="0000FF"/>
                      <w:spacing w:val="-6"/>
                      <w:sz w:val="20"/>
                      <w:szCs w:val="20"/>
                      <w:lang w:eastAsia="en-SG"/>
                    </w:rPr>
                    <w:t>.2. Tính thống nhất</w:t>
                  </w:r>
                </w:p>
              </w:tc>
              <w:tc>
                <w:tcPr>
                  <w:tcW w:w="6856" w:type="dxa"/>
                  <w:tcBorders>
                    <w:top w:val="single" w:sz="4" w:space="0" w:color="auto"/>
                    <w:left w:val="single" w:sz="4" w:space="0" w:color="auto"/>
                    <w:bottom w:val="nil"/>
                    <w:right w:val="single" w:sz="4" w:space="0" w:color="auto"/>
                  </w:tcBorders>
                  <w:shd w:val="clear" w:color="auto" w:fill="E0E0E0"/>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xml:space="preserve">4.2.1. Tính thống nhất trong từng lĩnh vực </w:t>
                  </w:r>
                </w:p>
              </w:tc>
            </w:tr>
            <w:tr w:rsidR="00EB5BA9" w:rsidRPr="00EB5BA9">
              <w:tc>
                <w:tcPr>
                  <w:tcW w:w="222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c>
                <w:tcPr>
                  <w:tcW w:w="685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Số IIP nhìn chung được tập hợp theo BPM6</w:t>
                  </w:r>
                </w:p>
              </w:tc>
            </w:tr>
            <w:tr w:rsidR="00EB5BA9" w:rsidRPr="00EB5BA9">
              <w:tc>
                <w:tcPr>
                  <w:tcW w:w="2226" w:type="dxa"/>
                  <w:tcBorders>
                    <w:top w:val="single" w:sz="4" w:space="0" w:color="auto"/>
                    <w:left w:val="single" w:sz="4" w:space="0" w:color="auto"/>
                    <w:bottom w:val="nil"/>
                    <w:right w:val="single" w:sz="4" w:space="0" w:color="auto"/>
                  </w:tcBorders>
                  <w:shd w:val="clear" w:color="auto" w:fill="auto"/>
                  <w:hideMark/>
                </w:tcPr>
                <w:p w:rsidR="00EB5BA9" w:rsidRPr="00EB5BA9" w:rsidRDefault="00EB5BA9" w:rsidP="00EB5BA9">
                  <w:pPr>
                    <w:spacing w:before="60" w:after="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c>
                <w:tcPr>
                  <w:tcW w:w="6856" w:type="dxa"/>
                  <w:tcBorders>
                    <w:top w:val="single" w:sz="4" w:space="0" w:color="auto"/>
                    <w:left w:val="single" w:sz="4" w:space="0" w:color="auto"/>
                    <w:bottom w:val="nil"/>
                    <w:right w:val="single" w:sz="4" w:space="0" w:color="auto"/>
                  </w:tcBorders>
                  <w:shd w:val="clear" w:color="auto" w:fill="E6E6E6"/>
                  <w:hideMark/>
                </w:tcPr>
                <w:p w:rsidR="00EB5BA9" w:rsidRPr="00EB5BA9" w:rsidRDefault="00EB5BA9" w:rsidP="00EB5BA9">
                  <w:pPr>
                    <w:spacing w:before="60" w:after="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xml:space="preserve">4.2.2. Tính thống nhất tạm thời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c>
                <w:tcPr>
                  <w:tcW w:w="685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c>
                <w:tcPr>
                  <w:tcW w:w="6856" w:type="dxa"/>
                  <w:tcBorders>
                    <w:top w:val="nil"/>
                    <w:left w:val="single" w:sz="4" w:space="0" w:color="auto"/>
                    <w:bottom w:val="nil"/>
                    <w:right w:val="single" w:sz="4" w:space="0" w:color="auto"/>
                  </w:tcBorders>
                  <w:shd w:val="clear" w:color="auto" w:fill="E6E6E6"/>
                  <w:hideMark/>
                </w:tcPr>
                <w:p w:rsidR="00EB5BA9" w:rsidRPr="00EB5BA9" w:rsidRDefault="00EB5BA9" w:rsidP="00EB5BA9">
                  <w:pPr>
                    <w:spacing w:before="60" w:after="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xml:space="preserve">4.2.3. Tính thống nhất liên ngành và liên thông lĩnh vực </w:t>
                  </w:r>
                </w:p>
              </w:tc>
            </w:tr>
            <w:tr w:rsidR="00EB5BA9" w:rsidRPr="00EB5BA9">
              <w:tc>
                <w:tcPr>
                  <w:tcW w:w="222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60" w:after="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c>
                <w:tcPr>
                  <w:tcW w:w="685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60" w:after="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r>
            <w:tr w:rsidR="00EB5BA9" w:rsidRPr="00EB5BA9">
              <w:tc>
                <w:tcPr>
                  <w:tcW w:w="2226" w:type="dxa"/>
                  <w:tcBorders>
                    <w:top w:val="single" w:sz="4" w:space="0" w:color="auto"/>
                    <w:left w:val="single" w:sz="4" w:space="0" w:color="auto"/>
                    <w:bottom w:val="nil"/>
                    <w:right w:val="single" w:sz="4" w:space="0" w:color="auto"/>
                  </w:tcBorders>
                  <w:shd w:val="clear" w:color="auto" w:fill="E0E0E0"/>
                  <w:hideMark/>
                </w:tcPr>
                <w:p w:rsidR="00EB5BA9" w:rsidRPr="00EB5BA9" w:rsidRDefault="00EB5BA9" w:rsidP="00EB5BA9">
                  <w:pPr>
                    <w:spacing w:before="60" w:after="60" w:line="264" w:lineRule="auto"/>
                    <w:ind w:left="-108" w:right="-151"/>
                    <w:jc w:val="center"/>
                    <w:rPr>
                      <w:rFonts w:ascii="Times New Roman" w:eastAsia="Times New Roman" w:hAnsi="Times New Roman" w:cs="Times New Roman"/>
                      <w:sz w:val="24"/>
                      <w:szCs w:val="24"/>
                      <w:lang w:eastAsia="en-SG"/>
                    </w:rPr>
                  </w:pPr>
                  <w:r w:rsidRPr="00EB5BA9">
                    <w:rPr>
                      <w:rFonts w:ascii="Arial" w:eastAsia="Times New Roman" w:hAnsi="Arial" w:cs="Arial"/>
                      <w:b/>
                      <w:color w:val="0000FF"/>
                      <w:spacing w:val="-8"/>
                      <w:sz w:val="20"/>
                      <w:szCs w:val="20"/>
                      <w:lang w:eastAsia="en-SG"/>
                    </w:rPr>
                    <w:t>4.3. Thực hiện sửa đổi</w:t>
                  </w:r>
                </w:p>
              </w:tc>
              <w:tc>
                <w:tcPr>
                  <w:tcW w:w="6856" w:type="dxa"/>
                  <w:tcBorders>
                    <w:top w:val="single" w:sz="4" w:space="0" w:color="auto"/>
                    <w:left w:val="single" w:sz="4" w:space="0" w:color="auto"/>
                    <w:bottom w:val="nil"/>
                    <w:right w:val="single" w:sz="4" w:space="0" w:color="auto"/>
                  </w:tcBorders>
                  <w:shd w:val="clear" w:color="auto" w:fill="E0E0E0"/>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xml:space="preserve">4.3.1. Kế hoạch sửa đổi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c>
                <w:tcPr>
                  <w:tcW w:w="685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sz w:val="20"/>
                      <w:szCs w:val="20"/>
                      <w:u w:val="single"/>
                      <w:lang w:eastAsia="en-SG"/>
                    </w:rPr>
                    <w:t>Ngân hàng Nhà  nước</w:t>
                  </w:r>
                </w:p>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 xml:space="preserve">Không có thông báo sớm về các thay đổi trong phương pháp luận.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c>
                <w:tcPr>
                  <w:tcW w:w="6856" w:type="dxa"/>
                  <w:tcBorders>
                    <w:top w:val="nil"/>
                    <w:left w:val="single" w:sz="4" w:space="0" w:color="auto"/>
                    <w:bottom w:val="nil"/>
                    <w:right w:val="single" w:sz="4" w:space="0" w:color="auto"/>
                  </w:tcBorders>
                  <w:shd w:val="clear" w:color="auto" w:fill="E6E6E6"/>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xml:space="preserve">4.3.2. Số liệu sơ bộ và/hoặc số liệu sửa đổi phải được xác định rõ ràng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c>
                <w:tcPr>
                  <w:tcW w:w="685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sz w:val="20"/>
                      <w:szCs w:val="20"/>
                      <w:u w:val="single"/>
                      <w:lang w:eastAsia="en-SG"/>
                    </w:rPr>
                    <w:t>Ngân hàng Nhà  nước</w:t>
                  </w:r>
                </w:p>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Hiện nay, mọi phương pháp luận được điều chỉnh ở bất cứ thời điểm nào chỉ được thể hiện trong chú thích quốc gia của Việt Nam trên ấn phẩm Thống kê tài chính Quốc tế (IFS).</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w:t>
                  </w:r>
                </w:p>
              </w:tc>
              <w:tc>
                <w:tcPr>
                  <w:tcW w:w="6856" w:type="dxa"/>
                  <w:tcBorders>
                    <w:top w:val="nil"/>
                    <w:left w:val="single" w:sz="4" w:space="0" w:color="auto"/>
                    <w:bottom w:val="nil"/>
                    <w:right w:val="single" w:sz="4" w:space="0" w:color="auto"/>
                  </w:tcBorders>
                  <w:shd w:val="clear" w:color="auto" w:fill="E6E6E6"/>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xml:space="preserve">4.3.3. Phổ biến những nghiên cứu và phân tích về sửa đổi </w:t>
                  </w:r>
                  <w:r w:rsidRPr="00EB5BA9">
                    <w:rPr>
                      <w:rFonts w:ascii="Arial" w:eastAsia="Times New Roman" w:hAnsi="Arial" w:cs="Arial"/>
                      <w:b/>
                      <w:color w:val="0000FF"/>
                      <w:sz w:val="20"/>
                      <w:szCs w:val="20"/>
                      <w:lang w:eastAsia="en-SG"/>
                    </w:rPr>
                    <w:tab/>
                  </w:r>
                </w:p>
              </w:tc>
            </w:tr>
            <w:tr w:rsidR="00EB5BA9" w:rsidRPr="00EB5BA9">
              <w:tc>
                <w:tcPr>
                  <w:tcW w:w="222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c>
                <w:tcPr>
                  <w:tcW w:w="685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r>
            <w:tr w:rsidR="00EB5BA9" w:rsidRPr="00EB5BA9">
              <w:tc>
                <w:tcPr>
                  <w:tcW w:w="9082" w:type="dxa"/>
                  <w:gridSpan w:val="2"/>
                  <w:tcBorders>
                    <w:top w:val="single" w:sz="4" w:space="0" w:color="auto"/>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120" w:after="120" w:line="240" w:lineRule="auto"/>
                    <w:jc w:val="center"/>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5. Khả năng tiếp cận số liệu</w:t>
                  </w:r>
                </w:p>
              </w:tc>
            </w:tr>
            <w:tr w:rsidR="00EB5BA9" w:rsidRPr="00EB5BA9">
              <w:tc>
                <w:tcPr>
                  <w:tcW w:w="2226" w:type="dxa"/>
                  <w:tcBorders>
                    <w:top w:val="single" w:sz="4" w:space="0" w:color="auto"/>
                    <w:left w:val="single" w:sz="4" w:space="0" w:color="auto"/>
                    <w:bottom w:val="nil"/>
                    <w:right w:val="single" w:sz="4" w:space="0" w:color="auto"/>
                  </w:tcBorders>
                  <w:shd w:val="clear" w:color="auto" w:fill="E0E0E0"/>
                  <w:hideMark/>
                </w:tcPr>
                <w:p w:rsidR="00EB5BA9" w:rsidRPr="00EB5BA9" w:rsidRDefault="00EB5BA9" w:rsidP="00EB5BA9">
                  <w:pPr>
                    <w:spacing w:before="80" w:after="0" w:line="240"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5.1. Tiếp cận với số liệu</w:t>
                  </w:r>
                </w:p>
              </w:tc>
              <w:tc>
                <w:tcPr>
                  <w:tcW w:w="6856" w:type="dxa"/>
                  <w:tcBorders>
                    <w:top w:val="single" w:sz="4" w:space="0" w:color="auto"/>
                    <w:left w:val="single" w:sz="4" w:space="0" w:color="auto"/>
                    <w:bottom w:val="nil"/>
                    <w:right w:val="single" w:sz="4" w:space="0" w:color="auto"/>
                  </w:tcBorders>
                  <w:shd w:val="clear" w:color="auto" w:fill="E0E0E0"/>
                  <w:hideMark/>
                </w:tcPr>
                <w:p w:rsidR="00EB5BA9" w:rsidRPr="00EB5BA9" w:rsidRDefault="00EB5BA9" w:rsidP="00EB5BA9">
                  <w:pPr>
                    <w:spacing w:before="80" w:after="40" w:line="240"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xml:space="preserve">5.1.1. Trình bày số liệu thống kê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sz w:val="20"/>
                      <w:szCs w:val="20"/>
                      <w:shd w:val="clear" w:color="auto" w:fill="FFFFFF"/>
                      <w:lang w:eastAsia="en-SG"/>
                    </w:rPr>
                    <w:t> </w:t>
                  </w:r>
                </w:p>
              </w:tc>
              <w:tc>
                <w:tcPr>
                  <w:tcW w:w="685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sz w:val="20"/>
                      <w:szCs w:val="20"/>
                      <w:shd w:val="clear" w:color="auto" w:fill="FFFFFF"/>
                      <w:lang w:eastAsia="en-SG"/>
                    </w:rPr>
                    <w:t> </w:t>
                  </w:r>
                </w:p>
              </w:tc>
              <w:tc>
                <w:tcPr>
                  <w:tcW w:w="6856" w:type="dxa"/>
                  <w:tcBorders>
                    <w:top w:val="nil"/>
                    <w:left w:val="single" w:sz="4" w:space="0" w:color="auto"/>
                    <w:bottom w:val="nil"/>
                    <w:right w:val="single" w:sz="4" w:space="0" w:color="auto"/>
                  </w:tcBorders>
                  <w:shd w:val="clear" w:color="auto" w:fill="E6E6E6"/>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xml:space="preserve">5.1.2. Phương tiện và hình thức phổ biến số liệu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sz w:val="20"/>
                      <w:szCs w:val="20"/>
                      <w:shd w:val="clear" w:color="auto" w:fill="FFFFFF"/>
                      <w:lang w:eastAsia="en-SG"/>
                    </w:rPr>
                    <w:t> </w:t>
                  </w:r>
                </w:p>
              </w:tc>
              <w:tc>
                <w:tcPr>
                  <w:tcW w:w="685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sz w:val="20"/>
                      <w:szCs w:val="20"/>
                      <w:shd w:val="clear" w:color="auto" w:fill="FFFFFF"/>
                      <w:lang w:eastAsia="en-SG"/>
                    </w:rPr>
                    <w:t> </w:t>
                  </w:r>
                </w:p>
              </w:tc>
              <w:tc>
                <w:tcPr>
                  <w:tcW w:w="6856" w:type="dxa"/>
                  <w:tcBorders>
                    <w:top w:val="nil"/>
                    <w:left w:val="single" w:sz="4" w:space="0" w:color="auto"/>
                    <w:bottom w:val="nil"/>
                    <w:right w:val="single" w:sz="4" w:space="0" w:color="auto"/>
                  </w:tcBorders>
                  <w:shd w:val="clear" w:color="auto" w:fill="E6E6E6"/>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5.1.2.1. Bản giấy - Số liệu mới công bố</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sz w:val="20"/>
                      <w:szCs w:val="20"/>
                      <w:shd w:val="clear" w:color="auto" w:fill="FFFFFF"/>
                      <w:lang w:eastAsia="en-SG"/>
                    </w:rPr>
                    <w:t> </w:t>
                  </w:r>
                </w:p>
              </w:tc>
              <w:tc>
                <w:tcPr>
                  <w:tcW w:w="685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sz w:val="20"/>
                      <w:szCs w:val="20"/>
                      <w:shd w:val="clear" w:color="auto" w:fill="FFFFFF"/>
                      <w:lang w:eastAsia="en-SG"/>
                    </w:rPr>
                    <w:t> </w:t>
                  </w:r>
                </w:p>
              </w:tc>
              <w:tc>
                <w:tcPr>
                  <w:tcW w:w="6856" w:type="dxa"/>
                  <w:tcBorders>
                    <w:top w:val="nil"/>
                    <w:left w:val="single" w:sz="4" w:space="0" w:color="auto"/>
                    <w:bottom w:val="nil"/>
                    <w:right w:val="single" w:sz="4" w:space="0" w:color="auto"/>
                  </w:tcBorders>
                  <w:shd w:val="clear" w:color="auto" w:fill="E6E6E6"/>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5.1.2.2. Bản giấy - Bản tin tuần</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sz w:val="20"/>
                      <w:szCs w:val="20"/>
                      <w:shd w:val="clear" w:color="auto" w:fill="FFFFFF"/>
                      <w:lang w:eastAsia="en-SG"/>
                    </w:rPr>
                    <w:t> </w:t>
                  </w:r>
                </w:p>
              </w:tc>
              <w:tc>
                <w:tcPr>
                  <w:tcW w:w="685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sz w:val="20"/>
                      <w:szCs w:val="20"/>
                      <w:shd w:val="clear" w:color="auto" w:fill="FFFFFF"/>
                      <w:lang w:eastAsia="en-SG"/>
                    </w:rPr>
                    <w:t>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sz w:val="20"/>
                      <w:szCs w:val="20"/>
                      <w:shd w:val="clear" w:color="auto" w:fill="FFFFFF"/>
                      <w:lang w:eastAsia="en-SG"/>
                    </w:rPr>
                    <w:t> </w:t>
                  </w:r>
                </w:p>
              </w:tc>
              <w:tc>
                <w:tcPr>
                  <w:tcW w:w="6856" w:type="dxa"/>
                  <w:tcBorders>
                    <w:top w:val="nil"/>
                    <w:left w:val="single" w:sz="4" w:space="0" w:color="auto"/>
                    <w:bottom w:val="nil"/>
                    <w:right w:val="single" w:sz="4" w:space="0" w:color="auto"/>
                  </w:tcBorders>
                  <w:shd w:val="clear" w:color="auto" w:fill="E6E6E6"/>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5.1.2.3. Bản giấy - Bản tin tháng</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sz w:val="20"/>
                      <w:szCs w:val="20"/>
                      <w:shd w:val="clear" w:color="auto" w:fill="FFFFFF"/>
                      <w:lang w:eastAsia="en-SG"/>
                    </w:rPr>
                    <w:t> </w:t>
                  </w:r>
                </w:p>
              </w:tc>
              <w:tc>
                <w:tcPr>
                  <w:tcW w:w="685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sz w:val="20"/>
                      <w:szCs w:val="20"/>
                      <w:shd w:val="clear" w:color="auto" w:fill="FFFFFF"/>
                      <w:lang w:eastAsia="en-SG"/>
                    </w:rPr>
                    <w:t> </w:t>
                  </w:r>
                </w:p>
              </w:tc>
              <w:tc>
                <w:tcPr>
                  <w:tcW w:w="6856" w:type="dxa"/>
                  <w:tcBorders>
                    <w:top w:val="nil"/>
                    <w:left w:val="single" w:sz="4" w:space="0" w:color="auto"/>
                    <w:bottom w:val="nil"/>
                    <w:right w:val="single" w:sz="4" w:space="0" w:color="auto"/>
                  </w:tcBorders>
                  <w:shd w:val="clear" w:color="auto" w:fill="E6E6E6"/>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5.1.2.4. Bản giấy - Bản tin quý</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sz w:val="20"/>
                      <w:szCs w:val="20"/>
                      <w:shd w:val="clear" w:color="auto" w:fill="FFFFFF"/>
                      <w:lang w:eastAsia="en-SG"/>
                    </w:rPr>
                    <w:lastRenderedPageBreak/>
                    <w:t> </w:t>
                  </w:r>
                </w:p>
              </w:tc>
              <w:tc>
                <w:tcPr>
                  <w:tcW w:w="685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sz w:val="20"/>
                      <w:szCs w:val="20"/>
                      <w:shd w:val="clear" w:color="auto" w:fill="FFFFFF"/>
                      <w:lang w:eastAsia="en-SG"/>
                    </w:rPr>
                    <w:t> </w:t>
                  </w:r>
                </w:p>
              </w:tc>
              <w:tc>
                <w:tcPr>
                  <w:tcW w:w="6856" w:type="dxa"/>
                  <w:tcBorders>
                    <w:top w:val="nil"/>
                    <w:left w:val="single" w:sz="4" w:space="0" w:color="auto"/>
                    <w:bottom w:val="nil"/>
                    <w:right w:val="single" w:sz="4" w:space="0" w:color="auto"/>
                  </w:tcBorders>
                  <w:shd w:val="clear" w:color="auto" w:fill="E0E0E0"/>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5.1.2.5. Bản giấy - Loại khác</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sz w:val="20"/>
                      <w:szCs w:val="20"/>
                      <w:shd w:val="clear" w:color="auto" w:fill="FFFFFF"/>
                      <w:lang w:eastAsia="en-SG"/>
                    </w:rPr>
                    <w:t> </w:t>
                  </w:r>
                </w:p>
              </w:tc>
              <w:tc>
                <w:tcPr>
                  <w:tcW w:w="685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sz w:val="20"/>
                      <w:szCs w:val="20"/>
                      <w:shd w:val="clear" w:color="auto" w:fill="FFFFFF"/>
                      <w:lang w:eastAsia="en-SG"/>
                    </w:rPr>
                    <w:t> </w:t>
                  </w:r>
                </w:p>
              </w:tc>
              <w:tc>
                <w:tcPr>
                  <w:tcW w:w="6856" w:type="dxa"/>
                  <w:tcBorders>
                    <w:top w:val="nil"/>
                    <w:left w:val="single" w:sz="4" w:space="0" w:color="auto"/>
                    <w:bottom w:val="nil"/>
                    <w:right w:val="single" w:sz="4" w:space="0" w:color="auto"/>
                  </w:tcBorders>
                  <w:shd w:val="clear" w:color="auto" w:fill="E0E0E0"/>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5.1.2.6. Bản điện tử - Bản tin hoặc số liệu điện tử</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sz w:val="20"/>
                      <w:szCs w:val="20"/>
                      <w:shd w:val="clear" w:color="auto" w:fill="FFFFFF"/>
                      <w:lang w:eastAsia="en-SG"/>
                    </w:rPr>
                    <w:t> </w:t>
                  </w:r>
                </w:p>
              </w:tc>
              <w:tc>
                <w:tcPr>
                  <w:tcW w:w="685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sz w:val="20"/>
                      <w:szCs w:val="20"/>
                      <w:shd w:val="clear" w:color="auto" w:fill="FFFFFF"/>
                      <w:lang w:eastAsia="en-SG"/>
                    </w:rPr>
                    <w:t> </w:t>
                  </w:r>
                </w:p>
              </w:tc>
              <w:tc>
                <w:tcPr>
                  <w:tcW w:w="6856" w:type="dxa"/>
                  <w:tcBorders>
                    <w:top w:val="nil"/>
                    <w:left w:val="single" w:sz="4" w:space="0" w:color="auto"/>
                    <w:bottom w:val="nil"/>
                    <w:right w:val="single" w:sz="4" w:space="0" w:color="auto"/>
                  </w:tcBorders>
                  <w:shd w:val="clear" w:color="auto" w:fill="E0E0E0"/>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5.1.2.7. Bản điện tử - Loại khác</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sz w:val="20"/>
                      <w:szCs w:val="20"/>
                      <w:shd w:val="clear" w:color="auto" w:fill="FFFFFF"/>
                      <w:lang w:eastAsia="en-SG"/>
                    </w:rPr>
                    <w:t> </w:t>
                  </w:r>
                </w:p>
              </w:tc>
              <w:tc>
                <w:tcPr>
                  <w:tcW w:w="685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sz w:val="20"/>
                      <w:szCs w:val="20"/>
                      <w:shd w:val="clear" w:color="auto" w:fill="FFFFFF"/>
                      <w:lang w:eastAsia="en-SG"/>
                    </w:rPr>
                    <w:t> </w:t>
                  </w:r>
                </w:p>
              </w:tc>
              <w:tc>
                <w:tcPr>
                  <w:tcW w:w="6856" w:type="dxa"/>
                  <w:tcBorders>
                    <w:top w:val="nil"/>
                    <w:left w:val="single" w:sz="4" w:space="0" w:color="auto"/>
                    <w:bottom w:val="nil"/>
                    <w:right w:val="single" w:sz="4" w:space="0" w:color="auto"/>
                  </w:tcBorders>
                  <w:shd w:val="clear" w:color="auto" w:fill="E0E0E0"/>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5.1.3. Lịch công bố số liệu trước</w:t>
                  </w:r>
                </w:p>
              </w:tc>
            </w:tr>
            <w:tr w:rsidR="00EB5BA9" w:rsidRPr="00EB5BA9">
              <w:tc>
                <w:tcPr>
                  <w:tcW w:w="222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sz w:val="20"/>
                      <w:szCs w:val="20"/>
                      <w:shd w:val="clear" w:color="auto" w:fill="FFFFFF"/>
                      <w:lang w:eastAsia="en-SG"/>
                    </w:rPr>
                    <w:t> </w:t>
                  </w:r>
                </w:p>
              </w:tc>
              <w:tc>
                <w:tcPr>
                  <w:tcW w:w="685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FF0000"/>
                      <w:sz w:val="20"/>
                      <w:szCs w:val="20"/>
                      <w:lang w:eastAsia="en-SG"/>
                    </w:rPr>
                    <w:t> </w:t>
                  </w:r>
                </w:p>
              </w:tc>
            </w:tr>
            <w:tr w:rsidR="00EB5BA9" w:rsidRPr="00EB5BA9">
              <w:tc>
                <w:tcPr>
                  <w:tcW w:w="2226" w:type="dxa"/>
                  <w:tcBorders>
                    <w:top w:val="single" w:sz="4" w:space="0" w:color="auto"/>
                    <w:left w:val="single" w:sz="4" w:space="0" w:color="auto"/>
                    <w:bottom w:val="nil"/>
                    <w:right w:val="single" w:sz="4" w:space="0" w:color="auto"/>
                  </w:tcBorders>
                  <w:shd w:val="clear" w:color="auto" w:fill="auto"/>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shd w:val="clear" w:color="auto" w:fill="FFFFFF"/>
                      <w:lang w:eastAsia="en-SG"/>
                    </w:rPr>
                    <w:t> </w:t>
                  </w:r>
                </w:p>
              </w:tc>
              <w:tc>
                <w:tcPr>
                  <w:tcW w:w="6856" w:type="dxa"/>
                  <w:tcBorders>
                    <w:top w:val="single" w:sz="4" w:space="0" w:color="auto"/>
                    <w:left w:val="single" w:sz="4" w:space="0" w:color="auto"/>
                    <w:bottom w:val="nil"/>
                    <w:right w:val="single" w:sz="4" w:space="0" w:color="auto"/>
                  </w:tcBorders>
                  <w:shd w:val="clear" w:color="auto" w:fill="E0E0E0"/>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xml:space="preserve">5.1.4. Công bố đồng thời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sz w:val="20"/>
                      <w:szCs w:val="20"/>
                      <w:shd w:val="clear" w:color="auto" w:fill="FFFFFF"/>
                      <w:lang w:eastAsia="en-SG"/>
                    </w:rPr>
                    <w:t> </w:t>
                  </w:r>
                </w:p>
              </w:tc>
              <w:tc>
                <w:tcPr>
                  <w:tcW w:w="685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sz w:val="20"/>
                      <w:szCs w:val="20"/>
                      <w:u w:val="single"/>
                      <w:lang w:eastAsia="en-SG"/>
                    </w:rPr>
                    <w:t>Ngân hàng Nhà  nước</w:t>
                  </w:r>
                </w:p>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spacing w:val="-2"/>
                      <w:sz w:val="20"/>
                      <w:szCs w:val="20"/>
                      <w:lang w:eastAsia="en-SG"/>
                    </w:rPr>
                    <w:t xml:space="preserve">NHNN chỉ công bố các số liệu kinh tế vĩ mô và tài chính lựa chọn cho công chúng thông qua Báo cáo Thường niên của mình và công bố số liệu tiền tệ, ngân hàng trên Cổng thông tin điện tửcủa Ngân hàng </w:t>
                  </w:r>
                  <w:r w:rsidRPr="00EB5BA9">
                    <w:rPr>
                      <w:rFonts w:ascii="Arial" w:eastAsia="Times New Roman" w:hAnsi="Arial" w:cs="Arial"/>
                      <w:spacing w:val="-2"/>
                      <w:sz w:val="20"/>
                      <w:szCs w:val="20"/>
                      <w:lang w:eastAsia="en-SG"/>
                    </w:rPr>
                    <w:br/>
                    <w:t>Nhà nước.</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sz w:val="20"/>
                      <w:szCs w:val="20"/>
                      <w:shd w:val="clear" w:color="auto" w:fill="FFFFFF"/>
                      <w:lang w:eastAsia="en-SG"/>
                    </w:rPr>
                    <w:t> </w:t>
                  </w:r>
                </w:p>
              </w:tc>
              <w:tc>
                <w:tcPr>
                  <w:tcW w:w="6856" w:type="dxa"/>
                  <w:tcBorders>
                    <w:top w:val="nil"/>
                    <w:left w:val="single" w:sz="4" w:space="0" w:color="auto"/>
                    <w:bottom w:val="nil"/>
                    <w:right w:val="single" w:sz="4" w:space="0" w:color="auto"/>
                  </w:tcBorders>
                  <w:shd w:val="clear" w:color="auto" w:fill="E6E6E6"/>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xml:space="preserve">5.1.5. Phổ biến thông tin theo yêu cầu </w:t>
                  </w:r>
                </w:p>
              </w:tc>
            </w:tr>
            <w:tr w:rsidR="00EB5BA9" w:rsidRPr="00EB5BA9">
              <w:tc>
                <w:tcPr>
                  <w:tcW w:w="222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sz w:val="20"/>
                      <w:szCs w:val="20"/>
                      <w:shd w:val="clear" w:color="auto" w:fill="FFFFFF"/>
                      <w:lang w:eastAsia="en-SG"/>
                    </w:rPr>
                    <w:t> </w:t>
                  </w:r>
                </w:p>
              </w:tc>
              <w:tc>
                <w:tcPr>
                  <w:tcW w:w="685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r>
            <w:tr w:rsidR="00EB5BA9" w:rsidRPr="00EB5BA9">
              <w:trPr>
                <w:trHeight w:val="692"/>
              </w:trPr>
              <w:tc>
                <w:tcPr>
                  <w:tcW w:w="2226" w:type="dxa"/>
                  <w:tcBorders>
                    <w:top w:val="single" w:sz="4" w:space="0" w:color="auto"/>
                    <w:left w:val="single" w:sz="4" w:space="0" w:color="auto"/>
                    <w:bottom w:val="nil"/>
                    <w:right w:val="single" w:sz="4" w:space="0" w:color="auto"/>
                  </w:tcBorders>
                  <w:shd w:val="clear" w:color="auto" w:fill="E0E0E0"/>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5.2. Siêu dữ liệu</w:t>
                  </w:r>
                </w:p>
              </w:tc>
              <w:tc>
                <w:tcPr>
                  <w:tcW w:w="6856" w:type="dxa"/>
                  <w:tcBorders>
                    <w:top w:val="single" w:sz="4" w:space="0" w:color="auto"/>
                    <w:left w:val="single" w:sz="4" w:space="0" w:color="auto"/>
                    <w:bottom w:val="nil"/>
                    <w:right w:val="single" w:sz="4" w:space="0" w:color="auto"/>
                  </w:tcBorders>
                  <w:shd w:val="clear" w:color="auto" w:fill="E0E0E0"/>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xml:space="preserve">5.2.1. Phổ biến tài liệu về khái niệm, phạm vi, bảng phân ngành, cơ sở ghi chép, nguồn số liệu và các kỹ thuật thống kê </w:t>
                  </w:r>
                </w:p>
              </w:tc>
            </w:tr>
            <w:tr w:rsidR="00EB5BA9" w:rsidRPr="00EB5BA9">
              <w:trPr>
                <w:trHeight w:val="489"/>
              </w:trPr>
              <w:tc>
                <w:tcPr>
                  <w:tcW w:w="222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c>
                <w:tcPr>
                  <w:tcW w:w="685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r>
            <w:tr w:rsidR="00EB5BA9" w:rsidRPr="00EB5BA9">
              <w:tc>
                <w:tcPr>
                  <w:tcW w:w="2226" w:type="dxa"/>
                  <w:tcBorders>
                    <w:top w:val="single" w:sz="4" w:space="0" w:color="auto"/>
                    <w:left w:val="single" w:sz="4" w:space="0" w:color="auto"/>
                    <w:bottom w:val="nil"/>
                    <w:right w:val="single" w:sz="4" w:space="0" w:color="auto"/>
                  </w:tcBorders>
                  <w:shd w:val="clear" w:color="auto" w:fill="E0E0E0"/>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5.3. Hỗ trợ cho người dùng tin</w:t>
                  </w:r>
                </w:p>
              </w:tc>
              <w:tc>
                <w:tcPr>
                  <w:tcW w:w="6856" w:type="dxa"/>
                  <w:tcBorders>
                    <w:top w:val="single" w:sz="4" w:space="0" w:color="auto"/>
                    <w:left w:val="single" w:sz="4" w:space="0" w:color="auto"/>
                    <w:bottom w:val="nil"/>
                    <w:right w:val="single" w:sz="4" w:space="0" w:color="auto"/>
                  </w:tcBorders>
                  <w:shd w:val="clear" w:color="auto" w:fill="E0E0E0"/>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 xml:space="preserve">5.3.1. Phổ biến thông tin về đầu mối liên lạc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c>
                <w:tcPr>
                  <w:tcW w:w="685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4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tabs>
                      <w:tab w:val="left" w:pos="820"/>
                    </w:tabs>
                    <w:spacing w:before="60" w:after="4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c>
                <w:tcPr>
                  <w:tcW w:w="6856" w:type="dxa"/>
                  <w:tcBorders>
                    <w:top w:val="nil"/>
                    <w:left w:val="single" w:sz="4" w:space="0" w:color="auto"/>
                    <w:bottom w:val="nil"/>
                    <w:right w:val="single" w:sz="4" w:space="0" w:color="auto"/>
                  </w:tcBorders>
                  <w:shd w:val="clear" w:color="auto" w:fill="E6E6E6"/>
                  <w:hideMark/>
                </w:tcPr>
                <w:p w:rsidR="00EB5BA9" w:rsidRPr="00EB5BA9" w:rsidRDefault="00EB5BA9" w:rsidP="00EB5BA9">
                  <w:pPr>
                    <w:tabs>
                      <w:tab w:val="left" w:pos="840"/>
                    </w:tabs>
                    <w:spacing w:before="60" w:after="40" w:line="264" w:lineRule="auto"/>
                    <w:jc w:val="both"/>
                    <w:rPr>
                      <w:rFonts w:ascii="Times New Roman" w:eastAsia="Times New Roman" w:hAnsi="Times New Roman" w:cs="Times New Roman"/>
                      <w:sz w:val="24"/>
                      <w:szCs w:val="24"/>
                      <w:lang w:eastAsia="en-SG"/>
                    </w:rPr>
                  </w:pPr>
                  <w:r w:rsidRPr="00EB5BA9">
                    <w:rPr>
                      <w:rFonts w:ascii="Arial" w:eastAsia="PMingLiU" w:hAnsi="Arial" w:cs="Arial"/>
                      <w:b/>
                      <w:bCs/>
                      <w:color w:val="0000FF"/>
                      <w:sz w:val="20"/>
                      <w:szCs w:val="20"/>
                      <w:lang w:eastAsia="en-SG"/>
                    </w:rPr>
                    <w:t>5.3.2. Tĩnh sẵn có của Ca-ta-lô về các tài liệu và dịch vụ</w:t>
                  </w:r>
                </w:p>
              </w:tc>
            </w:tr>
            <w:tr w:rsidR="00EB5BA9" w:rsidRPr="00EB5BA9">
              <w:tc>
                <w:tcPr>
                  <w:tcW w:w="222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tabs>
                      <w:tab w:val="left" w:pos="820"/>
                    </w:tabs>
                    <w:spacing w:before="60" w:after="4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c>
                <w:tcPr>
                  <w:tcW w:w="685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tabs>
                      <w:tab w:val="left" w:pos="840"/>
                    </w:tabs>
                    <w:spacing w:before="60" w:after="40" w:line="264" w:lineRule="auto"/>
                    <w:jc w:val="both"/>
                    <w:rPr>
                      <w:rFonts w:ascii="Times New Roman" w:eastAsia="Times New Roman" w:hAnsi="Times New Roman" w:cs="Times New Roman"/>
                      <w:sz w:val="24"/>
                      <w:szCs w:val="24"/>
                      <w:lang w:eastAsia="en-SG"/>
                    </w:rPr>
                  </w:pPr>
                  <w:r w:rsidRPr="00EB5BA9">
                    <w:rPr>
                      <w:rFonts w:ascii="Arial" w:eastAsia="PMingLiU" w:hAnsi="Arial" w:cs="Arial"/>
                      <w:b/>
                      <w:bCs/>
                      <w:color w:val="0000FF"/>
                      <w:sz w:val="20"/>
                      <w:szCs w:val="20"/>
                      <w:lang w:eastAsia="en-SG"/>
                    </w:rPr>
                    <w:t> </w:t>
                  </w:r>
                </w:p>
              </w:tc>
            </w:tr>
            <w:tr w:rsidR="00EB5BA9" w:rsidRPr="00EB5BA9">
              <w:tc>
                <w:tcPr>
                  <w:tcW w:w="9082" w:type="dxa"/>
                  <w:gridSpan w:val="2"/>
                  <w:tcBorders>
                    <w:top w:val="single" w:sz="4" w:space="0" w:color="auto"/>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80" w:after="60" w:line="264" w:lineRule="auto"/>
                    <w:jc w:val="center"/>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9. Các kế hoạch</w:t>
                  </w:r>
                </w:p>
              </w:tc>
            </w:tr>
            <w:tr w:rsidR="00EB5BA9" w:rsidRPr="00EB5BA9">
              <w:tc>
                <w:tcPr>
                  <w:tcW w:w="2226" w:type="dxa"/>
                  <w:tcBorders>
                    <w:top w:val="single" w:sz="4" w:space="0" w:color="auto"/>
                    <w:left w:val="single" w:sz="4" w:space="0" w:color="auto"/>
                    <w:bottom w:val="nil"/>
                    <w:right w:val="single" w:sz="4" w:space="0" w:color="auto"/>
                  </w:tcBorders>
                  <w:shd w:val="clear" w:color="auto" w:fill="E0E0E0"/>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9.1. Gần đây</w:t>
                  </w:r>
                </w:p>
              </w:tc>
              <w:tc>
                <w:tcPr>
                  <w:tcW w:w="6856" w:type="dxa"/>
                  <w:tcBorders>
                    <w:top w:val="single" w:sz="4" w:space="0" w:color="auto"/>
                    <w:left w:val="single" w:sz="4" w:space="0" w:color="auto"/>
                    <w:bottom w:val="nil"/>
                    <w:right w:val="single" w:sz="4" w:space="0" w:color="auto"/>
                  </w:tcBorders>
                  <w:shd w:val="clear" w:color="auto" w:fill="E0E0E0"/>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9.1.1. Các kế hoạch cải tiến - Cải tiến gần đây</w:t>
                  </w:r>
                </w:p>
              </w:tc>
            </w:tr>
            <w:tr w:rsidR="00EB5BA9" w:rsidRPr="00EB5BA9">
              <w:tc>
                <w:tcPr>
                  <w:tcW w:w="222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60" w:after="60" w:line="240"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iCs/>
                      <w:color w:val="0000FF"/>
                      <w:sz w:val="20"/>
                      <w:szCs w:val="20"/>
                      <w:shd w:val="clear" w:color="auto" w:fill="FFFFFF"/>
                      <w:lang w:eastAsia="en-SG"/>
                    </w:rPr>
                    <w:t> </w:t>
                  </w:r>
                </w:p>
              </w:tc>
              <w:tc>
                <w:tcPr>
                  <w:tcW w:w="685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60" w:after="60" w:line="240" w:lineRule="auto"/>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shd w:val="clear" w:color="auto" w:fill="FFFFFF"/>
                      <w:lang w:eastAsia="en-SG"/>
                    </w:rPr>
                    <w:t xml:space="preserve">Năm 2015 NHNN đã tiến hành điều tra chọn mẫu các doanh nghiệp FDI để tiến hành thu nhập số liệu tích lũy và số liệu trong kỳ đối với số liệu vốn đầu tư trực tiếp nước ngoài vào Việt Nam giai đoạn 2013-2014. </w:t>
                  </w:r>
                </w:p>
                <w:p w:rsidR="00EB5BA9" w:rsidRPr="00EB5BA9" w:rsidRDefault="00EB5BA9" w:rsidP="00EB5BA9">
                  <w:pPr>
                    <w:tabs>
                      <w:tab w:val="center" w:pos="4680"/>
                      <w:tab w:val="right" w:pos="9360"/>
                    </w:tabs>
                    <w:spacing w:before="60" w:after="60" w:line="240" w:lineRule="auto"/>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shd w:val="clear" w:color="auto" w:fill="FFFFFF"/>
                      <w:lang w:eastAsia="en-SG"/>
                    </w:rPr>
                    <w:t>Tháng 9/2016, NHNN bắt đầu tiến hành điều tra mở rộng đối với các doanh nghiệp FDI để thu thập số liệu tích lũy và số liệu phát sinh đối với số liệu vốn đầu tư trực tiếp nước ngoài vào Việt Nam giai đoạn 2014-2015 trên cơ sở khuyến nghị của các đoàn Hỗ trợ kỹ thuật của IMF. Kết quả của cuộc điều tra này được tính toán và xem xét để bổ sungcho số liệu tích lũy về vốn đầu tư trực tiếp nước ngoài vào Việt Nam hiện nay.</w:t>
                  </w:r>
                </w:p>
              </w:tc>
            </w:tr>
            <w:tr w:rsidR="00EB5BA9" w:rsidRPr="00EB5BA9">
              <w:trPr>
                <w:trHeight w:val="341"/>
              </w:trPr>
              <w:tc>
                <w:tcPr>
                  <w:tcW w:w="2226" w:type="dxa"/>
                  <w:tcBorders>
                    <w:top w:val="single" w:sz="4" w:space="0" w:color="auto"/>
                    <w:left w:val="single" w:sz="4" w:space="0" w:color="auto"/>
                    <w:bottom w:val="nil"/>
                    <w:right w:val="single" w:sz="4" w:space="0" w:color="auto"/>
                  </w:tcBorders>
                  <w:shd w:val="clear" w:color="auto" w:fill="E0E0E0"/>
                  <w:hideMark/>
                </w:tcPr>
                <w:p w:rsidR="00EB5BA9" w:rsidRPr="00EB5BA9" w:rsidRDefault="00EB5BA9" w:rsidP="00EB5BA9">
                  <w:pPr>
                    <w:spacing w:before="60" w:after="60" w:line="264" w:lineRule="auto"/>
                    <w:rPr>
                      <w:rFonts w:ascii="Times New Roman" w:eastAsia="Times New Roman" w:hAnsi="Times New Roman" w:cs="Times New Roman"/>
                      <w:sz w:val="24"/>
                      <w:szCs w:val="24"/>
                      <w:lang w:eastAsia="en-SG"/>
                    </w:rPr>
                  </w:pPr>
                  <w:r w:rsidRPr="00EB5BA9">
                    <w:rPr>
                      <w:rFonts w:ascii="Arial" w:eastAsia="Times New Roman" w:hAnsi="Arial" w:cs="Arial"/>
                      <w:b/>
                      <w:color w:val="0000FF"/>
                      <w:spacing w:val="-8"/>
                      <w:sz w:val="20"/>
                      <w:szCs w:val="20"/>
                      <w:lang w:eastAsia="en-SG"/>
                    </w:rPr>
                    <w:t>9.2. Kế hoạch chung</w:t>
                  </w:r>
                </w:p>
              </w:tc>
              <w:tc>
                <w:tcPr>
                  <w:tcW w:w="6856" w:type="dxa"/>
                  <w:tcBorders>
                    <w:top w:val="single" w:sz="4" w:space="0" w:color="auto"/>
                    <w:left w:val="single" w:sz="4" w:space="0" w:color="auto"/>
                    <w:bottom w:val="nil"/>
                    <w:right w:val="single" w:sz="4" w:space="0" w:color="auto"/>
                  </w:tcBorders>
                  <w:shd w:val="clear" w:color="auto" w:fill="E0E0E0"/>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9.2.1. Kế hoạch cải tiến - ngắn hạn</w:t>
                  </w:r>
                </w:p>
              </w:tc>
            </w:tr>
            <w:tr w:rsidR="00EB5BA9" w:rsidRPr="00EB5BA9">
              <w:trPr>
                <w:trHeight w:val="341"/>
              </w:trPr>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60" w:line="120"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iCs/>
                      <w:color w:val="0000FF"/>
                      <w:sz w:val="20"/>
                      <w:szCs w:val="20"/>
                      <w:shd w:val="clear" w:color="auto" w:fill="FFFFFF"/>
                      <w:lang w:eastAsia="en-SG"/>
                    </w:rPr>
                    <w:t> </w:t>
                  </w:r>
                </w:p>
              </w:tc>
              <w:tc>
                <w:tcPr>
                  <w:tcW w:w="685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60" w:line="120"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iCs/>
                      <w:color w:val="0000FF"/>
                      <w:sz w:val="20"/>
                      <w:szCs w:val="20"/>
                      <w:shd w:val="clear" w:color="auto" w:fill="FFFFFF"/>
                      <w:lang w:eastAsia="en-SG"/>
                    </w:rPr>
                    <w:t> </w:t>
                  </w:r>
                </w:p>
              </w:tc>
              <w:tc>
                <w:tcPr>
                  <w:tcW w:w="6856" w:type="dxa"/>
                  <w:tcBorders>
                    <w:top w:val="nil"/>
                    <w:left w:val="single" w:sz="4" w:space="0" w:color="auto"/>
                    <w:bottom w:val="nil"/>
                    <w:right w:val="single" w:sz="4" w:space="0" w:color="auto"/>
                  </w:tcBorders>
                  <w:shd w:val="clear" w:color="auto" w:fill="E6E6E6"/>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9.2.2. Kế hoạch cải tiến - trung hạn</w:t>
                  </w:r>
                </w:p>
              </w:tc>
            </w:tr>
            <w:tr w:rsidR="00EB5BA9" w:rsidRPr="00EB5BA9">
              <w:tc>
                <w:tcPr>
                  <w:tcW w:w="222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iCs/>
                      <w:color w:val="0000FF"/>
                      <w:sz w:val="20"/>
                      <w:szCs w:val="20"/>
                      <w:shd w:val="clear" w:color="auto" w:fill="FFFFFF"/>
                      <w:lang w:eastAsia="en-SG"/>
                    </w:rPr>
                    <w:t> </w:t>
                  </w:r>
                </w:p>
              </w:tc>
              <w:tc>
                <w:tcPr>
                  <w:tcW w:w="685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Hoàn thiện cơ sở pháp lý cho việc lập bảng IIP</w:t>
                  </w:r>
                </w:p>
              </w:tc>
            </w:tr>
            <w:tr w:rsidR="00EB5BA9" w:rsidRPr="00EB5BA9">
              <w:tc>
                <w:tcPr>
                  <w:tcW w:w="2226" w:type="dxa"/>
                  <w:tcBorders>
                    <w:top w:val="single" w:sz="4" w:space="0" w:color="auto"/>
                    <w:left w:val="single" w:sz="4" w:space="0" w:color="auto"/>
                    <w:bottom w:val="nil"/>
                    <w:right w:val="single" w:sz="4" w:space="0" w:color="auto"/>
                  </w:tcBorders>
                  <w:shd w:val="clear" w:color="auto" w:fill="E0E0E0"/>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9.3. Tài chính</w:t>
                  </w:r>
                </w:p>
              </w:tc>
              <w:tc>
                <w:tcPr>
                  <w:tcW w:w="6856" w:type="dxa"/>
                  <w:tcBorders>
                    <w:top w:val="single" w:sz="4" w:space="0" w:color="auto"/>
                    <w:left w:val="single" w:sz="4" w:space="0" w:color="auto"/>
                    <w:bottom w:val="nil"/>
                    <w:right w:val="single" w:sz="4" w:space="0" w:color="auto"/>
                  </w:tcBorders>
                  <w:shd w:val="clear" w:color="auto" w:fill="E0E0E0"/>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z w:val="20"/>
                      <w:szCs w:val="20"/>
                      <w:lang w:eastAsia="en-SG"/>
                    </w:rPr>
                    <w:t>9.3.1. Kế hoạch cải tiến - Trợ giúp kỹ thuật/tài chính - ngắn hạn</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60" w:line="120"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shd w:val="clear" w:color="auto" w:fill="FFFFFF"/>
                      <w:lang w:eastAsia="en-SG"/>
                    </w:rPr>
                    <w:t> </w:t>
                  </w:r>
                </w:p>
              </w:tc>
              <w:tc>
                <w:tcPr>
                  <w:tcW w:w="685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60" w:line="120"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r>
            <w:tr w:rsidR="00EB5BA9" w:rsidRPr="00EB5BA9">
              <w:tc>
                <w:tcPr>
                  <w:tcW w:w="2226" w:type="dxa"/>
                  <w:tcBorders>
                    <w:top w:val="nil"/>
                    <w:left w:val="single" w:sz="4" w:space="0" w:color="auto"/>
                    <w:bottom w:val="nil"/>
                    <w:right w:val="single" w:sz="4" w:space="0" w:color="auto"/>
                  </w:tcBorders>
                  <w:shd w:val="clear" w:color="auto" w:fill="auto"/>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heme="majorEastAsia" w:hAnsi="Arial" w:cs="Arial"/>
                      <w:sz w:val="20"/>
                      <w:szCs w:val="20"/>
                      <w:shd w:val="clear" w:color="auto" w:fill="FFFFFF"/>
                      <w:lang w:eastAsia="en-SG"/>
                    </w:rPr>
                    <w:lastRenderedPageBreak/>
                    <w:t> </w:t>
                  </w:r>
                </w:p>
              </w:tc>
              <w:tc>
                <w:tcPr>
                  <w:tcW w:w="6856" w:type="dxa"/>
                  <w:tcBorders>
                    <w:top w:val="nil"/>
                    <w:left w:val="single" w:sz="4" w:space="0" w:color="auto"/>
                    <w:bottom w:val="nil"/>
                    <w:right w:val="single" w:sz="4" w:space="0" w:color="auto"/>
                  </w:tcBorders>
                  <w:shd w:val="clear" w:color="auto" w:fill="E6E6E6"/>
                  <w:hideMark/>
                </w:tcPr>
                <w:p w:rsidR="00EB5BA9" w:rsidRPr="00EB5BA9" w:rsidRDefault="00EB5BA9" w:rsidP="00EB5BA9">
                  <w:pPr>
                    <w:spacing w:before="6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color w:val="0000FF"/>
                      <w:spacing w:val="-4"/>
                      <w:sz w:val="20"/>
                      <w:szCs w:val="20"/>
                      <w:lang w:eastAsia="en-SG"/>
                    </w:rPr>
                    <w:t>9.3.2. Kế hoạch cải tiến - Trợ giúp kỹ thuật/tài chính – Trung hạn</w:t>
                  </w:r>
                </w:p>
              </w:tc>
            </w:tr>
            <w:tr w:rsidR="00EB5BA9" w:rsidRPr="00EB5BA9">
              <w:tc>
                <w:tcPr>
                  <w:tcW w:w="222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60" w:after="60" w:line="120" w:lineRule="auto"/>
                    <w:jc w:val="both"/>
                    <w:rPr>
                      <w:rFonts w:ascii="Times New Roman" w:eastAsia="Times New Roman" w:hAnsi="Times New Roman" w:cs="Times New Roman"/>
                      <w:sz w:val="24"/>
                      <w:szCs w:val="24"/>
                      <w:lang w:eastAsia="en-SG"/>
                    </w:rPr>
                  </w:pPr>
                  <w:r w:rsidRPr="00EB5BA9">
                    <w:rPr>
                      <w:rFonts w:ascii="Arial" w:eastAsiaTheme="majorEastAsia" w:hAnsi="Arial" w:cs="Arial"/>
                      <w:sz w:val="20"/>
                      <w:szCs w:val="20"/>
                      <w:shd w:val="clear" w:color="auto" w:fill="FFFFFF"/>
                      <w:lang w:eastAsia="en-SG"/>
                    </w:rPr>
                    <w:t> </w:t>
                  </w:r>
                </w:p>
              </w:tc>
              <w:tc>
                <w:tcPr>
                  <w:tcW w:w="6856" w:type="dxa"/>
                  <w:tcBorders>
                    <w:top w:val="nil"/>
                    <w:left w:val="single" w:sz="4" w:space="0" w:color="auto"/>
                    <w:bottom w:val="single" w:sz="4" w:space="0" w:color="auto"/>
                    <w:right w:val="single" w:sz="4" w:space="0" w:color="auto"/>
                  </w:tcBorders>
                  <w:shd w:val="clear" w:color="auto" w:fill="auto"/>
                  <w:hideMark/>
                </w:tcPr>
                <w:p w:rsidR="00EB5BA9" w:rsidRPr="00EB5BA9" w:rsidRDefault="00EB5BA9" w:rsidP="00EB5BA9">
                  <w:pPr>
                    <w:spacing w:before="60" w:after="60" w:line="120" w:lineRule="auto"/>
                    <w:jc w:val="both"/>
                    <w:rPr>
                      <w:rFonts w:ascii="Times New Roman" w:eastAsia="Times New Roman" w:hAnsi="Times New Roman" w:cs="Times New Roman"/>
                      <w:sz w:val="24"/>
                      <w:szCs w:val="24"/>
                      <w:lang w:eastAsia="en-SG"/>
                    </w:rPr>
                  </w:pPr>
                  <w:r w:rsidRPr="00EB5BA9">
                    <w:rPr>
                      <w:rFonts w:ascii="Arial" w:eastAsiaTheme="majorEastAsia" w:hAnsi="Arial" w:cs="Arial"/>
                      <w:b/>
                      <w:bCs/>
                      <w:color w:val="0000FF"/>
                      <w:sz w:val="20"/>
                      <w:szCs w:val="20"/>
                      <w:lang w:eastAsia="en-SG"/>
                    </w:rPr>
                    <w:t> </w:t>
                  </w:r>
                </w:p>
              </w:tc>
            </w:tr>
          </w:tbl>
          <w:p w:rsidR="00EB5BA9" w:rsidRPr="00EB5BA9" w:rsidRDefault="00EB5BA9" w:rsidP="00EB5BA9">
            <w:pPr>
              <w:spacing w:before="80" w:after="60" w:line="264" w:lineRule="auto"/>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 </w:t>
            </w:r>
          </w:p>
          <w:tbl>
            <w:tblPr>
              <w:tblW w:w="8907"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545"/>
              <w:gridCol w:w="5362"/>
            </w:tblGrid>
            <w:tr w:rsidR="00EB5BA9" w:rsidRPr="00EB5BA9">
              <w:tc>
                <w:tcPr>
                  <w:tcW w:w="8907" w:type="dxa"/>
                  <w:gridSpan w:val="2"/>
                  <w:tcBorders>
                    <w:top w:val="single" w:sz="4" w:space="0" w:color="auto"/>
                    <w:left w:val="single" w:sz="4" w:space="0" w:color="auto"/>
                    <w:bottom w:val="nil"/>
                    <w:right w:val="single" w:sz="4" w:space="0" w:color="auto"/>
                  </w:tcBorders>
                  <w:shd w:val="clear" w:color="auto" w:fill="00FFFF"/>
                  <w:hideMark/>
                </w:tcPr>
                <w:p w:rsidR="00EB5BA9" w:rsidRPr="00EB5BA9" w:rsidRDefault="00EB5BA9" w:rsidP="00EB5BA9">
                  <w:pPr>
                    <w:spacing w:before="80" w:after="60" w:line="264" w:lineRule="auto"/>
                    <w:jc w:val="center"/>
                    <w:rPr>
                      <w:rFonts w:ascii="Times New Roman" w:eastAsia="Times New Roman" w:hAnsi="Times New Roman" w:cs="Times New Roman"/>
                      <w:sz w:val="24"/>
                      <w:szCs w:val="24"/>
                      <w:lang w:eastAsia="en-SG"/>
                    </w:rPr>
                  </w:pPr>
                  <w:r w:rsidRPr="00EB5BA9">
                    <w:rPr>
                      <w:rFonts w:ascii="Arial" w:eastAsia="Times New Roman" w:hAnsi="Arial" w:cs="Arial"/>
                      <w:b/>
                      <w:sz w:val="20"/>
                      <w:szCs w:val="20"/>
                      <w:lang w:eastAsia="en-SG"/>
                    </w:rPr>
                    <w:t>Đối tác liên hệ</w:t>
                  </w:r>
                </w:p>
              </w:tc>
            </w:tr>
            <w:tr w:rsidR="00EB5BA9" w:rsidRPr="00EB5BA9">
              <w:tc>
                <w:tcPr>
                  <w:tcW w:w="3545" w:type="dxa"/>
                  <w:tcBorders>
                    <w:top w:val="nil"/>
                    <w:left w:val="single" w:sz="4" w:space="0" w:color="auto"/>
                    <w:bottom w:val="nil"/>
                    <w:right w:val="nil"/>
                  </w:tcBorders>
                  <w:shd w:val="clear" w:color="auto" w:fill="E5DFEC"/>
                  <w:hideMark/>
                </w:tcPr>
                <w:p w:rsidR="00EB5BA9" w:rsidRPr="00EB5BA9" w:rsidRDefault="00EB5BA9" w:rsidP="00EB5BA9">
                  <w:pPr>
                    <w:spacing w:before="8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sz w:val="20"/>
                      <w:szCs w:val="20"/>
                      <w:lang w:eastAsia="en-SG"/>
                    </w:rPr>
                    <w:t>1.</w:t>
                  </w:r>
                  <w:r w:rsidRPr="00EB5BA9">
                    <w:rPr>
                      <w:rFonts w:ascii="Arial" w:eastAsia="Times New Roman" w:hAnsi="Arial" w:cs="Arial"/>
                      <w:sz w:val="20"/>
                      <w:szCs w:val="20"/>
                      <w:lang w:eastAsia="en-SG"/>
                    </w:rPr>
                    <w:t xml:space="preserve"> Họ và tên:</w:t>
                  </w:r>
                </w:p>
              </w:tc>
              <w:tc>
                <w:tcPr>
                  <w:tcW w:w="5362" w:type="dxa"/>
                  <w:tcBorders>
                    <w:top w:val="nil"/>
                    <w:left w:val="nil"/>
                    <w:bottom w:val="nil"/>
                    <w:right w:val="single" w:sz="4" w:space="0" w:color="auto"/>
                  </w:tcBorders>
                  <w:shd w:val="clear" w:color="auto" w:fill="E5DFEC"/>
                  <w:hideMark/>
                </w:tcPr>
                <w:p w:rsidR="00EB5BA9" w:rsidRPr="00EB5BA9" w:rsidRDefault="00EB5BA9" w:rsidP="00EB5BA9">
                  <w:pPr>
                    <w:spacing w:before="80" w:after="60" w:line="264" w:lineRule="auto"/>
                    <w:jc w:val="both"/>
                    <w:rPr>
                      <w:rFonts w:ascii="Times New Roman" w:eastAsia="Times New Roman" w:hAnsi="Times New Roman" w:cs="Times New Roman"/>
                      <w:sz w:val="24"/>
                      <w:szCs w:val="24"/>
                      <w:lang w:eastAsia="en-SG"/>
                    </w:rPr>
                  </w:pPr>
                  <w:r w:rsidRPr="00EB5BA9">
                    <w:rPr>
                      <w:rFonts w:ascii="Arial" w:eastAsia="Times New Roman" w:hAnsi="Arial" w:cs="Arial"/>
                      <w:b/>
                      <w:sz w:val="20"/>
                      <w:szCs w:val="20"/>
                      <w:lang w:eastAsia="en-SG"/>
                    </w:rPr>
                    <w:t>Nguyễn Đức Long</w:t>
                  </w:r>
                </w:p>
              </w:tc>
            </w:tr>
            <w:tr w:rsidR="00EB5BA9" w:rsidRPr="00EB5BA9">
              <w:tc>
                <w:tcPr>
                  <w:tcW w:w="3545" w:type="dxa"/>
                  <w:tcBorders>
                    <w:top w:val="nil"/>
                    <w:left w:val="single" w:sz="4" w:space="0" w:color="auto"/>
                    <w:bottom w:val="nil"/>
                    <w:right w:val="nil"/>
                  </w:tcBorders>
                  <w:shd w:val="clear" w:color="auto" w:fill="FFFFFF"/>
                  <w:hideMark/>
                </w:tcPr>
                <w:p w:rsidR="00EB5BA9" w:rsidRPr="00EB5BA9" w:rsidRDefault="00EB5BA9" w:rsidP="00EB5BA9">
                  <w:pPr>
                    <w:spacing w:before="80" w:after="60" w:line="244" w:lineRule="auto"/>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 xml:space="preserve">    Chức vụ:</w:t>
                  </w:r>
                </w:p>
              </w:tc>
              <w:tc>
                <w:tcPr>
                  <w:tcW w:w="5362" w:type="dxa"/>
                  <w:tcBorders>
                    <w:top w:val="nil"/>
                    <w:left w:val="nil"/>
                    <w:bottom w:val="nil"/>
                    <w:right w:val="single" w:sz="4" w:space="0" w:color="auto"/>
                  </w:tcBorders>
                  <w:shd w:val="clear" w:color="auto" w:fill="FFFFFF"/>
                  <w:hideMark/>
                </w:tcPr>
                <w:p w:rsidR="00EB5BA9" w:rsidRPr="00EB5BA9" w:rsidRDefault="00EB5BA9" w:rsidP="00EB5BA9">
                  <w:pPr>
                    <w:spacing w:before="80" w:after="60" w:line="244" w:lineRule="auto"/>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Vụ trưởng, Vụ Dự báo - Thống kê tiền tệ</w:t>
                  </w:r>
                </w:p>
              </w:tc>
            </w:tr>
            <w:tr w:rsidR="00EB5BA9" w:rsidRPr="00EB5BA9">
              <w:tc>
                <w:tcPr>
                  <w:tcW w:w="3545" w:type="dxa"/>
                  <w:tcBorders>
                    <w:top w:val="nil"/>
                    <w:left w:val="single" w:sz="4" w:space="0" w:color="auto"/>
                    <w:bottom w:val="nil"/>
                    <w:right w:val="nil"/>
                  </w:tcBorders>
                  <w:shd w:val="clear" w:color="auto" w:fill="E5DFEC"/>
                  <w:hideMark/>
                </w:tcPr>
                <w:p w:rsidR="00EB5BA9" w:rsidRPr="00EB5BA9" w:rsidRDefault="00EB5BA9" w:rsidP="00EB5BA9">
                  <w:pPr>
                    <w:spacing w:before="80" w:after="60" w:line="244" w:lineRule="auto"/>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 xml:space="preserve">    Cơ quan:</w:t>
                  </w:r>
                </w:p>
              </w:tc>
              <w:tc>
                <w:tcPr>
                  <w:tcW w:w="5362" w:type="dxa"/>
                  <w:tcBorders>
                    <w:top w:val="nil"/>
                    <w:left w:val="nil"/>
                    <w:bottom w:val="nil"/>
                    <w:right w:val="single" w:sz="4" w:space="0" w:color="auto"/>
                  </w:tcBorders>
                  <w:shd w:val="clear" w:color="auto" w:fill="E5DFEC"/>
                  <w:hideMark/>
                </w:tcPr>
                <w:p w:rsidR="00EB5BA9" w:rsidRPr="00EB5BA9" w:rsidRDefault="00EB5BA9" w:rsidP="00EB5BA9">
                  <w:pPr>
                    <w:spacing w:before="80" w:after="60" w:line="244" w:lineRule="auto"/>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Ngân hàng Nhà nước Việt Nam</w:t>
                  </w:r>
                </w:p>
              </w:tc>
            </w:tr>
            <w:tr w:rsidR="00EB5BA9" w:rsidRPr="00EB5BA9">
              <w:tc>
                <w:tcPr>
                  <w:tcW w:w="3545" w:type="dxa"/>
                  <w:tcBorders>
                    <w:top w:val="nil"/>
                    <w:left w:val="single" w:sz="4" w:space="0" w:color="auto"/>
                    <w:bottom w:val="nil"/>
                    <w:right w:val="nil"/>
                  </w:tcBorders>
                  <w:shd w:val="clear" w:color="auto" w:fill="FFFFFF"/>
                  <w:hideMark/>
                </w:tcPr>
                <w:p w:rsidR="00EB5BA9" w:rsidRPr="00EB5BA9" w:rsidRDefault="00EB5BA9" w:rsidP="00EB5BA9">
                  <w:pPr>
                    <w:spacing w:before="80" w:after="60" w:line="244" w:lineRule="auto"/>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 xml:space="preserve">    Địa chỉ:</w:t>
                  </w:r>
                </w:p>
              </w:tc>
              <w:tc>
                <w:tcPr>
                  <w:tcW w:w="5362" w:type="dxa"/>
                  <w:tcBorders>
                    <w:top w:val="nil"/>
                    <w:left w:val="nil"/>
                    <w:bottom w:val="nil"/>
                    <w:right w:val="single" w:sz="4" w:space="0" w:color="auto"/>
                  </w:tcBorders>
                  <w:shd w:val="clear" w:color="auto" w:fill="FFFFFF"/>
                  <w:hideMark/>
                </w:tcPr>
                <w:p w:rsidR="00EB5BA9" w:rsidRPr="00EB5BA9" w:rsidRDefault="00EB5BA9" w:rsidP="00EB5BA9">
                  <w:pPr>
                    <w:tabs>
                      <w:tab w:val="center" w:pos="4680"/>
                      <w:tab w:val="right" w:pos="9360"/>
                    </w:tabs>
                    <w:spacing w:before="80" w:after="60" w:line="244" w:lineRule="auto"/>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25 Lý Thường Kiệt, Hoàn Kiếm, Hà Nội, Việt Nam</w:t>
                  </w:r>
                </w:p>
              </w:tc>
            </w:tr>
            <w:tr w:rsidR="00EB5BA9" w:rsidRPr="00EB5BA9">
              <w:tc>
                <w:tcPr>
                  <w:tcW w:w="3545" w:type="dxa"/>
                  <w:tcBorders>
                    <w:top w:val="nil"/>
                    <w:left w:val="single" w:sz="4" w:space="0" w:color="auto"/>
                    <w:bottom w:val="nil"/>
                    <w:right w:val="nil"/>
                  </w:tcBorders>
                  <w:shd w:val="clear" w:color="auto" w:fill="E5DFEC"/>
                  <w:hideMark/>
                </w:tcPr>
                <w:p w:rsidR="00EB5BA9" w:rsidRPr="00EB5BA9" w:rsidRDefault="00EB5BA9" w:rsidP="00EB5BA9">
                  <w:pPr>
                    <w:spacing w:before="80" w:after="60" w:line="244" w:lineRule="auto"/>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 xml:space="preserve">    Điện thoại:</w:t>
                  </w:r>
                </w:p>
              </w:tc>
              <w:tc>
                <w:tcPr>
                  <w:tcW w:w="5362" w:type="dxa"/>
                  <w:tcBorders>
                    <w:top w:val="nil"/>
                    <w:left w:val="nil"/>
                    <w:bottom w:val="nil"/>
                    <w:right w:val="single" w:sz="4" w:space="0" w:color="auto"/>
                  </w:tcBorders>
                  <w:shd w:val="clear" w:color="auto" w:fill="E5DFEC"/>
                  <w:hideMark/>
                </w:tcPr>
                <w:p w:rsidR="00EB5BA9" w:rsidRPr="00EB5BA9" w:rsidRDefault="00EB5BA9" w:rsidP="00EB5BA9">
                  <w:pPr>
                    <w:spacing w:before="80" w:after="60" w:line="244" w:lineRule="auto"/>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84-24-39378079</w:t>
                  </w:r>
                </w:p>
              </w:tc>
            </w:tr>
            <w:tr w:rsidR="00EB5BA9" w:rsidRPr="00EB5BA9">
              <w:tc>
                <w:tcPr>
                  <w:tcW w:w="3545" w:type="dxa"/>
                  <w:tcBorders>
                    <w:top w:val="nil"/>
                    <w:left w:val="single" w:sz="4" w:space="0" w:color="auto"/>
                    <w:bottom w:val="nil"/>
                    <w:right w:val="nil"/>
                  </w:tcBorders>
                  <w:shd w:val="clear" w:color="auto" w:fill="FFFFFF"/>
                  <w:hideMark/>
                </w:tcPr>
                <w:p w:rsidR="00EB5BA9" w:rsidRPr="00EB5BA9" w:rsidRDefault="00EB5BA9" w:rsidP="00EB5BA9">
                  <w:pPr>
                    <w:spacing w:before="80" w:after="60" w:line="244" w:lineRule="auto"/>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 xml:space="preserve">    Fax:</w:t>
                  </w:r>
                </w:p>
              </w:tc>
              <w:tc>
                <w:tcPr>
                  <w:tcW w:w="5362" w:type="dxa"/>
                  <w:tcBorders>
                    <w:top w:val="nil"/>
                    <w:left w:val="nil"/>
                    <w:bottom w:val="nil"/>
                    <w:right w:val="single" w:sz="4" w:space="0" w:color="auto"/>
                  </w:tcBorders>
                  <w:shd w:val="clear" w:color="auto" w:fill="FFFFFF"/>
                  <w:hideMark/>
                </w:tcPr>
                <w:p w:rsidR="00EB5BA9" w:rsidRPr="00EB5BA9" w:rsidRDefault="00EB5BA9" w:rsidP="00EB5BA9">
                  <w:pPr>
                    <w:spacing w:before="80" w:after="60" w:line="244" w:lineRule="auto"/>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84-24-38253640</w:t>
                  </w:r>
                </w:p>
              </w:tc>
            </w:tr>
            <w:tr w:rsidR="00EB5BA9" w:rsidRPr="00EB5BA9">
              <w:tc>
                <w:tcPr>
                  <w:tcW w:w="3545" w:type="dxa"/>
                  <w:tcBorders>
                    <w:top w:val="nil"/>
                    <w:left w:val="single" w:sz="4" w:space="0" w:color="auto"/>
                    <w:bottom w:val="nil"/>
                    <w:right w:val="nil"/>
                  </w:tcBorders>
                  <w:shd w:val="clear" w:color="auto" w:fill="E5DFEC"/>
                  <w:hideMark/>
                </w:tcPr>
                <w:p w:rsidR="00EB5BA9" w:rsidRPr="00EB5BA9" w:rsidRDefault="00EB5BA9" w:rsidP="00EB5BA9">
                  <w:pPr>
                    <w:spacing w:beforeLines="40" w:before="96" w:afterLines="40" w:after="96" w:line="252" w:lineRule="auto"/>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 xml:space="preserve">    E-mail:</w:t>
                  </w:r>
                </w:p>
              </w:tc>
              <w:tc>
                <w:tcPr>
                  <w:tcW w:w="5362" w:type="dxa"/>
                  <w:tcBorders>
                    <w:top w:val="nil"/>
                    <w:left w:val="nil"/>
                    <w:bottom w:val="nil"/>
                    <w:right w:val="single" w:sz="4" w:space="0" w:color="auto"/>
                  </w:tcBorders>
                  <w:shd w:val="clear" w:color="auto" w:fill="E5DFEC"/>
                  <w:hideMark/>
                </w:tcPr>
                <w:p w:rsidR="00EB5BA9" w:rsidRPr="00EB5BA9" w:rsidRDefault="00EB5BA9" w:rsidP="00EB5BA9">
                  <w:pPr>
                    <w:spacing w:beforeLines="40" w:before="96" w:afterLines="40" w:after="96" w:line="252" w:lineRule="auto"/>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long.nguyenduc@sbv.gov.vn</w:t>
                  </w:r>
                </w:p>
              </w:tc>
            </w:tr>
            <w:tr w:rsidR="00EB5BA9" w:rsidRPr="00EB5BA9">
              <w:tc>
                <w:tcPr>
                  <w:tcW w:w="3545" w:type="dxa"/>
                  <w:tcBorders>
                    <w:top w:val="nil"/>
                    <w:left w:val="single" w:sz="4" w:space="0" w:color="auto"/>
                    <w:bottom w:val="single" w:sz="4" w:space="0" w:color="auto"/>
                    <w:right w:val="nil"/>
                  </w:tcBorders>
                  <w:shd w:val="clear" w:color="auto" w:fill="FFFFFF"/>
                  <w:hideMark/>
                </w:tcPr>
                <w:p w:rsidR="00EB5BA9" w:rsidRPr="00EB5BA9" w:rsidRDefault="00EB5BA9" w:rsidP="00EB5BA9">
                  <w:pPr>
                    <w:keepNext/>
                    <w:keepLines/>
                    <w:spacing w:before="80" w:after="60" w:line="120" w:lineRule="auto"/>
                    <w:jc w:val="both"/>
                    <w:outlineLvl w:val="2"/>
                    <w:rPr>
                      <w:rFonts w:ascii="Times New Roman" w:eastAsia="Times New Roman" w:hAnsi="Times New Roman" w:cs="Times New Roman"/>
                      <w:sz w:val="24"/>
                      <w:szCs w:val="24"/>
                      <w:lang w:eastAsia="en-SG"/>
                    </w:rPr>
                  </w:pPr>
                  <w:r w:rsidRPr="00EB5BA9">
                    <w:rPr>
                      <w:rFonts w:ascii="Arial" w:eastAsia="Times New Roman" w:hAnsi="Arial" w:cs="Arial"/>
                      <w:b/>
                      <w:sz w:val="20"/>
                      <w:szCs w:val="20"/>
                      <w:lang w:eastAsia="en-SG"/>
                    </w:rPr>
                    <w:t> </w:t>
                  </w:r>
                </w:p>
              </w:tc>
              <w:tc>
                <w:tcPr>
                  <w:tcW w:w="5362" w:type="dxa"/>
                  <w:tcBorders>
                    <w:top w:val="nil"/>
                    <w:left w:val="nil"/>
                    <w:bottom w:val="single" w:sz="4" w:space="0" w:color="auto"/>
                    <w:right w:val="single" w:sz="4" w:space="0" w:color="auto"/>
                  </w:tcBorders>
                  <w:shd w:val="clear" w:color="auto" w:fill="FFFFFF"/>
                  <w:hideMark/>
                </w:tcPr>
                <w:p w:rsidR="00EB5BA9" w:rsidRPr="00EB5BA9" w:rsidRDefault="00EB5BA9" w:rsidP="00EB5BA9">
                  <w:pPr>
                    <w:keepNext/>
                    <w:keepLines/>
                    <w:spacing w:before="80" w:after="60" w:line="120" w:lineRule="auto"/>
                    <w:jc w:val="both"/>
                    <w:outlineLvl w:val="2"/>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 </w:t>
                  </w:r>
                </w:p>
              </w:tc>
            </w:tr>
            <w:tr w:rsidR="00EB5BA9" w:rsidRPr="00EB5BA9">
              <w:tc>
                <w:tcPr>
                  <w:tcW w:w="8907" w:type="dxa"/>
                  <w:gridSpan w:val="2"/>
                  <w:tcBorders>
                    <w:top w:val="single" w:sz="4" w:space="0" w:color="auto"/>
                    <w:left w:val="single" w:sz="4" w:space="0" w:color="auto"/>
                    <w:bottom w:val="nil"/>
                    <w:right w:val="single" w:sz="4" w:space="0" w:color="auto"/>
                  </w:tcBorders>
                  <w:shd w:val="clear" w:color="auto" w:fill="00FFFF"/>
                  <w:hideMark/>
                </w:tcPr>
                <w:p w:rsidR="00EB5BA9" w:rsidRPr="00EB5BA9" w:rsidRDefault="00EB5BA9" w:rsidP="00EB5BA9">
                  <w:pPr>
                    <w:spacing w:before="80" w:after="60" w:line="252" w:lineRule="auto"/>
                    <w:jc w:val="center"/>
                    <w:rPr>
                      <w:rFonts w:ascii="Times New Roman" w:eastAsia="Times New Roman" w:hAnsi="Times New Roman" w:cs="Times New Roman"/>
                      <w:sz w:val="24"/>
                      <w:szCs w:val="24"/>
                      <w:lang w:eastAsia="en-SG"/>
                    </w:rPr>
                  </w:pPr>
                  <w:r w:rsidRPr="00EB5BA9">
                    <w:rPr>
                      <w:rFonts w:ascii="Arial" w:eastAsia="Times New Roman" w:hAnsi="Arial" w:cs="Arial"/>
                      <w:b/>
                      <w:sz w:val="20"/>
                      <w:szCs w:val="20"/>
                      <w:lang w:eastAsia="en-SG"/>
                    </w:rPr>
                    <w:t>Đối tác liên hệ</w:t>
                  </w:r>
                </w:p>
              </w:tc>
            </w:tr>
            <w:tr w:rsidR="00EB5BA9" w:rsidRPr="00EB5BA9">
              <w:tc>
                <w:tcPr>
                  <w:tcW w:w="3545" w:type="dxa"/>
                  <w:tcBorders>
                    <w:top w:val="nil"/>
                    <w:left w:val="single" w:sz="4" w:space="0" w:color="auto"/>
                    <w:bottom w:val="nil"/>
                    <w:right w:val="nil"/>
                  </w:tcBorders>
                  <w:shd w:val="clear" w:color="auto" w:fill="E5DFEC"/>
                  <w:hideMark/>
                </w:tcPr>
                <w:p w:rsidR="00EB5BA9" w:rsidRPr="00EB5BA9" w:rsidRDefault="00EB5BA9" w:rsidP="00EB5BA9">
                  <w:pPr>
                    <w:spacing w:before="80" w:after="60" w:line="252" w:lineRule="auto"/>
                    <w:jc w:val="both"/>
                    <w:rPr>
                      <w:rFonts w:ascii="Times New Roman" w:eastAsia="Times New Roman" w:hAnsi="Times New Roman" w:cs="Times New Roman"/>
                      <w:sz w:val="24"/>
                      <w:szCs w:val="24"/>
                      <w:lang w:eastAsia="en-SG"/>
                    </w:rPr>
                  </w:pPr>
                  <w:r w:rsidRPr="00EB5BA9">
                    <w:rPr>
                      <w:rFonts w:ascii="Arial" w:eastAsia="Times New Roman" w:hAnsi="Arial" w:cs="Arial"/>
                      <w:b/>
                      <w:sz w:val="20"/>
                      <w:szCs w:val="20"/>
                      <w:lang w:eastAsia="en-SG"/>
                    </w:rPr>
                    <w:t>2.</w:t>
                  </w:r>
                  <w:r w:rsidRPr="00EB5BA9">
                    <w:rPr>
                      <w:rFonts w:ascii="Arial" w:eastAsia="Times New Roman" w:hAnsi="Arial" w:cs="Arial"/>
                      <w:sz w:val="20"/>
                      <w:szCs w:val="20"/>
                      <w:lang w:eastAsia="en-SG"/>
                    </w:rPr>
                    <w:t xml:space="preserve"> Họ và tên:</w:t>
                  </w:r>
                </w:p>
              </w:tc>
              <w:tc>
                <w:tcPr>
                  <w:tcW w:w="5362" w:type="dxa"/>
                  <w:tcBorders>
                    <w:top w:val="nil"/>
                    <w:left w:val="nil"/>
                    <w:bottom w:val="nil"/>
                    <w:right w:val="single" w:sz="4" w:space="0" w:color="auto"/>
                  </w:tcBorders>
                  <w:shd w:val="clear" w:color="auto" w:fill="E5DFEC"/>
                  <w:hideMark/>
                </w:tcPr>
                <w:p w:rsidR="00EB5BA9" w:rsidRPr="00EB5BA9" w:rsidRDefault="00EB5BA9" w:rsidP="00EB5BA9">
                  <w:pPr>
                    <w:spacing w:before="80" w:after="60" w:line="252" w:lineRule="auto"/>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Bà Hoàng Thị Quỳnh Mai</w:t>
                  </w:r>
                </w:p>
              </w:tc>
            </w:tr>
            <w:tr w:rsidR="00EB5BA9" w:rsidRPr="00EB5BA9">
              <w:tc>
                <w:tcPr>
                  <w:tcW w:w="3545" w:type="dxa"/>
                  <w:tcBorders>
                    <w:top w:val="nil"/>
                    <w:left w:val="single" w:sz="4" w:space="0" w:color="auto"/>
                    <w:bottom w:val="nil"/>
                    <w:right w:val="nil"/>
                  </w:tcBorders>
                  <w:shd w:val="clear" w:color="auto" w:fill="FFFFFF"/>
                  <w:hideMark/>
                </w:tcPr>
                <w:p w:rsidR="00EB5BA9" w:rsidRPr="00EB5BA9" w:rsidRDefault="00EB5BA9" w:rsidP="00EB5BA9">
                  <w:pPr>
                    <w:spacing w:before="80" w:after="60" w:line="244" w:lineRule="auto"/>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 xml:space="preserve">    Chức vụ:</w:t>
                  </w:r>
                </w:p>
              </w:tc>
              <w:tc>
                <w:tcPr>
                  <w:tcW w:w="5362" w:type="dxa"/>
                  <w:tcBorders>
                    <w:top w:val="nil"/>
                    <w:left w:val="nil"/>
                    <w:bottom w:val="nil"/>
                    <w:right w:val="single" w:sz="4" w:space="0" w:color="auto"/>
                  </w:tcBorders>
                  <w:shd w:val="clear" w:color="auto" w:fill="FFFFFF"/>
                  <w:hideMark/>
                </w:tcPr>
                <w:p w:rsidR="00EB5BA9" w:rsidRPr="00EB5BA9" w:rsidRDefault="00EB5BA9" w:rsidP="00EB5BA9">
                  <w:pPr>
                    <w:spacing w:before="80" w:after="60" w:line="244" w:lineRule="auto"/>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Trưởng Phòng Cán cân thanh toán quốc tế</w:t>
                  </w:r>
                </w:p>
              </w:tc>
            </w:tr>
            <w:tr w:rsidR="00EB5BA9" w:rsidRPr="00EB5BA9">
              <w:tc>
                <w:tcPr>
                  <w:tcW w:w="3545" w:type="dxa"/>
                  <w:tcBorders>
                    <w:top w:val="nil"/>
                    <w:left w:val="single" w:sz="4" w:space="0" w:color="auto"/>
                    <w:bottom w:val="nil"/>
                    <w:right w:val="nil"/>
                  </w:tcBorders>
                  <w:shd w:val="clear" w:color="auto" w:fill="E5DFEC"/>
                  <w:hideMark/>
                </w:tcPr>
                <w:p w:rsidR="00EB5BA9" w:rsidRPr="00EB5BA9" w:rsidRDefault="00EB5BA9" w:rsidP="00EB5BA9">
                  <w:pPr>
                    <w:spacing w:before="80" w:after="60" w:line="244" w:lineRule="auto"/>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 xml:space="preserve">    Cơ quan:</w:t>
                  </w:r>
                </w:p>
              </w:tc>
              <w:tc>
                <w:tcPr>
                  <w:tcW w:w="5362" w:type="dxa"/>
                  <w:tcBorders>
                    <w:top w:val="nil"/>
                    <w:left w:val="nil"/>
                    <w:bottom w:val="nil"/>
                    <w:right w:val="single" w:sz="4" w:space="0" w:color="auto"/>
                  </w:tcBorders>
                  <w:shd w:val="clear" w:color="auto" w:fill="E5DFEC"/>
                  <w:hideMark/>
                </w:tcPr>
                <w:p w:rsidR="00EB5BA9" w:rsidRPr="00EB5BA9" w:rsidRDefault="00EB5BA9" w:rsidP="00EB5BA9">
                  <w:pPr>
                    <w:spacing w:before="80" w:after="60" w:line="244" w:lineRule="auto"/>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Ngân hàng Nhà nước Việt Nam</w:t>
                  </w:r>
                </w:p>
              </w:tc>
            </w:tr>
            <w:tr w:rsidR="00EB5BA9" w:rsidRPr="00EB5BA9">
              <w:tc>
                <w:tcPr>
                  <w:tcW w:w="3545" w:type="dxa"/>
                  <w:tcBorders>
                    <w:top w:val="nil"/>
                    <w:left w:val="single" w:sz="4" w:space="0" w:color="auto"/>
                    <w:bottom w:val="nil"/>
                    <w:right w:val="nil"/>
                  </w:tcBorders>
                  <w:shd w:val="clear" w:color="auto" w:fill="FFFFFF"/>
                  <w:hideMark/>
                </w:tcPr>
                <w:p w:rsidR="00EB5BA9" w:rsidRPr="00EB5BA9" w:rsidRDefault="00EB5BA9" w:rsidP="00EB5BA9">
                  <w:pPr>
                    <w:spacing w:before="80" w:after="60" w:line="244" w:lineRule="auto"/>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 xml:space="preserve">    Địa chỉ:</w:t>
                  </w:r>
                </w:p>
              </w:tc>
              <w:tc>
                <w:tcPr>
                  <w:tcW w:w="5362" w:type="dxa"/>
                  <w:tcBorders>
                    <w:top w:val="nil"/>
                    <w:left w:val="nil"/>
                    <w:bottom w:val="nil"/>
                    <w:right w:val="single" w:sz="4" w:space="0" w:color="auto"/>
                  </w:tcBorders>
                  <w:shd w:val="clear" w:color="auto" w:fill="FFFFFF"/>
                  <w:hideMark/>
                </w:tcPr>
                <w:p w:rsidR="00EB5BA9" w:rsidRPr="00EB5BA9" w:rsidRDefault="00EB5BA9" w:rsidP="00EB5BA9">
                  <w:pPr>
                    <w:tabs>
                      <w:tab w:val="center" w:pos="4680"/>
                      <w:tab w:val="right" w:pos="9360"/>
                    </w:tabs>
                    <w:spacing w:before="80" w:after="60" w:line="244" w:lineRule="auto"/>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25 Lý Thường Kiệt, Hoàn Kiếm, Hà Nội, Việt Nam</w:t>
                  </w:r>
                </w:p>
              </w:tc>
            </w:tr>
            <w:tr w:rsidR="00EB5BA9" w:rsidRPr="00EB5BA9">
              <w:tc>
                <w:tcPr>
                  <w:tcW w:w="3545" w:type="dxa"/>
                  <w:tcBorders>
                    <w:top w:val="nil"/>
                    <w:left w:val="single" w:sz="4" w:space="0" w:color="auto"/>
                    <w:bottom w:val="nil"/>
                    <w:right w:val="nil"/>
                  </w:tcBorders>
                  <w:shd w:val="clear" w:color="auto" w:fill="E5DFEC"/>
                  <w:hideMark/>
                </w:tcPr>
                <w:p w:rsidR="00EB5BA9" w:rsidRPr="00EB5BA9" w:rsidRDefault="00EB5BA9" w:rsidP="00EB5BA9">
                  <w:pPr>
                    <w:spacing w:before="80" w:after="60" w:line="244" w:lineRule="auto"/>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 xml:space="preserve">    Điện thoại:</w:t>
                  </w:r>
                </w:p>
              </w:tc>
              <w:tc>
                <w:tcPr>
                  <w:tcW w:w="5362" w:type="dxa"/>
                  <w:tcBorders>
                    <w:top w:val="nil"/>
                    <w:left w:val="nil"/>
                    <w:bottom w:val="nil"/>
                    <w:right w:val="single" w:sz="4" w:space="0" w:color="auto"/>
                  </w:tcBorders>
                  <w:shd w:val="clear" w:color="auto" w:fill="E5DFEC"/>
                  <w:hideMark/>
                </w:tcPr>
                <w:p w:rsidR="00EB5BA9" w:rsidRPr="00EB5BA9" w:rsidRDefault="00EB5BA9" w:rsidP="00EB5BA9">
                  <w:pPr>
                    <w:spacing w:before="80" w:after="60" w:line="244" w:lineRule="auto"/>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84-24-38268788</w:t>
                  </w:r>
                </w:p>
              </w:tc>
            </w:tr>
            <w:tr w:rsidR="00EB5BA9" w:rsidRPr="00EB5BA9">
              <w:tc>
                <w:tcPr>
                  <w:tcW w:w="3545" w:type="dxa"/>
                  <w:tcBorders>
                    <w:top w:val="nil"/>
                    <w:left w:val="single" w:sz="4" w:space="0" w:color="auto"/>
                    <w:bottom w:val="nil"/>
                    <w:right w:val="nil"/>
                  </w:tcBorders>
                  <w:shd w:val="clear" w:color="auto" w:fill="FFFFFF"/>
                  <w:hideMark/>
                </w:tcPr>
                <w:p w:rsidR="00EB5BA9" w:rsidRPr="00EB5BA9" w:rsidRDefault="00EB5BA9" w:rsidP="00EB5BA9">
                  <w:pPr>
                    <w:spacing w:before="80" w:after="60" w:line="244" w:lineRule="auto"/>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 xml:space="preserve">    Fax:</w:t>
                  </w:r>
                </w:p>
              </w:tc>
              <w:tc>
                <w:tcPr>
                  <w:tcW w:w="5362" w:type="dxa"/>
                  <w:tcBorders>
                    <w:top w:val="nil"/>
                    <w:left w:val="nil"/>
                    <w:bottom w:val="nil"/>
                    <w:right w:val="single" w:sz="4" w:space="0" w:color="auto"/>
                  </w:tcBorders>
                  <w:shd w:val="clear" w:color="auto" w:fill="FFFFFF"/>
                  <w:hideMark/>
                </w:tcPr>
                <w:p w:rsidR="00EB5BA9" w:rsidRPr="00EB5BA9" w:rsidRDefault="00EB5BA9" w:rsidP="00EB5BA9">
                  <w:pPr>
                    <w:spacing w:before="80" w:after="60" w:line="244" w:lineRule="auto"/>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84-24-38253640</w:t>
                  </w:r>
                </w:p>
              </w:tc>
            </w:tr>
            <w:tr w:rsidR="00EB5BA9" w:rsidRPr="00EB5BA9">
              <w:tc>
                <w:tcPr>
                  <w:tcW w:w="3545" w:type="dxa"/>
                  <w:tcBorders>
                    <w:top w:val="nil"/>
                    <w:left w:val="single" w:sz="4" w:space="0" w:color="auto"/>
                    <w:bottom w:val="single" w:sz="4" w:space="0" w:color="auto"/>
                    <w:right w:val="nil"/>
                  </w:tcBorders>
                  <w:shd w:val="clear" w:color="auto" w:fill="E5DFEC"/>
                  <w:hideMark/>
                </w:tcPr>
                <w:p w:rsidR="00EB5BA9" w:rsidRPr="00EB5BA9" w:rsidRDefault="00EB5BA9" w:rsidP="00EB5BA9">
                  <w:pPr>
                    <w:spacing w:beforeLines="40" w:before="96" w:afterLines="40" w:after="96" w:line="244" w:lineRule="auto"/>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 xml:space="preserve">    E-mail:</w:t>
                  </w:r>
                </w:p>
              </w:tc>
              <w:tc>
                <w:tcPr>
                  <w:tcW w:w="5362" w:type="dxa"/>
                  <w:tcBorders>
                    <w:top w:val="nil"/>
                    <w:left w:val="nil"/>
                    <w:bottom w:val="single" w:sz="4" w:space="0" w:color="auto"/>
                    <w:right w:val="single" w:sz="4" w:space="0" w:color="auto"/>
                  </w:tcBorders>
                  <w:shd w:val="clear" w:color="auto" w:fill="E5DFEC"/>
                  <w:hideMark/>
                </w:tcPr>
                <w:p w:rsidR="00EB5BA9" w:rsidRPr="00EB5BA9" w:rsidRDefault="00EB5BA9" w:rsidP="00EB5BA9">
                  <w:pPr>
                    <w:spacing w:beforeLines="40" w:before="96" w:afterLines="40" w:after="96" w:line="244" w:lineRule="auto"/>
                    <w:jc w:val="both"/>
                    <w:rPr>
                      <w:rFonts w:ascii="Times New Roman" w:eastAsia="Times New Roman" w:hAnsi="Times New Roman" w:cs="Times New Roman"/>
                      <w:sz w:val="24"/>
                      <w:szCs w:val="24"/>
                      <w:lang w:eastAsia="en-SG"/>
                    </w:rPr>
                  </w:pPr>
                  <w:r w:rsidRPr="00EB5BA9">
                    <w:rPr>
                      <w:rFonts w:ascii="Arial" w:eastAsia="Times New Roman" w:hAnsi="Arial" w:cs="Arial"/>
                      <w:sz w:val="20"/>
                      <w:szCs w:val="20"/>
                      <w:lang w:eastAsia="en-SG"/>
                    </w:rPr>
                    <w:t>quynhmai_sbv@yahoo.com</w:t>
                  </w:r>
                </w:p>
              </w:tc>
            </w:tr>
          </w:tbl>
          <w:p w:rsidR="00EB5BA9" w:rsidRPr="00EB5BA9" w:rsidRDefault="00EB5BA9" w:rsidP="00EB5BA9">
            <w:pPr>
              <w:spacing w:after="0" w:line="240" w:lineRule="auto"/>
              <w:rPr>
                <w:rFonts w:ascii="Times New Roman" w:eastAsia="Times New Roman" w:hAnsi="Times New Roman" w:cs="Times New Roman"/>
                <w:sz w:val="24"/>
                <w:szCs w:val="24"/>
                <w:lang w:eastAsia="en-SG"/>
              </w:rPr>
            </w:pPr>
          </w:p>
        </w:tc>
      </w:tr>
    </w:tbl>
    <w:p w:rsidR="00167862" w:rsidRDefault="00167862">
      <w:bookmarkStart w:id="0" w:name="_GoBack"/>
      <w:bookmarkEnd w:id="0"/>
    </w:p>
    <w:sectPr w:rsidR="001678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BA9"/>
    <w:rsid w:val="00167862"/>
    <w:rsid w:val="00EB5BA9"/>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BA9"/>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apple-style-span">
    <w:name w:val="apple-style-span"/>
    <w:basedOn w:val="DefaultParagraphFont"/>
    <w:rsid w:val="00EB5B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5BA9"/>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apple-style-span">
    <w:name w:val="apple-style-span"/>
    <w:basedOn w:val="DefaultParagraphFont"/>
    <w:rsid w:val="00EB5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913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BCDA0C-90DD-4D9E-8040-9D155FB56158}"/>
</file>

<file path=customXml/itemProps2.xml><?xml version="1.0" encoding="utf-8"?>
<ds:datastoreItem xmlns:ds="http://schemas.openxmlformats.org/officeDocument/2006/customXml" ds:itemID="{08FE9B12-95C3-47AB-811C-A08F98AEE640}"/>
</file>

<file path=customXml/itemProps3.xml><?xml version="1.0" encoding="utf-8"?>
<ds:datastoreItem xmlns:ds="http://schemas.openxmlformats.org/officeDocument/2006/customXml" ds:itemID="{E71B0110-F54D-4343-A33B-5EFBAFC91EDD}"/>
</file>

<file path=docProps/app.xml><?xml version="1.0" encoding="utf-8"?>
<Properties xmlns="http://schemas.openxmlformats.org/officeDocument/2006/extended-properties" xmlns:vt="http://schemas.openxmlformats.org/officeDocument/2006/docPropsVTypes">
  <Template>Normal</Template>
  <TotalTime>0</TotalTime>
  <Pages>7</Pages>
  <Words>1968</Words>
  <Characters>11224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2019-05-21T09:25:00Z</dcterms:created>
  <dcterms:modified xsi:type="dcterms:W3CDTF">2019-05-21T09:25:00Z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0x010100FB5478D2C6DD5A4FBCA9633FB76EF110</vt:lpwstr>
  </property>
</Properties>
</file>