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26"/>
      </w:tblGrid>
      <w:tr w:rsidR="00082E92" w:rsidRPr="00082E92" w14:paraId="67CE5B16" w14:textId="77777777" w:rsidTr="00082E92">
        <w:trPr>
          <w:tblCellSpacing w:w="0" w:type="dxa"/>
        </w:trPr>
        <w:tc>
          <w:tcPr>
            <w:tcW w:w="0" w:type="auto"/>
            <w:vAlign w:val="center"/>
            <w:hideMark/>
          </w:tcPr>
          <w:p w14:paraId="7721D3FC" w14:textId="77777777" w:rsidR="00082E92" w:rsidRPr="00082E92" w:rsidRDefault="00082E92" w:rsidP="00082E92">
            <w:pPr>
              <w:spacing w:after="0" w:line="240" w:lineRule="auto"/>
              <w:rPr>
                <w:rFonts w:ascii="Times New Roman" w:eastAsia="Times New Roman" w:hAnsi="Times New Roman" w:cs="Times New Roman"/>
                <w:sz w:val="24"/>
                <w:szCs w:val="24"/>
                <w:lang w:eastAsia="en-SG"/>
              </w:rPr>
            </w:pPr>
            <w:r w:rsidRPr="00082E92">
              <w:rPr>
                <w:rFonts w:ascii="Times New Roman" w:eastAsia="Times New Roman" w:hAnsi="Times New Roman" w:cs="Times New Roman"/>
                <w:sz w:val="24"/>
                <w:szCs w:val="24"/>
                <w:lang w:eastAsia="en-SG"/>
              </w:rPr>
              <w:t>Khu vực đối ngoại: Cán cân thanh toán</w:t>
            </w:r>
          </w:p>
        </w:tc>
      </w:tr>
      <w:tr w:rsidR="00082E92" w:rsidRPr="00082E92" w14:paraId="197F6A38" w14:textId="77777777" w:rsidTr="00082E92">
        <w:trPr>
          <w:trHeight w:val="150"/>
          <w:tblCellSpacing w:w="0" w:type="dxa"/>
        </w:trPr>
        <w:tc>
          <w:tcPr>
            <w:tcW w:w="0" w:type="auto"/>
            <w:vAlign w:val="center"/>
            <w:hideMark/>
          </w:tcPr>
          <w:p w14:paraId="72895499" w14:textId="77777777" w:rsidR="00082E92" w:rsidRPr="00082E92" w:rsidRDefault="00082E92" w:rsidP="00082E92">
            <w:pPr>
              <w:spacing w:after="0" w:line="240" w:lineRule="auto"/>
              <w:rPr>
                <w:rFonts w:ascii="Times New Roman" w:eastAsia="Times New Roman" w:hAnsi="Times New Roman" w:cs="Times New Roman"/>
                <w:sz w:val="16"/>
                <w:szCs w:val="24"/>
                <w:lang w:eastAsia="en-SG"/>
              </w:rPr>
            </w:pPr>
          </w:p>
        </w:tc>
      </w:tr>
      <w:tr w:rsidR="00082E92" w:rsidRPr="00082E92" w14:paraId="4491DF6D" w14:textId="77777777" w:rsidTr="00082E92">
        <w:trPr>
          <w:tblCellSpacing w:w="0" w:type="dxa"/>
        </w:trPr>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8956"/>
            </w:tblGrid>
            <w:tr w:rsidR="00082E92" w:rsidRPr="00082E92" w14:paraId="2AABABD4" w14:textId="77777777">
              <w:tc>
                <w:tcPr>
                  <w:tcW w:w="9348" w:type="dxa"/>
                  <w:tcBorders>
                    <w:top w:val="single" w:sz="4" w:space="0" w:color="auto"/>
                    <w:left w:val="single" w:sz="4" w:space="0" w:color="auto"/>
                    <w:bottom w:val="single" w:sz="4" w:space="0" w:color="auto"/>
                    <w:right w:val="single" w:sz="4" w:space="0" w:color="auto"/>
                  </w:tcBorders>
                  <w:shd w:val="clear" w:color="auto" w:fill="auto"/>
                  <w:hideMark/>
                </w:tcPr>
                <w:p w14:paraId="481AAAE7" w14:textId="77777777" w:rsidR="00082E92" w:rsidRPr="00082E92" w:rsidRDefault="00082E92" w:rsidP="00082E92">
                  <w:pPr>
                    <w:spacing w:before="60" w:after="60" w:line="240"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VIỆT NAM</w:t>
                  </w:r>
                </w:p>
                <w:p w14:paraId="421B417A" w14:textId="77777777" w:rsidR="00082E92" w:rsidRPr="00082E92" w:rsidRDefault="00082E92" w:rsidP="00082E92">
                  <w:pPr>
                    <w:spacing w:before="60" w:after="60" w:line="240"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Cán cân thanh toán</w:t>
                  </w:r>
                </w:p>
              </w:tc>
            </w:tr>
          </w:tbl>
          <w:p w14:paraId="16EBBAEF"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009"/>
            </w:tblGrid>
            <w:tr w:rsidR="00082E92" w:rsidRPr="00082E92" w14:paraId="00C22B17"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6C6F3146"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0. Những yêu cầu tiên quyết của chất lượng</w:t>
                  </w:r>
                </w:p>
              </w:tc>
            </w:tr>
            <w:tr w:rsidR="00082E92" w:rsidRPr="00082E92" w14:paraId="2FDA3AAF" w14:textId="77777777" w:rsidTr="00600C1A">
              <w:tc>
                <w:tcPr>
                  <w:tcW w:w="917" w:type="dxa"/>
                  <w:tcBorders>
                    <w:top w:val="single" w:sz="4" w:space="0" w:color="auto"/>
                    <w:left w:val="single" w:sz="4" w:space="0" w:color="auto"/>
                    <w:bottom w:val="nil"/>
                    <w:right w:val="single" w:sz="4" w:space="0" w:color="auto"/>
                  </w:tcBorders>
                  <w:shd w:val="clear" w:color="auto" w:fill="E6E6E6"/>
                  <w:hideMark/>
                </w:tcPr>
                <w:p w14:paraId="33FBD11F"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01. Môi trường pháp lý </w:t>
                  </w:r>
                </w:p>
              </w:tc>
              <w:tc>
                <w:tcPr>
                  <w:tcW w:w="8009" w:type="dxa"/>
                  <w:tcBorders>
                    <w:top w:val="single" w:sz="4" w:space="0" w:color="auto"/>
                    <w:left w:val="single" w:sz="4" w:space="0" w:color="auto"/>
                    <w:bottom w:val="nil"/>
                    <w:right w:val="single" w:sz="4" w:space="0" w:color="auto"/>
                  </w:tcBorders>
                  <w:shd w:val="clear" w:color="auto" w:fill="E6E6E6"/>
                  <w:hideMark/>
                </w:tcPr>
                <w:p w14:paraId="5E925BD7"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0.1.1. Trách nhiệm thu thập, xử lý, và phổ biến số liệu thống kê </w:t>
                  </w:r>
                </w:p>
              </w:tc>
            </w:tr>
            <w:tr w:rsidR="00082E92" w:rsidRPr="00082E92" w14:paraId="6261B59E" w14:textId="77777777" w:rsidTr="00600C1A">
              <w:tc>
                <w:tcPr>
                  <w:tcW w:w="917" w:type="dxa"/>
                  <w:tcBorders>
                    <w:top w:val="nil"/>
                    <w:left w:val="single" w:sz="4" w:space="0" w:color="auto"/>
                    <w:bottom w:val="nil"/>
                    <w:right w:val="single" w:sz="4" w:space="0" w:color="auto"/>
                  </w:tcBorders>
                  <w:shd w:val="clear" w:color="auto" w:fill="auto"/>
                  <w:hideMark/>
                </w:tcPr>
                <w:p w14:paraId="620A1933"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38759A43"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12ABC2ED"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Các hoạt động  của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 tại Điều 37 Luật NHNN qui định nhiệm vụ của NHNN có trách nhiệm “Tổ chức, thu nhận, sử dụng, lưu trữ, cung cấp và công bố thông tin phù hợp với quy định của Pháp luật”.</w:t>
                  </w:r>
                </w:p>
              </w:tc>
            </w:tr>
            <w:tr w:rsidR="00082E92" w:rsidRPr="00082E92" w14:paraId="0712766D" w14:textId="77777777" w:rsidTr="00600C1A">
              <w:tc>
                <w:tcPr>
                  <w:tcW w:w="917" w:type="dxa"/>
                  <w:tcBorders>
                    <w:top w:val="nil"/>
                    <w:left w:val="single" w:sz="4" w:space="0" w:color="auto"/>
                    <w:bottom w:val="nil"/>
                    <w:right w:val="single" w:sz="4" w:space="0" w:color="auto"/>
                  </w:tcBorders>
                  <w:shd w:val="clear" w:color="auto" w:fill="auto"/>
                  <w:hideMark/>
                </w:tcPr>
                <w:p w14:paraId="59815F17"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329D663"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0.1.2. Chia sẻ thông tin và phối hợp giữa các cơ quan sản xuất số liệu </w:t>
                  </w:r>
                </w:p>
              </w:tc>
            </w:tr>
            <w:tr w:rsidR="00082E92" w:rsidRPr="00082E92" w14:paraId="036457F2" w14:textId="77777777" w:rsidTr="00600C1A">
              <w:tc>
                <w:tcPr>
                  <w:tcW w:w="917" w:type="dxa"/>
                  <w:tcBorders>
                    <w:top w:val="nil"/>
                    <w:left w:val="single" w:sz="4" w:space="0" w:color="auto"/>
                    <w:bottom w:val="nil"/>
                    <w:right w:val="single" w:sz="4" w:space="0" w:color="auto"/>
                  </w:tcBorders>
                  <w:shd w:val="clear" w:color="auto" w:fill="auto"/>
                  <w:hideMark/>
                </w:tcPr>
                <w:p w14:paraId="6A55DAA2"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7AB16B0A"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4275DD04" w14:textId="77777777" w:rsidTr="00600C1A">
              <w:tc>
                <w:tcPr>
                  <w:tcW w:w="917" w:type="dxa"/>
                  <w:tcBorders>
                    <w:top w:val="nil"/>
                    <w:left w:val="single" w:sz="4" w:space="0" w:color="auto"/>
                    <w:bottom w:val="nil"/>
                    <w:right w:val="single" w:sz="4" w:space="0" w:color="auto"/>
                  </w:tcBorders>
                  <w:shd w:val="clear" w:color="auto" w:fill="auto"/>
                  <w:hideMark/>
                </w:tcPr>
                <w:p w14:paraId="3B8E9563"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6805D2D3"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0.1.3. Vấn đề bảo mật thông tin của đối tượng cung cấp tin </w:t>
                  </w:r>
                </w:p>
              </w:tc>
            </w:tr>
            <w:tr w:rsidR="00082E92" w:rsidRPr="00082E92" w14:paraId="4CE29A30" w14:textId="77777777" w:rsidTr="00600C1A">
              <w:tc>
                <w:tcPr>
                  <w:tcW w:w="917" w:type="dxa"/>
                  <w:tcBorders>
                    <w:top w:val="nil"/>
                    <w:left w:val="single" w:sz="4" w:space="0" w:color="auto"/>
                    <w:bottom w:val="nil"/>
                    <w:right w:val="single" w:sz="4" w:space="0" w:color="auto"/>
                  </w:tcBorders>
                  <w:shd w:val="clear" w:color="auto" w:fill="auto"/>
                  <w:hideMark/>
                </w:tcPr>
                <w:p w14:paraId="3EACBFA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0441B51A"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67CD5FD7"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082E92" w:rsidRPr="00082E92" w14:paraId="5D4B2285" w14:textId="77777777" w:rsidTr="00600C1A">
              <w:tc>
                <w:tcPr>
                  <w:tcW w:w="917" w:type="dxa"/>
                  <w:tcBorders>
                    <w:top w:val="nil"/>
                    <w:left w:val="single" w:sz="4" w:space="0" w:color="auto"/>
                    <w:bottom w:val="nil"/>
                    <w:right w:val="single" w:sz="4" w:space="0" w:color="auto"/>
                  </w:tcBorders>
                  <w:shd w:val="clear" w:color="auto" w:fill="auto"/>
                  <w:hideMark/>
                </w:tcPr>
                <w:p w14:paraId="2C421089"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7D811D3A"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0.1.4. Đảm bảo việc thực hiện chế độ báo cáo thống kê </w:t>
                  </w:r>
                </w:p>
              </w:tc>
            </w:tr>
            <w:tr w:rsidR="00082E92" w:rsidRPr="00082E92" w14:paraId="43040514"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26782A40"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6AF99C3C"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04EB927A"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NHNN”</w:t>
                  </w:r>
                </w:p>
                <w:p w14:paraId="5C5EFC5B" w14:textId="77777777" w:rsidR="00082E92" w:rsidRPr="00082E92" w:rsidRDefault="00082E92" w:rsidP="00082E92">
                  <w:pPr>
                    <w:spacing w:before="60" w:after="60" w:line="268"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Chức năng công bố số liệu được giao cho NHNN tại Điều 37 của </w:t>
                  </w:r>
                  <w:r w:rsidRPr="00082E92">
                    <w:rPr>
                      <w:rFonts w:ascii="Arial" w:eastAsia="Times New Roman" w:hAnsi="Arial" w:cs="Arial"/>
                      <w:sz w:val="20"/>
                      <w:szCs w:val="20"/>
                      <w:lang w:eastAsia="en-SG"/>
                    </w:rPr>
                    <w:br/>
                    <w:t>Luật NHNN.</w:t>
                  </w:r>
                </w:p>
              </w:tc>
            </w:tr>
            <w:tr w:rsidR="00082E92" w:rsidRPr="00082E92" w14:paraId="43E934A7"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0C4397D3"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0.2. Các nguồn lực</w:t>
                  </w:r>
                </w:p>
              </w:tc>
              <w:tc>
                <w:tcPr>
                  <w:tcW w:w="8009" w:type="dxa"/>
                  <w:tcBorders>
                    <w:top w:val="single" w:sz="4" w:space="0" w:color="auto"/>
                    <w:left w:val="single" w:sz="4" w:space="0" w:color="auto"/>
                    <w:bottom w:val="nil"/>
                    <w:right w:val="single" w:sz="4" w:space="0" w:color="auto"/>
                  </w:tcBorders>
                  <w:shd w:val="clear" w:color="auto" w:fill="E0E0E0"/>
                  <w:hideMark/>
                </w:tcPr>
                <w:p w14:paraId="18243F0A"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0.2.1. Cán bộ, trang thiết bị, máy tính và tài chính </w:t>
                  </w:r>
                </w:p>
                <w:p w14:paraId="41931DC0"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c>
            </w:tr>
            <w:tr w:rsidR="00082E92" w:rsidRPr="00082E92" w14:paraId="6CE46F31"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6495C5B4"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lastRenderedPageBreak/>
                    <w:t> </w:t>
                  </w:r>
                </w:p>
              </w:tc>
              <w:tc>
                <w:tcPr>
                  <w:tcW w:w="8009" w:type="dxa"/>
                  <w:tcBorders>
                    <w:top w:val="nil"/>
                    <w:left w:val="single" w:sz="4" w:space="0" w:color="auto"/>
                    <w:bottom w:val="single" w:sz="4" w:space="0" w:color="auto"/>
                    <w:right w:val="single" w:sz="4" w:space="0" w:color="auto"/>
                  </w:tcBorders>
                  <w:shd w:val="clear" w:color="auto" w:fill="auto"/>
                  <w:hideMark/>
                </w:tcPr>
                <w:p w14:paraId="60CE7ED4"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6BF780BB"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28AA563" w14:textId="77777777" w:rsidR="00082E92" w:rsidRPr="00082E92" w:rsidRDefault="00082E92" w:rsidP="00082E92">
                  <w:pPr>
                    <w:tabs>
                      <w:tab w:val="left" w:pos="3969"/>
                    </w:tabs>
                    <w:spacing w:before="60" w:after="60" w:line="252" w:lineRule="auto"/>
                    <w:ind w:left="720" w:hanging="360"/>
                    <w:contextualSpacing/>
                    <w:jc w:val="center"/>
                    <w:rPr>
                      <w:rFonts w:ascii="Times New Roman" w:eastAsia="Times New Roman" w:hAnsi="Times New Roman" w:cs="Times New Roman"/>
                      <w:sz w:val="24"/>
                      <w:szCs w:val="24"/>
                      <w:lang w:eastAsia="en-SG"/>
                    </w:rPr>
                  </w:pPr>
                  <w:r w:rsidRPr="00082E92">
                    <w:rPr>
                      <w:rFonts w:ascii="Arial" w:eastAsia="Arial" w:hAnsi="Arial" w:cs="Arial"/>
                      <w:b/>
                      <w:sz w:val="20"/>
                      <w:szCs w:val="20"/>
                      <w:lang w:eastAsia="en-SG"/>
                    </w:rPr>
                    <w:t>1.</w:t>
                  </w:r>
                  <w:r w:rsidRPr="00082E92">
                    <w:rPr>
                      <w:rFonts w:ascii="Times New Roman" w:eastAsia="Arial" w:hAnsi="Times New Roman" w:cs="Times New Roman"/>
                      <w:b/>
                      <w:sz w:val="14"/>
                      <w:szCs w:val="14"/>
                      <w:lang w:eastAsia="en-SG"/>
                    </w:rPr>
                    <w:t xml:space="preserve">     </w:t>
                  </w:r>
                  <w:r w:rsidRPr="00082E92">
                    <w:rPr>
                      <w:rFonts w:ascii="Arial" w:eastAsia="Times New Roman" w:hAnsi="Arial" w:cs="Arial"/>
                      <w:b/>
                      <w:sz w:val="20"/>
                      <w:szCs w:val="20"/>
                      <w:lang w:eastAsia="en-SG"/>
                    </w:rPr>
                    <w:t>Tính thống nhất</w:t>
                  </w:r>
                </w:p>
              </w:tc>
            </w:tr>
            <w:tr w:rsidR="00082E92" w:rsidRPr="00082E92" w14:paraId="15DDF895" w14:textId="77777777" w:rsidTr="00600C1A">
              <w:tc>
                <w:tcPr>
                  <w:tcW w:w="917" w:type="dxa"/>
                  <w:tcBorders>
                    <w:top w:val="single" w:sz="4" w:space="0" w:color="auto"/>
                    <w:left w:val="single" w:sz="4" w:space="0" w:color="auto"/>
                    <w:bottom w:val="nil"/>
                    <w:right w:val="single" w:sz="4" w:space="0" w:color="auto"/>
                  </w:tcBorders>
                  <w:shd w:val="clear" w:color="auto" w:fill="E6E6E6"/>
                  <w:hideMark/>
                </w:tcPr>
                <w:p w14:paraId="111287DD"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1.1. Tính chuyên môn</w:t>
                  </w:r>
                </w:p>
              </w:tc>
              <w:tc>
                <w:tcPr>
                  <w:tcW w:w="8009" w:type="dxa"/>
                  <w:tcBorders>
                    <w:top w:val="single" w:sz="4" w:space="0" w:color="auto"/>
                    <w:left w:val="single" w:sz="4" w:space="0" w:color="auto"/>
                    <w:bottom w:val="nil"/>
                    <w:right w:val="single" w:sz="4" w:space="0" w:color="auto"/>
                  </w:tcBorders>
                  <w:shd w:val="clear" w:color="auto" w:fill="E6E6E6"/>
                  <w:hideMark/>
                </w:tcPr>
                <w:p w14:paraId="0EF2DB91"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1.1.1. Nguyên tắc khách quan và không thiên vị </w:t>
                  </w:r>
                </w:p>
              </w:tc>
            </w:tr>
            <w:tr w:rsidR="00082E92" w:rsidRPr="00082E92" w14:paraId="633F88FE" w14:textId="77777777" w:rsidTr="00600C1A">
              <w:tc>
                <w:tcPr>
                  <w:tcW w:w="917" w:type="dxa"/>
                  <w:tcBorders>
                    <w:top w:val="nil"/>
                    <w:left w:val="single" w:sz="4" w:space="0" w:color="auto"/>
                    <w:bottom w:val="nil"/>
                    <w:right w:val="single" w:sz="4" w:space="0" w:color="auto"/>
                  </w:tcBorders>
                  <w:shd w:val="clear" w:color="auto" w:fill="auto"/>
                  <w:hideMark/>
                </w:tcPr>
                <w:p w14:paraId="7F963ABA"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4157E02A"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7181A7A1" w14:textId="77777777" w:rsidTr="00600C1A">
              <w:tc>
                <w:tcPr>
                  <w:tcW w:w="917" w:type="dxa"/>
                  <w:tcBorders>
                    <w:top w:val="nil"/>
                    <w:left w:val="single" w:sz="4" w:space="0" w:color="auto"/>
                    <w:bottom w:val="nil"/>
                    <w:right w:val="single" w:sz="4" w:space="0" w:color="auto"/>
                  </w:tcBorders>
                  <w:shd w:val="clear" w:color="auto" w:fill="auto"/>
                  <w:hideMark/>
                </w:tcPr>
                <w:p w14:paraId="17775B08"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8EC04D1"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1.1.2. Lựa chọn các nguồn số liệu, phương pháp luận và hình thức phổ biến thông tin </w:t>
                  </w:r>
                </w:p>
              </w:tc>
            </w:tr>
            <w:tr w:rsidR="00082E92" w:rsidRPr="00082E92" w14:paraId="0B623F98" w14:textId="77777777" w:rsidTr="00600C1A">
              <w:tc>
                <w:tcPr>
                  <w:tcW w:w="917" w:type="dxa"/>
                  <w:tcBorders>
                    <w:top w:val="nil"/>
                    <w:left w:val="single" w:sz="4" w:space="0" w:color="auto"/>
                    <w:bottom w:val="nil"/>
                    <w:right w:val="single" w:sz="4" w:space="0" w:color="auto"/>
                  </w:tcBorders>
                  <w:shd w:val="clear" w:color="auto" w:fill="auto"/>
                  <w:hideMark/>
                </w:tcPr>
                <w:p w14:paraId="1608C64C"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69AC205B"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464289F9" w14:textId="77777777" w:rsidTr="00600C1A">
              <w:tc>
                <w:tcPr>
                  <w:tcW w:w="917" w:type="dxa"/>
                  <w:tcBorders>
                    <w:top w:val="nil"/>
                    <w:left w:val="single" w:sz="4" w:space="0" w:color="auto"/>
                    <w:bottom w:val="nil"/>
                    <w:right w:val="single" w:sz="4" w:space="0" w:color="auto"/>
                  </w:tcBorders>
                  <w:shd w:val="clear" w:color="auto" w:fill="auto"/>
                  <w:hideMark/>
                </w:tcPr>
                <w:p w14:paraId="532E5959"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34268ED6"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1.1.3. Đưa ý kiến khi số liệu thống kê bị hiểu sai và sử dụng sai </w:t>
                  </w:r>
                </w:p>
              </w:tc>
            </w:tr>
            <w:tr w:rsidR="00082E92" w:rsidRPr="00082E92" w14:paraId="65E84238"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1B3F452"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6FB09F9D"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25CF376C"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1A415CC0"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1.2. Tính minh bạch</w:t>
                  </w:r>
                </w:p>
              </w:tc>
              <w:tc>
                <w:tcPr>
                  <w:tcW w:w="8009" w:type="dxa"/>
                  <w:tcBorders>
                    <w:top w:val="single" w:sz="4" w:space="0" w:color="auto"/>
                    <w:left w:val="single" w:sz="4" w:space="0" w:color="auto"/>
                    <w:bottom w:val="nil"/>
                    <w:right w:val="single" w:sz="4" w:space="0" w:color="auto"/>
                  </w:tcBorders>
                  <w:shd w:val="clear" w:color="auto" w:fill="E0E0E0"/>
                  <w:hideMark/>
                </w:tcPr>
                <w:p w14:paraId="588FF5A2"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1.2.1. Công bố các điều khoản và điều kiện để thực hiện thu thập, </w:t>
                  </w:r>
                  <w:r w:rsidRPr="00082E92">
                    <w:rPr>
                      <w:rFonts w:ascii="Arial" w:eastAsia="Times New Roman" w:hAnsi="Arial" w:cs="Arial"/>
                      <w:b/>
                      <w:sz w:val="20"/>
                      <w:szCs w:val="20"/>
                      <w:lang w:eastAsia="en-SG"/>
                    </w:rPr>
                    <w:br/>
                    <w:t xml:space="preserve">xử lý và phổ biến số liệu thống kê </w:t>
                  </w:r>
                </w:p>
              </w:tc>
            </w:tr>
            <w:tr w:rsidR="00082E92" w:rsidRPr="00082E92" w14:paraId="32E106DC" w14:textId="77777777" w:rsidTr="00600C1A">
              <w:tc>
                <w:tcPr>
                  <w:tcW w:w="917" w:type="dxa"/>
                  <w:tcBorders>
                    <w:top w:val="nil"/>
                    <w:left w:val="single" w:sz="4" w:space="0" w:color="auto"/>
                    <w:bottom w:val="nil"/>
                    <w:right w:val="single" w:sz="4" w:space="0" w:color="auto"/>
                  </w:tcBorders>
                  <w:shd w:val="clear" w:color="auto" w:fill="auto"/>
                  <w:hideMark/>
                </w:tcPr>
                <w:p w14:paraId="198DEF79"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7528A223"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7F70A340" w14:textId="77777777" w:rsidTr="00600C1A">
              <w:tc>
                <w:tcPr>
                  <w:tcW w:w="917" w:type="dxa"/>
                  <w:tcBorders>
                    <w:top w:val="nil"/>
                    <w:left w:val="single" w:sz="4" w:space="0" w:color="auto"/>
                    <w:bottom w:val="nil"/>
                    <w:right w:val="single" w:sz="4" w:space="0" w:color="auto"/>
                  </w:tcBorders>
                  <w:shd w:val="clear" w:color="auto" w:fill="auto"/>
                  <w:hideMark/>
                </w:tcPr>
                <w:p w14:paraId="7DD1005B"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607AC7A"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082E92" w:rsidRPr="00082E92" w14:paraId="4BCDF60B" w14:textId="77777777" w:rsidTr="00600C1A">
              <w:tc>
                <w:tcPr>
                  <w:tcW w:w="917" w:type="dxa"/>
                  <w:tcBorders>
                    <w:top w:val="nil"/>
                    <w:left w:val="single" w:sz="4" w:space="0" w:color="auto"/>
                    <w:bottom w:val="nil"/>
                    <w:right w:val="single" w:sz="4" w:space="0" w:color="auto"/>
                  </w:tcBorders>
                  <w:shd w:val="clear" w:color="auto" w:fill="auto"/>
                  <w:hideMark/>
                </w:tcPr>
                <w:p w14:paraId="1F33D3C6"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225020C8"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770667ED"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NHNN cung cấp cho Văn phòng Chính phủ, Bộ Kế hoạch và Đầu tư, Ủy  ban kinh tế quốc hội, Bộ Tài chính và Ủy Ban giám sát tài chính quốc gia số liệu tiền tệ và cán cân thanh toán.</w:t>
                  </w:r>
                </w:p>
              </w:tc>
            </w:tr>
            <w:tr w:rsidR="00082E92" w:rsidRPr="00082E92" w14:paraId="23B8AC3F" w14:textId="77777777" w:rsidTr="00600C1A">
              <w:tc>
                <w:tcPr>
                  <w:tcW w:w="917" w:type="dxa"/>
                  <w:tcBorders>
                    <w:top w:val="nil"/>
                    <w:left w:val="single" w:sz="4" w:space="0" w:color="auto"/>
                    <w:bottom w:val="nil"/>
                    <w:right w:val="single" w:sz="4" w:space="0" w:color="auto"/>
                  </w:tcBorders>
                  <w:shd w:val="clear" w:color="auto" w:fill="auto"/>
                  <w:hideMark/>
                </w:tcPr>
                <w:p w14:paraId="3764E315"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3468635D"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1.2.3. Các sản phẩm thống kê thuộc thẩm quyền </w:t>
                  </w:r>
                </w:p>
              </w:tc>
            </w:tr>
            <w:tr w:rsidR="00082E92" w:rsidRPr="00082E92" w14:paraId="78C7FCE6" w14:textId="77777777" w:rsidTr="00600C1A">
              <w:tc>
                <w:tcPr>
                  <w:tcW w:w="917" w:type="dxa"/>
                  <w:tcBorders>
                    <w:top w:val="nil"/>
                    <w:left w:val="single" w:sz="4" w:space="0" w:color="auto"/>
                    <w:bottom w:val="nil"/>
                    <w:right w:val="single" w:sz="4" w:space="0" w:color="auto"/>
                  </w:tcBorders>
                  <w:shd w:val="clear" w:color="auto" w:fill="auto"/>
                  <w:hideMark/>
                </w:tcPr>
                <w:p w14:paraId="7EB4AEF8"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74A9683C"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2210C7A6"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082E92" w:rsidRPr="00082E92" w14:paraId="04CEC706" w14:textId="77777777" w:rsidTr="00600C1A">
              <w:tc>
                <w:tcPr>
                  <w:tcW w:w="917" w:type="dxa"/>
                  <w:tcBorders>
                    <w:top w:val="nil"/>
                    <w:left w:val="single" w:sz="4" w:space="0" w:color="auto"/>
                    <w:bottom w:val="nil"/>
                    <w:right w:val="single" w:sz="4" w:space="0" w:color="auto"/>
                  </w:tcBorders>
                  <w:shd w:val="clear" w:color="auto" w:fill="auto"/>
                  <w:hideMark/>
                </w:tcPr>
                <w:p w14:paraId="2B3DFC57"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040667F5"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082E92" w:rsidRPr="00082E92" w14:paraId="3AB2B6E6"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BB5DA52"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5A85248C"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40D807DE"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82E92" w:rsidRPr="00082E92" w14:paraId="6C774756"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751F7AEE"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1.3. Các tiêu chuẩn đạo đức</w:t>
                  </w:r>
                </w:p>
              </w:tc>
              <w:tc>
                <w:tcPr>
                  <w:tcW w:w="8009" w:type="dxa"/>
                  <w:tcBorders>
                    <w:top w:val="single" w:sz="4" w:space="0" w:color="auto"/>
                    <w:left w:val="single" w:sz="4" w:space="0" w:color="auto"/>
                    <w:bottom w:val="nil"/>
                    <w:right w:val="single" w:sz="4" w:space="0" w:color="auto"/>
                  </w:tcBorders>
                  <w:shd w:val="clear" w:color="auto" w:fill="E0E0E0"/>
                  <w:hideMark/>
                </w:tcPr>
                <w:p w14:paraId="53BBF372"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1.3.1. Những chỉ dẫn về hành vi của cán bộ </w:t>
                  </w:r>
                </w:p>
              </w:tc>
            </w:tr>
            <w:tr w:rsidR="00082E92" w:rsidRPr="00082E92" w14:paraId="4A7440D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36F88FCD"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78B17220"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3670E1FF"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8E864D3"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2. Phương pháp luận</w:t>
                  </w:r>
                </w:p>
              </w:tc>
            </w:tr>
            <w:tr w:rsidR="00082E92" w:rsidRPr="00082E92" w14:paraId="2C8B9442" w14:textId="77777777" w:rsidTr="00600C1A">
              <w:tc>
                <w:tcPr>
                  <w:tcW w:w="917" w:type="dxa"/>
                  <w:tcBorders>
                    <w:top w:val="single" w:sz="4" w:space="0" w:color="auto"/>
                    <w:left w:val="single" w:sz="4" w:space="0" w:color="auto"/>
                    <w:bottom w:val="single" w:sz="4" w:space="0" w:color="auto"/>
                    <w:right w:val="single" w:sz="4" w:space="0" w:color="auto"/>
                  </w:tcBorders>
                  <w:shd w:val="clear" w:color="auto" w:fill="E0E0E0"/>
                  <w:hideMark/>
                </w:tcPr>
                <w:p w14:paraId="239ACA55"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2.1. Các định nghĩa </w:t>
                  </w:r>
                  <w:r w:rsidRPr="00082E92">
                    <w:rPr>
                      <w:rFonts w:ascii="Arial" w:eastAsia="Times New Roman" w:hAnsi="Arial" w:cs="Arial"/>
                      <w:b/>
                      <w:sz w:val="20"/>
                      <w:szCs w:val="20"/>
                      <w:lang w:eastAsia="en-SG"/>
                    </w:rPr>
                    <w:lastRenderedPageBreak/>
                    <w:t xml:space="preserve">và khái niệm </w:t>
                  </w:r>
                </w:p>
              </w:tc>
              <w:tc>
                <w:tcPr>
                  <w:tcW w:w="8009" w:type="dxa"/>
                  <w:tcBorders>
                    <w:top w:val="single" w:sz="4" w:space="0" w:color="auto"/>
                    <w:left w:val="single" w:sz="4" w:space="0" w:color="auto"/>
                    <w:bottom w:val="single" w:sz="4" w:space="0" w:color="auto"/>
                    <w:right w:val="single" w:sz="4" w:space="0" w:color="auto"/>
                  </w:tcBorders>
                  <w:shd w:val="clear" w:color="auto" w:fill="E0E0E0"/>
                  <w:hideMark/>
                </w:tcPr>
                <w:p w14:paraId="0450D86E"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lastRenderedPageBreak/>
                    <w:t>2.1.1 Cấu trúc chung về khái niệm và định nghĩa tuân theo các chuẩn mực, hướng dẫn và cách thực hành tốt đã được quốc tế công nhận.</w:t>
                  </w:r>
                </w:p>
              </w:tc>
            </w:tr>
            <w:tr w:rsidR="00082E92" w:rsidRPr="00082E92" w14:paraId="64623713" w14:textId="77777777" w:rsidTr="00600C1A">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1C36679"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lastRenderedPageBreak/>
                    <w:t> </w:t>
                  </w:r>
                </w:p>
              </w:tc>
              <w:tc>
                <w:tcPr>
                  <w:tcW w:w="8009" w:type="dxa"/>
                  <w:tcBorders>
                    <w:top w:val="single" w:sz="4" w:space="0" w:color="auto"/>
                    <w:left w:val="single" w:sz="4" w:space="0" w:color="auto"/>
                    <w:bottom w:val="single" w:sz="4" w:space="0" w:color="auto"/>
                    <w:right w:val="single" w:sz="4" w:space="0" w:color="auto"/>
                  </w:tcBorders>
                  <w:shd w:val="clear" w:color="auto" w:fill="auto"/>
                  <w:hideMark/>
                </w:tcPr>
                <w:p w14:paraId="403ECFCD"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pacing w:val="-4"/>
                      <w:sz w:val="20"/>
                      <w:szCs w:val="20"/>
                      <w:lang w:eastAsia="en-SG"/>
                    </w:rPr>
                    <w:t>Số liệu cán cân thanh toán quốc tế của Việt Nam được biên soạn trên cơ sở hàng quý và hàng năm và có sẵn sau cuối kỳ tham chiếu 3 tháng. Số liệu hàng năm được công bố theo “hạng mục tiêu chuẩn” được hướng dẫn theo Cẩm nang Cán cân Thanh toán (BPM6) với đơn vị tính là triệu Đô la Mỹ. Hiện không có chú thích về phương pháp luận nào được ghi kèm các số liệu.</w:t>
                  </w:r>
                </w:p>
                <w:p w14:paraId="44B6CCE2"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Phạm vi số liệu, các định nghĩa, và cách phân loại nhìn chung tuân thủ theo hướng dẫn trong BPM6 và được quy định trong “Nghị định của Chính phủ số 16/2014/NĐ-CP ngày 03/03/2014 Về quản lý cán cân thanh toán quốc tế của Việt Nam”.</w:t>
                  </w:r>
                </w:p>
                <w:p w14:paraId="33DEC9AD"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Về nguyên tắc cán cân thanh toán quốc tế của Việt Nam đề cập đến tất cả các hộ gia đình và các đơn vị thể chế tham gia vào hoạt động kinh tế đối ngoại tại Việt Nam.</w:t>
                  </w:r>
                </w:p>
                <w:p w14:paraId="04EBC7F2"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Theo Pháp lệnh sửa đổi, bổ sung một số điều của Pháp lệnh ngoại hối, đầu tư trực tiếp là việc nhà đầu tư nước ngoài bỏ vốn đầu tư và tham gia quản lý hoạt động đầu tư tại Việt Nam. Trên thực tế, hoạt động đầu tư trực tiếp nước ngoài tại Việt Nam, nhà đầu tư nước ngoài (người không cư trú) thường đóng góp trên 10% tổng vốn đầu tư của doanh nghiệp.</w:t>
                  </w:r>
                </w:p>
              </w:tc>
            </w:tr>
            <w:tr w:rsidR="00082E92" w:rsidRPr="00082E92" w14:paraId="065F58F0"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26E7BB8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2.2. Phạm vi</w:t>
                  </w:r>
                </w:p>
              </w:tc>
              <w:tc>
                <w:tcPr>
                  <w:tcW w:w="8009" w:type="dxa"/>
                  <w:tcBorders>
                    <w:top w:val="single" w:sz="4" w:space="0" w:color="auto"/>
                    <w:left w:val="single" w:sz="4" w:space="0" w:color="auto"/>
                    <w:bottom w:val="nil"/>
                    <w:right w:val="single" w:sz="4" w:space="0" w:color="auto"/>
                  </w:tcBorders>
                  <w:shd w:val="clear" w:color="auto" w:fill="E0E0E0"/>
                  <w:hideMark/>
                </w:tcPr>
                <w:p w14:paraId="23120BE7"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2.2.1. Phạm vi </w:t>
                  </w:r>
                </w:p>
              </w:tc>
            </w:tr>
            <w:tr w:rsidR="00082E92" w:rsidRPr="00082E92" w14:paraId="64136CB0" w14:textId="77777777" w:rsidTr="00600C1A">
              <w:tc>
                <w:tcPr>
                  <w:tcW w:w="917" w:type="dxa"/>
                  <w:tcBorders>
                    <w:top w:val="nil"/>
                    <w:left w:val="single" w:sz="4" w:space="0" w:color="auto"/>
                    <w:bottom w:val="nil"/>
                    <w:right w:val="single" w:sz="4" w:space="0" w:color="auto"/>
                  </w:tcBorders>
                  <w:shd w:val="clear" w:color="auto" w:fill="auto"/>
                  <w:hideMark/>
                </w:tcPr>
                <w:p w14:paraId="12E3B5A0"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44BB64B6"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c>
            </w:tr>
            <w:tr w:rsidR="00082E92" w:rsidRPr="00082E92" w14:paraId="4C2A83B7" w14:textId="77777777" w:rsidTr="00600C1A">
              <w:tc>
                <w:tcPr>
                  <w:tcW w:w="917" w:type="dxa"/>
                  <w:tcBorders>
                    <w:top w:val="nil"/>
                    <w:left w:val="single" w:sz="4" w:space="0" w:color="auto"/>
                    <w:bottom w:val="nil"/>
                    <w:right w:val="single" w:sz="4" w:space="0" w:color="auto"/>
                  </w:tcBorders>
                  <w:shd w:val="clear" w:color="auto" w:fill="auto"/>
                  <w:hideMark/>
                </w:tcPr>
                <w:p w14:paraId="583D7C3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49D359D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2.2.1.1. Phạm vi của số liệu</w:t>
                  </w:r>
                </w:p>
              </w:tc>
            </w:tr>
            <w:tr w:rsidR="00082E92" w:rsidRPr="00082E92" w14:paraId="0817571F" w14:textId="77777777" w:rsidTr="00600C1A">
              <w:tc>
                <w:tcPr>
                  <w:tcW w:w="917" w:type="dxa"/>
                  <w:tcBorders>
                    <w:top w:val="nil"/>
                    <w:left w:val="single" w:sz="4" w:space="0" w:color="auto"/>
                    <w:bottom w:val="nil"/>
                    <w:right w:val="single" w:sz="4" w:space="0" w:color="auto"/>
                  </w:tcBorders>
                  <w:shd w:val="clear" w:color="auto" w:fill="auto"/>
                  <w:hideMark/>
                </w:tcPr>
                <w:p w14:paraId="160BF1ED"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634CE0E5"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Phạm vi giao dịch:  Cán cân thanh toán bao gồm tất cả các giao dịch phát sinh giữa người cư trú và người không cư trú. Trong thực tế, số liệu thu nhập của người lao động là người cư trú Việt Nam tại các tổ chức nước ngoài như đại sứ quán, lãnh sự quán và tổ chức quốc tế ở Việt Nam... chưa được thu thập.</w:t>
                  </w:r>
                </w:p>
                <w:p w14:paraId="175C9C31" w14:textId="77777777" w:rsidR="00082E92" w:rsidRPr="00082E92" w:rsidRDefault="00082E92" w:rsidP="00082E92">
                  <w:pPr>
                    <w:spacing w:before="60" w:after="60" w:line="252" w:lineRule="auto"/>
                    <w:ind w:firstLine="219"/>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Phạm vi địa lý: Lãnh thổ địa lý để tham chiếu là lãnh thổ nước Cộng hoà Xã hội Chủ nghĩa Việt Nam.</w:t>
                  </w:r>
                </w:p>
                <w:p w14:paraId="56E0C5F6" w14:textId="77777777" w:rsidR="00082E92" w:rsidRPr="00082E92" w:rsidRDefault="00082E92" w:rsidP="00082E92">
                  <w:pPr>
                    <w:spacing w:before="60" w:after="60" w:line="252" w:lineRule="auto"/>
                    <w:ind w:firstLine="219"/>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Điều chỉnh về phạm vi và đánh giá được thực hiện đối với các cấu phần số liệu về hàng hóa.</w:t>
                  </w:r>
                </w:p>
              </w:tc>
            </w:tr>
            <w:tr w:rsidR="00082E92" w:rsidRPr="00082E92" w14:paraId="3F0C64FD" w14:textId="77777777" w:rsidTr="00600C1A">
              <w:tc>
                <w:tcPr>
                  <w:tcW w:w="917" w:type="dxa"/>
                  <w:tcBorders>
                    <w:top w:val="nil"/>
                    <w:left w:val="single" w:sz="4" w:space="0" w:color="auto"/>
                    <w:bottom w:val="nil"/>
                    <w:right w:val="single" w:sz="4" w:space="0" w:color="auto"/>
                  </w:tcBorders>
                  <w:shd w:val="clear" w:color="auto" w:fill="auto"/>
                  <w:hideMark/>
                </w:tcPr>
                <w:p w14:paraId="0275F132"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01B2AFBC"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2.2.1.2. Những trường hợp ngoại lệ</w:t>
                  </w:r>
                </w:p>
              </w:tc>
            </w:tr>
            <w:tr w:rsidR="00082E92" w:rsidRPr="00082E92" w14:paraId="04FA9000" w14:textId="77777777" w:rsidTr="00600C1A">
              <w:tc>
                <w:tcPr>
                  <w:tcW w:w="917" w:type="dxa"/>
                  <w:tcBorders>
                    <w:top w:val="nil"/>
                    <w:left w:val="single" w:sz="4" w:space="0" w:color="auto"/>
                    <w:bottom w:val="nil"/>
                    <w:right w:val="single" w:sz="4" w:space="0" w:color="auto"/>
                  </w:tcBorders>
                  <w:shd w:val="clear" w:color="auto" w:fill="auto"/>
                  <w:hideMark/>
                </w:tcPr>
                <w:p w14:paraId="598B1665"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47E706BE"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c>
            </w:tr>
            <w:tr w:rsidR="00082E92" w:rsidRPr="00082E92" w14:paraId="501CB0E0" w14:textId="77777777" w:rsidTr="00600C1A">
              <w:tc>
                <w:tcPr>
                  <w:tcW w:w="917" w:type="dxa"/>
                  <w:tcBorders>
                    <w:top w:val="nil"/>
                    <w:left w:val="single" w:sz="4" w:space="0" w:color="auto"/>
                    <w:bottom w:val="nil"/>
                    <w:right w:val="single" w:sz="4" w:space="0" w:color="auto"/>
                  </w:tcBorders>
                  <w:shd w:val="clear" w:color="auto" w:fill="auto"/>
                  <w:hideMark/>
                </w:tcPr>
                <w:p w14:paraId="1B7315D6"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2919714F"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2.2.1.3. Những hoạt động không được ghi chép</w:t>
                  </w:r>
                </w:p>
              </w:tc>
            </w:tr>
            <w:tr w:rsidR="00082E92" w:rsidRPr="00082E92" w14:paraId="5E2DCD0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7BA5EA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43CE58B4" w14:textId="77777777" w:rsidR="00082E92" w:rsidRPr="00082E92" w:rsidRDefault="00082E92" w:rsidP="00082E92">
                  <w:pPr>
                    <w:spacing w:before="60" w:after="60" w:line="252"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Xuất khẩu điện, nước, xuất khẩu thuỷ sản xa bờ, xuất khẩu dầu mỏ tại vùng trồng lấn, ước tính về buôn lậu do Vụ Tài khoản Quốc gia của </w:t>
                  </w:r>
                  <w:r w:rsidRPr="00082E92">
                    <w:rPr>
                      <w:rFonts w:ascii="Arial" w:eastAsia="Times New Roman" w:hAnsi="Arial" w:cs="Arial"/>
                      <w:sz w:val="20"/>
                      <w:szCs w:val="20"/>
                      <w:lang w:eastAsia="en-SG"/>
                    </w:rPr>
                    <w:br/>
                    <w:t>Tổng cục Thống kê thực hiện.</w:t>
                  </w:r>
                </w:p>
              </w:tc>
            </w:tr>
            <w:tr w:rsidR="00082E92" w:rsidRPr="00082E92" w14:paraId="1C7027B9"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1E1F6501"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2.3. Phân loại/</w:t>
                  </w:r>
                  <w:r w:rsidRPr="00082E92">
                    <w:rPr>
                      <w:rFonts w:ascii="Arial" w:eastAsia="Times New Roman" w:hAnsi="Arial" w:cs="Arial"/>
                      <w:b/>
                      <w:sz w:val="20"/>
                      <w:szCs w:val="20"/>
                      <w:lang w:eastAsia="en-SG"/>
                    </w:rPr>
                    <w:br/>
                    <w:t xml:space="preserve">phân ngành </w:t>
                  </w:r>
                </w:p>
              </w:tc>
              <w:tc>
                <w:tcPr>
                  <w:tcW w:w="8009" w:type="dxa"/>
                  <w:tcBorders>
                    <w:top w:val="single" w:sz="4" w:space="0" w:color="auto"/>
                    <w:left w:val="single" w:sz="4" w:space="0" w:color="auto"/>
                    <w:bottom w:val="nil"/>
                    <w:right w:val="single" w:sz="4" w:space="0" w:color="auto"/>
                  </w:tcBorders>
                  <w:shd w:val="clear" w:color="auto" w:fill="E0E0E0"/>
                  <w:hideMark/>
                </w:tcPr>
                <w:p w14:paraId="35729A93"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2.3.1. Phân loại/phân ngành </w:t>
                  </w:r>
                </w:p>
                <w:p w14:paraId="08A0D09F" w14:textId="77777777" w:rsidR="00082E92" w:rsidRPr="00082E92" w:rsidRDefault="00082E92" w:rsidP="00082E92">
                  <w:pPr>
                    <w:spacing w:before="60" w:after="60" w:line="252"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755DF63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15B0B462"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3704D4B7"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Các giao dịch được phân tổ theo các hạng mục chuẩn cán cân thanh toán được trình bày trong BPM6. Các hạng mục số liệu chính là cán cân vãng lai, cán cân vốn và tài chính và tài sản có dự trữ.</w:t>
                  </w:r>
                </w:p>
                <w:p w14:paraId="4F614466"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Trong các hạng mục chính, các giao dịch cán cân thanh toán được phân loại như sau:</w:t>
                  </w:r>
                </w:p>
                <w:p w14:paraId="6189E7AD"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1.   Cán cân vãng lai: hàng hoá, dịch vụ; Thu nhập đầu </w:t>
                  </w:r>
                  <w:proofErr w:type="gramStart"/>
                  <w:r w:rsidRPr="00082E92">
                    <w:rPr>
                      <w:rFonts w:ascii="Arial" w:eastAsia="Times New Roman" w:hAnsi="Arial" w:cs="Arial"/>
                      <w:sz w:val="20"/>
                      <w:szCs w:val="20"/>
                      <w:lang w:eastAsia="en-SG"/>
                    </w:rPr>
                    <w:t>tư(</w:t>
                  </w:r>
                  <w:proofErr w:type="gramEnd"/>
                  <w:r w:rsidRPr="00082E92">
                    <w:rPr>
                      <w:rFonts w:ascii="Arial" w:eastAsia="Times New Roman" w:hAnsi="Arial" w:cs="Arial"/>
                      <w:sz w:val="20"/>
                      <w:szCs w:val="20"/>
                      <w:lang w:eastAsia="en-SG"/>
                    </w:rPr>
                    <w:t>thu nhập sơ cấp); Chuyển giao vãng lai(thu nhập thứ cấp).</w:t>
                  </w:r>
                </w:p>
                <w:p w14:paraId="0289C3E6"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lastRenderedPageBreak/>
                    <w:t>2.  Cán cân vốn và tài chính: Đầu tư trực tiếp, Đầu tư gián tiếp,Đầu tư khác gồm tiền và tiền gửi, cho vay và thu hồi nợ nước ngoài (ngắn, dài hạn), tín dụng thương mại và ứng trước, các khoản phải thu phải trả khác</w:t>
                  </w:r>
                </w:p>
                <w:p w14:paraId="7A2CFF2E"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3.  Dự trữ quốc tế và các khoản mục liên quan: Sử dụng tín dụng từ Quỹ, ròng và tài trợ đặc biệt.</w:t>
                  </w:r>
                </w:p>
                <w:p w14:paraId="2B46837F"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Hiện chưa tách biệt được cán cân vốn và cán cân tài chính.</w:t>
                  </w:r>
                </w:p>
                <w:p w14:paraId="4B2F6C63" w14:textId="77777777" w:rsidR="00082E92" w:rsidRPr="00082E92" w:rsidRDefault="00082E92" w:rsidP="00082E92">
                  <w:pPr>
                    <w:spacing w:before="60" w:after="60" w:line="252" w:lineRule="auto"/>
                    <w:ind w:firstLine="357"/>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Hiện tại chưa có số liệu về Tài khoản Vốn.</w:t>
                  </w:r>
                </w:p>
              </w:tc>
            </w:tr>
            <w:tr w:rsidR="00082E92" w:rsidRPr="00082E92" w14:paraId="743D0E0E"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30BB9D8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lastRenderedPageBreak/>
                    <w:t>2.4. Cơ sở để ghi chép</w:t>
                  </w:r>
                </w:p>
              </w:tc>
              <w:tc>
                <w:tcPr>
                  <w:tcW w:w="8009" w:type="dxa"/>
                  <w:tcBorders>
                    <w:top w:val="single" w:sz="4" w:space="0" w:color="auto"/>
                    <w:left w:val="single" w:sz="4" w:space="0" w:color="auto"/>
                    <w:bottom w:val="nil"/>
                    <w:right w:val="single" w:sz="4" w:space="0" w:color="auto"/>
                  </w:tcBorders>
                  <w:shd w:val="clear" w:color="auto" w:fill="E0E0E0"/>
                  <w:hideMark/>
                </w:tcPr>
                <w:p w14:paraId="2897467F" w14:textId="77777777" w:rsidR="00082E92" w:rsidRPr="00082E92" w:rsidRDefault="00082E92" w:rsidP="00082E92">
                  <w:pPr>
                    <w:spacing w:before="60" w:after="60"/>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2.4.1. Giá trị </w:t>
                  </w:r>
                </w:p>
                <w:p w14:paraId="4E7832AE" w14:textId="77777777" w:rsidR="00082E92" w:rsidRPr="00082E92" w:rsidRDefault="00082E92" w:rsidP="00082E92">
                  <w:pPr>
                    <w:spacing w:before="60" w:after="60"/>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365A48A6" w14:textId="77777777" w:rsidTr="00600C1A">
              <w:tc>
                <w:tcPr>
                  <w:tcW w:w="917" w:type="dxa"/>
                  <w:tcBorders>
                    <w:top w:val="nil"/>
                    <w:left w:val="single" w:sz="4" w:space="0" w:color="auto"/>
                    <w:bottom w:val="nil"/>
                    <w:right w:val="single" w:sz="4" w:space="0" w:color="auto"/>
                  </w:tcBorders>
                  <w:shd w:val="clear" w:color="auto" w:fill="auto"/>
                  <w:hideMark/>
                </w:tcPr>
                <w:p w14:paraId="65512EE9"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76819C59" w14:textId="77777777" w:rsidR="00082E92" w:rsidRPr="00082E92" w:rsidRDefault="00082E92" w:rsidP="00082E92">
                  <w:pPr>
                    <w:spacing w:before="60" w:after="60"/>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Phần lớn các giao dịch được xác định theo giá thị trường và được chuyển đổi sang Đô la Mỹ theo tỷ giá áp dụng cho ngày giao dịch. Số liệu xuất, nhập khẩu hàng hoá được tính theo giá F.O.B; trong đó số liệu xuất khẩu lấy theo số liệu xuất khẩu do Tổng cục Hải quan cung cấp.  Số liệu nhập khẩu hàng hoá được tính trên cơ sở giá </w:t>
                  </w:r>
                  <w:proofErr w:type="gramStart"/>
                  <w:r w:rsidRPr="00082E92">
                    <w:rPr>
                      <w:rFonts w:ascii="Arial" w:eastAsia="Times New Roman" w:hAnsi="Arial" w:cs="Arial"/>
                      <w:sz w:val="20"/>
                      <w:szCs w:val="20"/>
                      <w:lang w:eastAsia="en-SG"/>
                    </w:rPr>
                    <w:t>C..</w:t>
                  </w:r>
                  <w:proofErr w:type="gramEnd"/>
                  <w:r w:rsidRPr="00082E92">
                    <w:rPr>
                      <w:rFonts w:ascii="Arial" w:eastAsia="Times New Roman" w:hAnsi="Arial" w:cs="Arial"/>
                      <w:sz w:val="20"/>
                      <w:szCs w:val="20"/>
                      <w:lang w:eastAsia="en-SG"/>
                    </w:rPr>
                    <w:t>I.F do Tổng cục Hải quan cung cấp và được NHNN điều chỉnh sang giá F.O.B bằng cách loại trừ chi phí vận tải và bảo hiểm do người không cư trú cung cấp theo một tỷ lệ nhất định trong từng thời kỳ. Tỷ lệ này do Tổng cục Hải quan công bố dựa trên kết quả điều tra cước phí vận tải và bảo hiểm đối với hàng hóa nhập khẩu được tiến hành theo định kỳ năm một lần (năm 2010 và 2011, tỷ lệ IF là 8,8%, năm 2012 tỷ lệ IF là 7%, năm 2013</w:t>
                  </w:r>
                  <w:r w:rsidRPr="00082E92">
                    <w:rPr>
                      <w:rFonts w:ascii="Arial" w:eastAsia="Times New Roman" w:hAnsi="Arial" w:cs="Arial"/>
                      <w:strike/>
                      <w:color w:val="FF0000"/>
                      <w:sz w:val="20"/>
                      <w:szCs w:val="20"/>
                      <w:lang w:eastAsia="en-SG"/>
                    </w:rPr>
                    <w:t>-</w:t>
                  </w:r>
                  <w:r w:rsidRPr="00082E92">
                    <w:rPr>
                      <w:rFonts w:ascii="Arial" w:eastAsia="Times New Roman" w:hAnsi="Arial" w:cs="Arial"/>
                      <w:sz w:val="20"/>
                      <w:szCs w:val="20"/>
                      <w:lang w:eastAsia="en-SG"/>
                    </w:rPr>
                    <w:t>2015 tỷ IF là 6,6%, năm 2016 tỷ lệ IF là 5,3%, năm 2017-2018 tỷ lệ IF là 4,1%. Tỷ lệ người không cư trú cung cấp dịch vụ vận tải và bảo hiểm là năm 2010-2011 là 80%, năm 2012-2015 là 82,5%, năm 2017-2018 là 80%).</w:t>
                  </w:r>
                </w:p>
                <w:p w14:paraId="6557FE43" w14:textId="77777777" w:rsidR="00082E92" w:rsidRPr="00082E92" w:rsidRDefault="00082E92" w:rsidP="00082E92">
                  <w:pPr>
                    <w:spacing w:before="60" w:after="60"/>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Định giá: Đối với những giao dịch xuất, nhập khẩu hàng hoá bằng ngoại tệ không phải là USD, giá trị giao dịch được chuyển đổi sang USD theo tỷ giá tính chéo giữa tỷ giá của ngoại tệ đó với VNĐ dùng để tính thuế do NHNN công bố 10 ngày 1 lần và tỷ giá bình quân liên ngân hàng giữa USD và VNĐ do NHNN công bố hàng ngày.</w:t>
                  </w:r>
                </w:p>
                <w:p w14:paraId="7BC23AF6" w14:textId="77777777" w:rsidR="00082E92" w:rsidRPr="00082E92" w:rsidRDefault="00082E92" w:rsidP="00082E92">
                  <w:pPr>
                    <w:spacing w:before="60" w:after="60"/>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Đối với một số giao dịch xuất, nhập khẩu dịch vụ bằng ngoại tệ không phải USD, giá trị giao dịch được quy đổi theo tỷ giá giữa điểm do ngân hàng thương mại công bố và áp dụng tại thời điểm phát sinh giao dịch. Một số số liệu thương mại được định giá thấp hơn giá trị sẽ được định giá theo mức giá “tối thiểu” do Bộ Tài chính cung cấp. </w:t>
                  </w:r>
                </w:p>
                <w:p w14:paraId="655CDB69" w14:textId="77777777" w:rsidR="00082E92" w:rsidRPr="00082E92" w:rsidRDefault="00082E92" w:rsidP="00082E92">
                  <w:pPr>
                    <w:spacing w:before="60" w:after="60"/>
                    <w:ind w:firstLine="372"/>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 dự trữ quốc tế được chuyển đổi sang đô la Mỹ, áp dụng tỷ giá bình quân liên ngân hàng tại thời điểm cuối kỳ.</w:t>
                  </w:r>
                </w:p>
              </w:tc>
            </w:tr>
            <w:tr w:rsidR="00082E92" w:rsidRPr="00082E92" w14:paraId="406DF50A" w14:textId="77777777" w:rsidTr="00600C1A">
              <w:tc>
                <w:tcPr>
                  <w:tcW w:w="917" w:type="dxa"/>
                  <w:tcBorders>
                    <w:top w:val="nil"/>
                    <w:left w:val="single" w:sz="4" w:space="0" w:color="auto"/>
                    <w:bottom w:val="nil"/>
                    <w:right w:val="single" w:sz="4" w:space="0" w:color="auto"/>
                  </w:tcBorders>
                  <w:shd w:val="clear" w:color="auto" w:fill="auto"/>
                  <w:hideMark/>
                </w:tcPr>
                <w:p w14:paraId="40A1EBA9"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1EDA86B1" w14:textId="77777777" w:rsidR="00082E92" w:rsidRPr="00082E92" w:rsidRDefault="00082E92" w:rsidP="00082E92">
                  <w:pPr>
                    <w:spacing w:before="60" w:after="60"/>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2.4.2. Cơ sở ghi chép </w:t>
                  </w:r>
                </w:p>
              </w:tc>
            </w:tr>
            <w:tr w:rsidR="00082E92" w:rsidRPr="00082E92" w14:paraId="1A2EAE61" w14:textId="77777777" w:rsidTr="00600C1A">
              <w:tc>
                <w:tcPr>
                  <w:tcW w:w="917" w:type="dxa"/>
                  <w:tcBorders>
                    <w:top w:val="nil"/>
                    <w:left w:val="single" w:sz="4" w:space="0" w:color="auto"/>
                    <w:bottom w:val="nil"/>
                    <w:right w:val="single" w:sz="4" w:space="0" w:color="auto"/>
                  </w:tcBorders>
                  <w:shd w:val="clear" w:color="auto" w:fill="auto"/>
                  <w:hideMark/>
                </w:tcPr>
                <w:p w14:paraId="555E5813"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1F65A9C5" w14:textId="77777777" w:rsidR="00082E92" w:rsidRPr="00082E92" w:rsidRDefault="00082E92" w:rsidP="00082E92">
                  <w:pPr>
                    <w:spacing w:before="60" w:after="60"/>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 được tính trên cơ sở cộng dồn</w:t>
                  </w:r>
                </w:p>
              </w:tc>
            </w:tr>
            <w:tr w:rsidR="00082E92" w:rsidRPr="00082E92" w14:paraId="5A9C3604" w14:textId="77777777" w:rsidTr="00600C1A">
              <w:tc>
                <w:tcPr>
                  <w:tcW w:w="917" w:type="dxa"/>
                  <w:tcBorders>
                    <w:top w:val="nil"/>
                    <w:left w:val="single" w:sz="4" w:space="0" w:color="auto"/>
                    <w:bottom w:val="nil"/>
                    <w:right w:val="single" w:sz="4" w:space="0" w:color="auto"/>
                  </w:tcBorders>
                  <w:shd w:val="clear" w:color="auto" w:fill="auto"/>
                  <w:hideMark/>
                </w:tcPr>
                <w:p w14:paraId="0BE4817A"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847EEAD" w14:textId="77777777" w:rsidR="00082E92" w:rsidRPr="00082E92" w:rsidRDefault="00082E92" w:rsidP="00082E92">
                  <w:pPr>
                    <w:spacing w:before="60" w:after="60"/>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2.4.3. Tính gộp hoặc tính thuần </w:t>
                  </w:r>
                </w:p>
              </w:tc>
            </w:tr>
            <w:tr w:rsidR="00082E92" w:rsidRPr="00082E92" w14:paraId="4A2C08FE"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35D1291F"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342352CB"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c>
            </w:tr>
            <w:tr w:rsidR="00082E92" w:rsidRPr="00082E92" w14:paraId="40A42145"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661CA8C"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3. Tính chính xác và độ tin cậy của số liệu</w:t>
                  </w:r>
                </w:p>
              </w:tc>
            </w:tr>
            <w:tr w:rsidR="00082E92" w:rsidRPr="00082E92" w14:paraId="2E658B2E"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739D27AF"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pacing w:val="-8"/>
                      <w:sz w:val="20"/>
                      <w:szCs w:val="20"/>
                      <w:lang w:eastAsia="en-SG"/>
                    </w:rPr>
                    <w:t xml:space="preserve">3.1. Số liệu nguồn </w:t>
                  </w:r>
                </w:p>
              </w:tc>
              <w:tc>
                <w:tcPr>
                  <w:tcW w:w="8009" w:type="dxa"/>
                  <w:tcBorders>
                    <w:top w:val="single" w:sz="4" w:space="0" w:color="auto"/>
                    <w:left w:val="single" w:sz="4" w:space="0" w:color="auto"/>
                    <w:bottom w:val="nil"/>
                    <w:right w:val="single" w:sz="4" w:space="0" w:color="auto"/>
                  </w:tcBorders>
                  <w:shd w:val="clear" w:color="auto" w:fill="E0E0E0"/>
                  <w:hideMark/>
                </w:tcPr>
                <w:p w14:paraId="6F0859AF"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3.1.1. Chương trình thu thập số liệu nguồn</w:t>
                  </w:r>
                </w:p>
              </w:tc>
            </w:tr>
            <w:tr w:rsidR="00082E92" w:rsidRPr="00082E92" w14:paraId="67B0DDA5" w14:textId="77777777" w:rsidTr="00600C1A">
              <w:tc>
                <w:tcPr>
                  <w:tcW w:w="917" w:type="dxa"/>
                  <w:tcBorders>
                    <w:top w:val="nil"/>
                    <w:left w:val="single" w:sz="4" w:space="0" w:color="auto"/>
                    <w:bottom w:val="nil"/>
                    <w:right w:val="single" w:sz="4" w:space="0" w:color="auto"/>
                  </w:tcBorders>
                  <w:shd w:val="clear" w:color="auto" w:fill="auto"/>
                  <w:hideMark/>
                </w:tcPr>
                <w:p w14:paraId="08994040"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7A42973C" w14:textId="77777777" w:rsidR="00082E92" w:rsidRPr="00082E92" w:rsidRDefault="00082E92" w:rsidP="00082E92">
                  <w:pPr>
                    <w:spacing w:before="60" w:after="60" w:line="264" w:lineRule="auto"/>
                    <w:ind w:firstLine="360"/>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Số liệu thương mại hàng hóa do Tổng cục Hải quan và Tổng cục Thống kê cung cấp. Số liệu thương mại dịch vụ được thu thập từ Tổng cục Thống kê và số liệu qua hệ thống ngân hàng. Số liệu chuyển giao vãng lai thu thập từ hệ thống ngân hàng, các tổ chức kinh tế làm dịch vụ chuyển tiền, bưu điện, Bộ Lao động và thương binh xã hội (Cục Quản lý lao động nước ngoài) và một số ước tính thêm dựa trên số liệu khai báo ngoại tệ khi xuất, nhập cảnh của Hải quan. Số liệu cán cân vốn và tài chính được thu thập từ các bộ như Bộ Tài chính, Bộ KHĐT, Ngân hàng NNVN. Từ năm 2010, số liệu cán cân tổng thể </w:t>
                  </w:r>
                  <w:r w:rsidRPr="00082E92">
                    <w:rPr>
                      <w:rFonts w:ascii="Arial" w:eastAsia="Times New Roman" w:hAnsi="Arial" w:cs="Arial"/>
                      <w:sz w:val="20"/>
                      <w:szCs w:val="20"/>
                      <w:lang w:eastAsia="en-SG"/>
                    </w:rPr>
                    <w:lastRenderedPageBreak/>
                    <w:t>được lấy từ số liệu thay đổi dự trữ ngoại hối nhà nước, thay cho cách lấy thay đổi tài sản sản ngoại tệ ròng của NHNN trước đây. Việc ước tính và điều chỉnh số liệu được thực hiện phù hợp với phương pháp luận trong BPM6.</w:t>
                  </w:r>
                </w:p>
              </w:tc>
            </w:tr>
            <w:tr w:rsidR="00082E92" w:rsidRPr="00082E92" w14:paraId="1BEB4F11" w14:textId="77777777" w:rsidTr="00600C1A">
              <w:tc>
                <w:tcPr>
                  <w:tcW w:w="917" w:type="dxa"/>
                  <w:tcBorders>
                    <w:top w:val="nil"/>
                    <w:left w:val="single" w:sz="4" w:space="0" w:color="auto"/>
                    <w:bottom w:val="nil"/>
                    <w:right w:val="single" w:sz="4" w:space="0" w:color="auto"/>
                  </w:tcBorders>
                  <w:shd w:val="clear" w:color="auto" w:fill="auto"/>
                  <w:hideMark/>
                </w:tcPr>
                <w:p w14:paraId="0733DEBB"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lastRenderedPageBreak/>
                    <w:t> </w:t>
                  </w:r>
                </w:p>
              </w:tc>
              <w:tc>
                <w:tcPr>
                  <w:tcW w:w="8009" w:type="dxa"/>
                  <w:tcBorders>
                    <w:top w:val="nil"/>
                    <w:left w:val="single" w:sz="4" w:space="0" w:color="auto"/>
                    <w:bottom w:val="nil"/>
                    <w:right w:val="single" w:sz="4" w:space="0" w:color="auto"/>
                  </w:tcBorders>
                  <w:shd w:val="clear" w:color="auto" w:fill="E6E6E6"/>
                  <w:hideMark/>
                </w:tcPr>
                <w:p w14:paraId="6BF472F7"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3.1.2. Các định nghĩa, phạm vi, phân loại, định giá và thời gian thu thập số liệu nguồn </w:t>
                  </w:r>
                </w:p>
              </w:tc>
            </w:tr>
            <w:tr w:rsidR="00082E92" w:rsidRPr="00082E92" w14:paraId="6F04BEEC"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2D44F0DB"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48D8C572" w14:textId="77777777" w:rsidR="00082E92" w:rsidRPr="00082E92" w:rsidRDefault="00082E92" w:rsidP="00082E92">
                  <w:pPr>
                    <w:spacing w:before="60" w:after="60" w:line="256"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pacing w:val="-2"/>
                      <w:sz w:val="20"/>
                      <w:szCs w:val="20"/>
                      <w:lang w:eastAsia="en-SG"/>
                    </w:rPr>
                    <w:t>Xuất, nhập khẩu hàng hoá: Số liệu về xuất nhập khẩu hàng hoá được Tổng cục Hải quan thu thập tại 150 cửa khẩu hải quan trên của cả nước.  Số liệu được lấy từ các tờ khai hải quan kê khai, số liệu được truyền về tại Hải quan Trung ương tại Hà Nội. Những điều chỉnh về giá trị được thực hiện thường xuyên bằng cách thay thế các mặt hàng khai thấp hơn giá trị bằng một mức giá tối thiểu. Sau khi được Hải quan xử lý và phân tổ dựa trên hệ thống HS, số liệu được chuyển cho NHNN để lập báo cáo cán cân thanh toán hàng quý và đồng thời chuyển cho Tổng cục Thống kê (TCTK). TCTK phân tổ lại số liệu theo mã SITC và điều chỉnh số liệu để tính cả xuất khẩu điện và nước, bán thuỷ sản xa bờ, các sản phẩm dầu mỏ, và số liệu ước tính về buôn lậu lấy từ Vụ Tài khoản Quốc gia của TCTK, sau đó chuyển số liệu cho NHNN làm cơ sở chính thức để điều chỉnh cán cân thương mại (thông thường có độ trễ thời gian tương đối dài, khoảng 1 năm).</w:t>
                  </w:r>
                </w:p>
                <w:p w14:paraId="3F1B6F9F" w14:textId="77777777" w:rsidR="00082E92" w:rsidRPr="00082E92" w:rsidRDefault="00082E92" w:rsidP="00082E92">
                  <w:pPr>
                    <w:spacing w:before="60" w:after="60" w:line="256"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Dịch vụ: Số liệu xuất, nhập khẩu dịch vụ được thu thập thông qua các cuộc điều tra do Tổng cục Thống kê tiến hành, số liệu do các NHTM, một số doanh nghiệp và các Bộ, ngành báo cáo.</w:t>
                  </w:r>
                </w:p>
                <w:p w14:paraId="1A95EC00" w14:textId="77777777" w:rsidR="00082E92" w:rsidRPr="00082E92" w:rsidRDefault="00082E92" w:rsidP="00082E92">
                  <w:pPr>
                    <w:spacing w:before="60" w:after="60" w:line="256"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 dịch vụ vận tải và bảo hiểm được ước tính trên cơ sở kết quả điều tra chọn mẫu do Tổng Cục Thống kê tiến hành3năm một lần (lần đầu tiên tiến hành điều tra vào năm 2006) và được Tổng cục Thống kê điều chỉnh hàng năm.</w:t>
                  </w:r>
                </w:p>
                <w:p w14:paraId="048B6930" w14:textId="77777777" w:rsidR="00082E92" w:rsidRPr="00082E92" w:rsidRDefault="00082E92" w:rsidP="00082E92">
                  <w:pPr>
                    <w:spacing w:before="60" w:after="60" w:line="256"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pacing w:val="-6"/>
                      <w:sz w:val="20"/>
                      <w:szCs w:val="20"/>
                      <w:lang w:eastAsia="en-SG"/>
                    </w:rPr>
                    <w:t>Dịch vụ du lịch: Phần thu được ước tính trên cơ sở kết quả điều tra chi tiêu của khách du lịch nước ngoài tại Việt Nam do Tổng Cục Thống kê tiến hành 2 năm một lần từ năm 2005 và số lượng khách du lịch đến Việt Nam hàng năm. Phần chi được ước tính trên cơ sở số liệu báo cáo của các NHTM.</w:t>
                  </w:r>
                </w:p>
                <w:p w14:paraId="734EF7DA" w14:textId="77777777" w:rsidR="00082E92" w:rsidRPr="00082E92" w:rsidRDefault="00082E92" w:rsidP="00082E92">
                  <w:pPr>
                    <w:spacing w:before="60" w:after="60" w:line="256"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pacing w:val="-4"/>
                      <w:sz w:val="20"/>
                      <w:szCs w:val="20"/>
                      <w:lang w:eastAsia="en-SG"/>
                    </w:rPr>
                    <w:t>Dịch vụ tài chính: Trước năm 2014, số liệu dịch vụ tài chính do Tổng Cục Thống kê ước tính trên cơ sở số liệu thu thập được qua hệ thống báo cáo của Ngân hàng nhà nước.Năm 2014 và năm 2016, 2017, 2018 Tổng Cục Thống kê và Ngân hàng nhà nước đã phối hợp tiến hành điều tra dịch vụ tài chính, ngân hàng đối với các tổ chức tín dụng chi tiết theo nước đối tác.</w:t>
                  </w:r>
                </w:p>
                <w:p w14:paraId="378766D9" w14:textId="77777777" w:rsidR="00082E92" w:rsidRPr="00082E92" w:rsidRDefault="00082E92" w:rsidP="00082E92">
                  <w:pPr>
                    <w:spacing w:before="60" w:after="60" w:line="256"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Dịch vụ bưu chính viễn thông: Số liệu này được Tổng Cục Thống kê ước tính trên cơ sở báo cáo của các công ty bưu chính viễn thông.</w:t>
                  </w:r>
                </w:p>
                <w:p w14:paraId="60816806" w14:textId="77777777" w:rsidR="00082E92" w:rsidRPr="00082E92" w:rsidRDefault="00082E92" w:rsidP="00082E92">
                  <w:pPr>
                    <w:spacing w:before="60" w:after="60" w:line="256"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Dịch vụ chính phủ: Được</w:t>
                  </w:r>
                  <w:r w:rsidR="004D4976">
                    <w:rPr>
                      <w:rFonts w:ascii="Arial" w:eastAsia="Times New Roman" w:hAnsi="Arial" w:cs="Arial"/>
                      <w:sz w:val="20"/>
                      <w:szCs w:val="20"/>
                      <w:lang w:eastAsia="en-SG"/>
                    </w:rPr>
                    <w:t xml:space="preserve"> </w:t>
                  </w:r>
                  <w:r w:rsidRPr="00082E92">
                    <w:rPr>
                      <w:rFonts w:ascii="Arial" w:eastAsia="Times New Roman" w:hAnsi="Arial" w:cs="Arial"/>
                      <w:sz w:val="20"/>
                      <w:szCs w:val="20"/>
                      <w:lang w:eastAsia="en-SG"/>
                    </w:rPr>
                    <w:t>tính</w:t>
                  </w:r>
                  <w:r w:rsidR="004D4976">
                    <w:rPr>
                      <w:rFonts w:ascii="Arial" w:eastAsia="Times New Roman" w:hAnsi="Arial" w:cs="Arial"/>
                      <w:sz w:val="20"/>
                      <w:szCs w:val="20"/>
                      <w:lang w:eastAsia="en-SG"/>
                    </w:rPr>
                    <w:t xml:space="preserve"> </w:t>
                  </w:r>
                  <w:r w:rsidRPr="00082E92">
                    <w:rPr>
                      <w:rFonts w:ascii="Arial" w:eastAsia="Times New Roman" w:hAnsi="Arial" w:cs="Arial"/>
                      <w:sz w:val="20"/>
                      <w:szCs w:val="20"/>
                      <w:lang w:eastAsia="en-SG"/>
                    </w:rPr>
                    <w:t>toán trên cơ sở số liệu chi của Bộ Tài chính cung cấp cho Tổng Cục thống kê về chi tiêu của các Đại sứ quán và Lãnh sự quán của Việt Nam tại nước ngoài.</w:t>
                  </w:r>
                </w:p>
                <w:p w14:paraId="5F809C2C" w14:textId="77777777" w:rsidR="00082E92" w:rsidRPr="00082E92" w:rsidRDefault="00082E92" w:rsidP="00082E92">
                  <w:pPr>
                    <w:spacing w:before="60" w:after="60" w:line="256"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Các dịch vụ khác</w:t>
                  </w:r>
                  <w:proofErr w:type="gramStart"/>
                  <w:r w:rsidRPr="00082E92">
                    <w:rPr>
                      <w:rFonts w:ascii="Arial" w:eastAsia="Times New Roman" w:hAnsi="Arial" w:cs="Arial"/>
                      <w:sz w:val="20"/>
                      <w:szCs w:val="20"/>
                      <w:lang w:eastAsia="en-SG"/>
                    </w:rPr>
                    <w:t>:Năm</w:t>
                  </w:r>
                  <w:proofErr w:type="gramEnd"/>
                  <w:r w:rsidRPr="00082E92">
                    <w:rPr>
                      <w:rFonts w:ascii="Arial" w:eastAsia="Times New Roman" w:hAnsi="Arial" w:cs="Arial"/>
                      <w:sz w:val="20"/>
                      <w:szCs w:val="20"/>
                      <w:lang w:eastAsia="en-SG"/>
                    </w:rPr>
                    <w:t xml:space="preserve"> 2009, Tổng Cục Thống kê tiến hành điều tra toàn bộ lần đầu để thu thập số liệu xuất, nhập khẩu dịch vụ chi tiết theo từng ngành dịch vụ và từng nước đối tác.Cuộc điều tra toàn bộ được tiến hành 5 năm một lần. Từ quý I/2012, Tổng cục thống kê tiến hành điều tra chọn mẫu để thu thập số liệu xuất, nhập khẩu dịch vụ chi tiết theo quý.</w:t>
                  </w:r>
                </w:p>
                <w:p w14:paraId="63F436B3" w14:textId="77777777" w:rsidR="00082E92" w:rsidRPr="00653A24" w:rsidRDefault="00082E92" w:rsidP="004D4976">
                  <w:pPr>
                    <w:spacing w:before="60" w:after="60" w:line="264" w:lineRule="auto"/>
                    <w:ind w:firstLine="372"/>
                    <w:jc w:val="both"/>
                    <w:rPr>
                      <w:rFonts w:ascii="Arial" w:eastAsia="Times New Roman" w:hAnsi="Arial" w:cs="Arial"/>
                      <w:i/>
                      <w:sz w:val="20"/>
                      <w:szCs w:val="20"/>
                      <w:lang w:eastAsia="en-SG"/>
                    </w:rPr>
                  </w:pPr>
                  <w:r w:rsidRPr="00291476">
                    <w:rPr>
                      <w:rFonts w:ascii="Arial" w:eastAsia="Times New Roman" w:hAnsi="Arial" w:cs="Arial"/>
                      <w:sz w:val="20"/>
                      <w:szCs w:val="20"/>
                      <w:lang w:eastAsia="en-SG"/>
                    </w:rPr>
                    <w:t xml:space="preserve">Thu nhập (thu nhập sơ cấp):  Từ quý I/2014, số liệu thu nhập từ lao động (phần chi) được ước tính trên cơ sở số lượng người lao động nước ngoài làm việc dưới 1 năm tại Việt Nam và mức lương bình quân của họ (do Bộ Lao động-Thương binh và Xã hội cung cấp). </w:t>
                  </w:r>
                  <w:r w:rsidRPr="00653A24">
                    <w:rPr>
                      <w:rFonts w:ascii="Arial" w:eastAsia="Times New Roman" w:hAnsi="Arial" w:cs="Arial"/>
                      <w:sz w:val="20"/>
                      <w:szCs w:val="20"/>
                      <w:lang w:eastAsia="en-SG"/>
                    </w:rPr>
                    <w:t>Số liệu về thu nhập đầu tư (phần thu) được thu thập và ước tính từ bảng câ</w:t>
                  </w:r>
                  <w:r w:rsidR="00291476" w:rsidRPr="00653A24">
                    <w:rPr>
                      <w:rFonts w:ascii="Arial" w:eastAsia="Times New Roman" w:hAnsi="Arial" w:cs="Arial"/>
                      <w:sz w:val="20"/>
                      <w:szCs w:val="20"/>
                      <w:lang w:eastAsia="en-SG"/>
                    </w:rPr>
                    <w:t xml:space="preserve">n đối tiền tệ của NHNN và NHTM; </w:t>
                  </w:r>
                  <w:r w:rsidR="00480014" w:rsidRPr="00653A24">
                    <w:rPr>
                      <w:rFonts w:ascii="Arial" w:eastAsia="Times New Roman" w:hAnsi="Arial" w:cs="Arial"/>
                      <w:sz w:val="20"/>
                      <w:szCs w:val="20"/>
                      <w:lang w:eastAsia="en-SG"/>
                    </w:rPr>
                    <w:t>số liệu báo cáo của hệ thống ngân hàng.</w:t>
                  </w:r>
                  <w:r w:rsidR="00480014" w:rsidRPr="00653A24">
                    <w:rPr>
                      <w:rFonts w:ascii="Arial" w:eastAsia="Times New Roman" w:hAnsi="Arial" w:cs="Arial"/>
                      <w:i/>
                      <w:sz w:val="20"/>
                      <w:szCs w:val="20"/>
                      <w:lang w:eastAsia="en-SG"/>
                    </w:rPr>
                    <w:t xml:space="preserve"> </w:t>
                  </w:r>
                  <w:r w:rsidRPr="00653A24">
                    <w:rPr>
                      <w:rFonts w:ascii="Arial" w:eastAsia="Times New Roman" w:hAnsi="Arial" w:cs="Arial"/>
                      <w:sz w:val="20"/>
                      <w:szCs w:val="20"/>
                      <w:lang w:eastAsia="en-SG"/>
                    </w:rPr>
                    <w:t>Số liệu về thu nhập đầu tư (phần chi) được tổng hợp trên cơ sở số liệu nợ lãi đến hạn trả của các khoản nợ nước ng</w:t>
                  </w:r>
                  <w:r w:rsidR="004D4976" w:rsidRPr="00653A24">
                    <w:rPr>
                      <w:rFonts w:ascii="Arial" w:eastAsia="Times New Roman" w:hAnsi="Arial" w:cs="Arial"/>
                      <w:sz w:val="20"/>
                      <w:szCs w:val="20"/>
                      <w:lang w:eastAsia="en-SG"/>
                    </w:rPr>
                    <w:t xml:space="preserve">oài từ Bộ Tài chính đối với các khoản vay của Chính phủ và </w:t>
                  </w:r>
                  <w:r w:rsidRPr="00653A24">
                    <w:rPr>
                      <w:rFonts w:ascii="Arial" w:eastAsia="Times New Roman" w:hAnsi="Arial" w:cs="Arial"/>
                      <w:sz w:val="20"/>
                      <w:szCs w:val="20"/>
                      <w:lang w:eastAsia="en-SG"/>
                    </w:rPr>
                    <w:t xml:space="preserve">từ NHNN đối với </w:t>
                  </w:r>
                  <w:r w:rsidR="004D4976" w:rsidRPr="00653A24">
                    <w:rPr>
                      <w:rFonts w:ascii="Arial" w:eastAsia="Times New Roman" w:hAnsi="Arial" w:cs="Arial"/>
                      <w:sz w:val="20"/>
                      <w:szCs w:val="20"/>
                      <w:lang w:eastAsia="en-SG"/>
                    </w:rPr>
                    <w:t xml:space="preserve">lãi </w:t>
                  </w:r>
                  <w:r w:rsidRPr="00653A24">
                    <w:rPr>
                      <w:rFonts w:ascii="Arial" w:eastAsia="Times New Roman" w:hAnsi="Arial" w:cs="Arial"/>
                      <w:sz w:val="20"/>
                      <w:szCs w:val="20"/>
                      <w:lang w:eastAsia="en-SG"/>
                    </w:rPr>
                    <w:t>các khoản vay của doanh nghiệp. Số liệu chi trả</w:t>
                  </w:r>
                  <w:r w:rsidR="00291476" w:rsidRPr="00653A24">
                    <w:rPr>
                      <w:rFonts w:ascii="Arial" w:eastAsia="Times New Roman" w:hAnsi="Arial" w:cs="Arial"/>
                      <w:sz w:val="20"/>
                      <w:szCs w:val="20"/>
                      <w:lang w:eastAsia="en-SG"/>
                    </w:rPr>
                    <w:t xml:space="preserve"> </w:t>
                  </w:r>
                  <w:r w:rsidRPr="00653A24">
                    <w:rPr>
                      <w:rFonts w:ascii="Arial" w:eastAsia="Times New Roman" w:hAnsi="Arial" w:cs="Arial"/>
                      <w:sz w:val="20"/>
                      <w:szCs w:val="20"/>
                      <w:lang w:eastAsia="en-SG"/>
                    </w:rPr>
                    <w:t>lợi nhuận cho các nhà đầu tư</w:t>
                  </w:r>
                  <w:r w:rsidR="00291476" w:rsidRPr="00653A24">
                    <w:rPr>
                      <w:rFonts w:ascii="Arial" w:eastAsia="Times New Roman" w:hAnsi="Arial" w:cs="Arial"/>
                      <w:sz w:val="20"/>
                      <w:szCs w:val="20"/>
                      <w:lang w:eastAsia="en-SG"/>
                    </w:rPr>
                    <w:t xml:space="preserve"> </w:t>
                  </w:r>
                  <w:r w:rsidR="00480014" w:rsidRPr="00653A24">
                    <w:rPr>
                      <w:rFonts w:ascii="Arial" w:eastAsia="Times New Roman" w:hAnsi="Arial" w:cs="Arial"/>
                      <w:sz w:val="20"/>
                      <w:szCs w:val="20"/>
                      <w:lang w:eastAsia="en-SG"/>
                    </w:rPr>
                    <w:t>FDI được NHNN được</w:t>
                  </w:r>
                  <w:r w:rsidRPr="00653A24">
                    <w:rPr>
                      <w:rFonts w:ascii="Arial" w:eastAsia="Times New Roman" w:hAnsi="Arial" w:cs="Arial"/>
                      <w:sz w:val="20"/>
                      <w:szCs w:val="20"/>
                      <w:lang w:eastAsia="en-SG"/>
                    </w:rPr>
                    <w:t xml:space="preserve"> tính trên cơ sở số </w:t>
                  </w:r>
                  <w:r w:rsidR="002B7BF1" w:rsidRPr="00653A24">
                    <w:rPr>
                      <w:rFonts w:ascii="Arial" w:eastAsia="Times New Roman" w:hAnsi="Arial" w:cs="Arial"/>
                      <w:sz w:val="20"/>
                      <w:szCs w:val="20"/>
                      <w:lang w:eastAsia="en-SG"/>
                    </w:rPr>
                    <w:t>liệu do Bộ Tài chính</w:t>
                  </w:r>
                  <w:r w:rsidR="00480014" w:rsidRPr="00653A24">
                    <w:rPr>
                      <w:rFonts w:ascii="Arial" w:eastAsia="Times New Roman" w:hAnsi="Arial" w:cs="Arial"/>
                      <w:sz w:val="20"/>
                      <w:szCs w:val="20"/>
                      <w:lang w:eastAsia="en-SG"/>
                    </w:rPr>
                    <w:t xml:space="preserve"> (Tổng Cục thuế)</w:t>
                  </w:r>
                  <w:r w:rsidR="002B7BF1" w:rsidRPr="00653A24">
                    <w:rPr>
                      <w:rFonts w:ascii="Arial" w:eastAsia="Times New Roman" w:hAnsi="Arial" w:cs="Arial"/>
                      <w:sz w:val="20"/>
                      <w:szCs w:val="20"/>
                      <w:lang w:eastAsia="en-SG"/>
                    </w:rPr>
                    <w:t xml:space="preserve"> cung cấp</w:t>
                  </w:r>
                  <w:r w:rsidRPr="00653A24">
                    <w:rPr>
                      <w:rFonts w:ascii="Arial" w:eastAsia="Times New Roman" w:hAnsi="Arial" w:cs="Arial"/>
                      <w:i/>
                      <w:sz w:val="20"/>
                      <w:szCs w:val="20"/>
                      <w:lang w:eastAsia="en-SG"/>
                    </w:rPr>
                    <w:t>.</w:t>
                  </w:r>
                </w:p>
                <w:p w14:paraId="2AE34E64" w14:textId="77777777" w:rsidR="00082E92" w:rsidRPr="00082E92" w:rsidRDefault="00082E92" w:rsidP="00082E92">
                  <w:pPr>
                    <w:spacing w:before="60" w:after="60" w:line="264"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Chuyển giao vãng lai và chuyển giao vốn: Hiện nay chưa bóc tách được chuyển giao vãng lai và chuyển giao vốn do số liệu viện trợ không hoàn lại mà Bộ Tài chính lập không phân biệt giữa viện trợ không hoàn lại cho mục đích tiêu dùng và cho mục đích đầu tư. </w:t>
                  </w:r>
                  <w:r w:rsidRPr="00082E92">
                    <w:rPr>
                      <w:rFonts w:ascii="Arial" w:eastAsia="Times New Roman" w:hAnsi="Arial" w:cs="Arial"/>
                      <w:sz w:val="20"/>
                      <w:szCs w:val="20"/>
                      <w:lang w:eastAsia="en-SG"/>
                    </w:rPr>
                    <w:lastRenderedPageBreak/>
                    <w:t>Do đó, tất cả các khoản viện trợ được hạch toán vào chuyển giao vãng lai. Số liệu chuyển giao vãng lai bao gồm chuyển giao tư nhân và chuyển giao nhà nước. Chuyển giao tư nhân được thu thập từ hệ thống ngân hàng thương mại, từ Bộ Lao động, thương binh và xã hội, đồng thời được ước tính một phần chuyển tiền qua hệ thống Hải quan và hệ thống Bưu điện và các tổ chức kinh tế làm nghiệp vụ chi trả kiều hối. Chuyển giao nhà nước được thu thập từ báo cáo viện trợ của Ban Tiếp nhận và Quản lý Viện trợ Nước ngoài của Bộ Tài chính. Viện trợ không hoàn lại của Việt Nam cho nước ngoài chưa thu thập được. Từ năm 2008, NHNN đã thu thập từ Bộ Kế hoạch và Đầu tư số liệu viện trợ dưới hình thức trợ giúp kỹ thuật cho Việt Nam.Số liệu viện trợ dưới hình thức kỹ thuật được thống kê trong hạng mục chuyển giao vãng lai và hạng mục dịch vụ tương ứng</w:t>
                  </w:r>
                </w:p>
                <w:p w14:paraId="6D43123D" w14:textId="77777777" w:rsidR="00082E92" w:rsidRPr="00082E92" w:rsidRDefault="00082E92" w:rsidP="00082E92">
                  <w:pPr>
                    <w:spacing w:before="60" w:after="60" w:line="244"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Cán cân vốn và tài chính: Bộ Kế hoạch và Đầu tư (KHĐT) thực hiện thu thập các số liệu về đầu tư trực tiếp nước ngoài (FDI) tại Việt Nam, và đầu tư trực tiếp của Việt Nam ra nước ngoài. Các công ty có vốn đầu tư trực tiếp nước ngoài phải báo cáo số liệu hàng quý về vốn đầu tư và các khoản vay. Không có sự phân biệt giữa tài sản nợ với công ty mẹ và tài sản nợ với các chủ nợ không cư trú khác, và không có thông tin về lợi nhuận giữ lại và lợi nhuận chuyển về nước, thoái vốn. Hàng quý, NHNN thu thập số liệu giải ngân FDI của Bộ Kế hoạch và Đầu tư sau đó điều chỉnh theo phương pháp luận cán cân thanh toán.</w:t>
                  </w:r>
                </w:p>
                <w:p w14:paraId="411FAC0A" w14:textId="77777777" w:rsidR="00082E92" w:rsidRPr="00082E92" w:rsidRDefault="00082E92" w:rsidP="00082E92">
                  <w:pPr>
                    <w:spacing w:before="60" w:after="60" w:line="244"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 về đầu tư gián tiếp bắt đầu được thu thập và báo cáo trong mục đầu tư vào giấy tờ có giá khi Chính phủ Việt Nam phát hành trái phiếu ra thị trường quốc tế tháng 11/2005. Từ năm 2006, NHNN</w:t>
                  </w:r>
                  <w:proofErr w:type="gramStart"/>
                  <w:r w:rsidRPr="00082E92">
                    <w:rPr>
                      <w:rFonts w:ascii="Arial" w:eastAsia="Times New Roman" w:hAnsi="Arial" w:cs="Arial"/>
                      <w:sz w:val="20"/>
                      <w:szCs w:val="20"/>
                      <w:lang w:eastAsia="en-SG"/>
                    </w:rPr>
                    <w:t>  ước</w:t>
                  </w:r>
                  <w:proofErr w:type="gramEnd"/>
                  <w:r w:rsidRPr="00082E92">
                    <w:rPr>
                      <w:rFonts w:ascii="Arial" w:eastAsia="Times New Roman" w:hAnsi="Arial" w:cs="Arial"/>
                      <w:sz w:val="20"/>
                      <w:szCs w:val="20"/>
                      <w:lang w:eastAsia="en-SG"/>
                    </w:rPr>
                    <w:t xml:space="preserve"> tính số liệu về đầu tư vào giấy tờ có giá của khu vực tư nhân. Tuy nhiên, những ước tính này vẫn còn hạn chế bởi vì thống kê hiện hành không phân biệt nhà đầu tư nước ngoài là người không cư trú và người cư trú.</w:t>
                  </w:r>
                </w:p>
                <w:p w14:paraId="7717DB77" w14:textId="77777777" w:rsidR="00082E92" w:rsidRPr="00082E92" w:rsidRDefault="00082E92" w:rsidP="00082E92">
                  <w:pPr>
                    <w:spacing w:before="60" w:after="60" w:line="244"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pacing w:val="-4"/>
                      <w:sz w:val="20"/>
                      <w:szCs w:val="20"/>
                      <w:lang w:eastAsia="en-SG"/>
                    </w:rPr>
                    <w:t xml:space="preserve">Số liệu về đầu tư khác của chính phủ trung ương về các khoản vay của khu vực chính phủ, vay của doanh nghiệp được Chính phủ bảo lãnh được thu thập từ Bộ Tài chính, số liệu về các khoản vay của khu vực doanh nghiệp và tư nhân không có bảo lãnh của Chính phủ được thu thập từ NHNN, và về tín dụng thương mại được thu thập từ các ngân hàng thương mại. </w:t>
                  </w:r>
                </w:p>
                <w:p w14:paraId="694B4A48" w14:textId="77777777" w:rsidR="00082E92" w:rsidRPr="00082E92" w:rsidRDefault="00082E92" w:rsidP="00082E92">
                  <w:pPr>
                    <w:spacing w:before="60" w:after="60" w:line="244"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Từ năm 2009, NHNN đã thiết lập thêm hai hạng mục: Hạng mục đầu tư gián tiếp ra nước ngoài của các tổ chức tín dụng, số liệu thu thập từ bảng cân đối tiền tệ của các tổ chức tín dụng; Hạng mục tiền và tiền gửi thống kê tài sản có nước ngoài/ tài sản nợ nước ngoài của người không cư trú dưới dạng tiền và tiền gửi và vàng. Từ năm 2013, bổ sung hạng mục phải thu, phải trả khác trong phần tài sản có của hạng mục tài sản khác. Từ năm 2014, hạng mục tiền và tiền gửi được phân tổ theo khu vực: tổ chức tín dụng và khu vực khác.</w:t>
                  </w:r>
                </w:p>
                <w:p w14:paraId="086D9549" w14:textId="77777777" w:rsidR="00082E92" w:rsidRPr="00082E92" w:rsidRDefault="00082E92" w:rsidP="00082E92">
                  <w:pPr>
                    <w:spacing w:before="60" w:after="60" w:line="244" w:lineRule="auto"/>
                    <w:ind w:firstLine="374"/>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Tài sản có dự trữ: Từ năm 2010, số liệu cán cân tổng thể được lấy từ số liệu thay đổi dự trữ ngoại hối nhà nước, thay cho cách lấy thay đổi tài sản sản ngoại tệ ròng của NHNN trước đây. Để phục vụ cho cán cân thanh toán, số liệu trên bảng cân đối tiền tệ của NHNN được chuyển đổi sang đồng đô la Mỹ, sử dụng tỷ giá tại thời điểm cuối kỳ.</w:t>
                  </w:r>
                </w:p>
              </w:tc>
            </w:tr>
            <w:tr w:rsidR="00082E92" w:rsidRPr="00082E92" w14:paraId="0236CC08" w14:textId="77777777" w:rsidTr="00600C1A">
              <w:tc>
                <w:tcPr>
                  <w:tcW w:w="917" w:type="dxa"/>
                  <w:tcBorders>
                    <w:top w:val="single" w:sz="4" w:space="0" w:color="auto"/>
                    <w:left w:val="single" w:sz="4" w:space="0" w:color="auto"/>
                    <w:bottom w:val="nil"/>
                    <w:right w:val="single" w:sz="4" w:space="0" w:color="auto"/>
                  </w:tcBorders>
                  <w:shd w:val="clear" w:color="auto" w:fill="auto"/>
                  <w:hideMark/>
                </w:tcPr>
                <w:p w14:paraId="241D66C9"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lastRenderedPageBreak/>
                    <w:t> </w:t>
                  </w:r>
                </w:p>
              </w:tc>
              <w:tc>
                <w:tcPr>
                  <w:tcW w:w="8009" w:type="dxa"/>
                  <w:tcBorders>
                    <w:top w:val="single" w:sz="4" w:space="0" w:color="auto"/>
                    <w:left w:val="single" w:sz="4" w:space="0" w:color="auto"/>
                    <w:bottom w:val="nil"/>
                    <w:right w:val="single" w:sz="4" w:space="0" w:color="auto"/>
                  </w:tcBorders>
                  <w:shd w:val="clear" w:color="auto" w:fill="E6E6E6"/>
                  <w:hideMark/>
                </w:tcPr>
                <w:p w14:paraId="16FCFB06"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3.13. Tính kịp thời  của số liệu nguồn </w:t>
                  </w:r>
                </w:p>
              </w:tc>
            </w:tr>
            <w:tr w:rsidR="00082E92" w:rsidRPr="00082E92" w14:paraId="04E49701"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B3E00E3"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64B4BDDC"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c>
            </w:tr>
            <w:tr w:rsidR="00082E92" w:rsidRPr="00082E92" w14:paraId="7EED6E02"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5081AFBE"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3.2. Đánh giá nguồn số liệu</w:t>
                  </w:r>
                </w:p>
              </w:tc>
              <w:tc>
                <w:tcPr>
                  <w:tcW w:w="8009" w:type="dxa"/>
                  <w:tcBorders>
                    <w:top w:val="single" w:sz="4" w:space="0" w:color="auto"/>
                    <w:left w:val="single" w:sz="4" w:space="0" w:color="auto"/>
                    <w:bottom w:val="nil"/>
                    <w:right w:val="single" w:sz="4" w:space="0" w:color="auto"/>
                  </w:tcBorders>
                  <w:shd w:val="clear" w:color="auto" w:fill="E0E0E0"/>
                  <w:hideMark/>
                </w:tcPr>
                <w:p w14:paraId="1A3FF69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3.2.1. Đánh giá nguồn số liệu </w:t>
                  </w:r>
                </w:p>
                <w:p w14:paraId="22E3241F"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019F36B0"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5A23E21"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6C367E7B"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38219641"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5401B71B"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3.3. Kỹ thuật thống kê</w:t>
                  </w:r>
                </w:p>
              </w:tc>
              <w:tc>
                <w:tcPr>
                  <w:tcW w:w="8009" w:type="dxa"/>
                  <w:tcBorders>
                    <w:top w:val="single" w:sz="4" w:space="0" w:color="auto"/>
                    <w:left w:val="single" w:sz="4" w:space="0" w:color="auto"/>
                    <w:bottom w:val="nil"/>
                    <w:right w:val="single" w:sz="4" w:space="0" w:color="auto"/>
                  </w:tcBorders>
                  <w:shd w:val="clear" w:color="auto" w:fill="E0E0E0"/>
                  <w:hideMark/>
                </w:tcPr>
                <w:p w14:paraId="60DA775A"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3.3.1. Các kỹ thuật thống kê số liệu nguồn </w:t>
                  </w:r>
                </w:p>
              </w:tc>
            </w:tr>
            <w:tr w:rsidR="00082E92" w:rsidRPr="00082E92" w14:paraId="0098C3F2"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B8E1E4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162D058E" w14:textId="77777777" w:rsidR="00082E92" w:rsidRPr="00082E92" w:rsidRDefault="00082E92" w:rsidP="00082E92">
                  <w:pPr>
                    <w:spacing w:before="60" w:after="60" w:line="240" w:lineRule="auto"/>
                    <w:ind w:firstLine="360"/>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Chỉ điều chỉnh các thành phần sau:</w:t>
                  </w:r>
                </w:p>
                <w:p w14:paraId="583AD80D" w14:textId="77777777" w:rsidR="00082E92" w:rsidRPr="00082E92" w:rsidRDefault="00082E92" w:rsidP="00082E92">
                  <w:pPr>
                    <w:spacing w:before="60" w:after="60" w:line="240"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lastRenderedPageBreak/>
                    <w:t>Xuất nhập khẩu hàng hoá: Điều chỉnh chính đối với các số liệu hải quan liên quan đến các giao dịch không khai báo qua hải quan như xuất khẩu điện, dầu thô khai thác tại vùng trồng lẫn, hải sản đánh bắt xa bờ bán ở ngoài khơi, và buôn lậu. Số liệu nhập khẩu hàng hoá được được tính theo giá F.O.B bằng cách loại trừ chi phí vận tải và bảo hiểm theo một tỷ lệ nhất định (do Tổng cục Thống kê điều chỉnh hàng năm dựa trên kết quả điều tra phí vận tải và bảo hiểm đối với hàng hóa nhập khẩu).</w:t>
                  </w:r>
                </w:p>
                <w:p w14:paraId="647F3ECA" w14:textId="77777777" w:rsidR="00082E92" w:rsidRPr="00082E92" w:rsidRDefault="00082E92" w:rsidP="00082E92">
                  <w:pPr>
                    <w:spacing w:before="60" w:after="60" w:line="240" w:lineRule="auto"/>
                    <w:ind w:firstLine="372"/>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Dịch vụ: Từ năm 2010, điều chỉnh giá trị chi dịch vụ bảo hiểm và vận tải hàng hoá nhập khẩu theo thông báo của Tổng cục Thống kê.</w:t>
                  </w:r>
                </w:p>
              </w:tc>
            </w:tr>
            <w:tr w:rsidR="00082E92" w:rsidRPr="00082E92" w14:paraId="3C707C76" w14:textId="77777777" w:rsidTr="00600C1A">
              <w:tc>
                <w:tcPr>
                  <w:tcW w:w="917" w:type="dxa"/>
                  <w:tcBorders>
                    <w:top w:val="single" w:sz="4" w:space="0" w:color="auto"/>
                    <w:left w:val="single" w:sz="4" w:space="0" w:color="auto"/>
                    <w:bottom w:val="nil"/>
                    <w:right w:val="single" w:sz="4" w:space="0" w:color="auto"/>
                  </w:tcBorders>
                  <w:shd w:val="clear" w:color="auto" w:fill="auto"/>
                  <w:hideMark/>
                </w:tcPr>
                <w:p w14:paraId="7FA1D85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lastRenderedPageBreak/>
                    <w:t> </w:t>
                  </w:r>
                </w:p>
              </w:tc>
              <w:tc>
                <w:tcPr>
                  <w:tcW w:w="8009" w:type="dxa"/>
                  <w:tcBorders>
                    <w:top w:val="single" w:sz="4" w:space="0" w:color="auto"/>
                    <w:left w:val="single" w:sz="4" w:space="0" w:color="auto"/>
                    <w:bottom w:val="nil"/>
                    <w:right w:val="single" w:sz="4" w:space="0" w:color="auto"/>
                  </w:tcBorders>
                  <w:shd w:val="clear" w:color="auto" w:fill="E6E6E6"/>
                  <w:hideMark/>
                </w:tcPr>
                <w:p w14:paraId="7EF5F2CC"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3.3.2. Các quy trình thống kê khác </w:t>
                  </w:r>
                </w:p>
              </w:tc>
            </w:tr>
            <w:tr w:rsidR="00082E92" w:rsidRPr="00082E92" w14:paraId="104D3376"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42639A8D"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022CEB58"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0F626793"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7CBBFAF3"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3.4. Tính hợp lệ của số liệu</w:t>
                  </w:r>
                </w:p>
              </w:tc>
              <w:tc>
                <w:tcPr>
                  <w:tcW w:w="8009" w:type="dxa"/>
                  <w:tcBorders>
                    <w:top w:val="single" w:sz="4" w:space="0" w:color="auto"/>
                    <w:left w:val="single" w:sz="4" w:space="0" w:color="auto"/>
                    <w:bottom w:val="nil"/>
                    <w:right w:val="single" w:sz="4" w:space="0" w:color="auto"/>
                  </w:tcBorders>
                  <w:shd w:val="clear" w:color="auto" w:fill="E0E0E0"/>
                  <w:hideMark/>
                </w:tcPr>
                <w:p w14:paraId="52973F40" w14:textId="77777777" w:rsidR="00082E92" w:rsidRPr="00082E92" w:rsidRDefault="00082E92" w:rsidP="00082E92">
                  <w:pPr>
                    <w:spacing w:before="60" w:after="60" w:line="249"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3.4.1. Tính hợp lệ của các số liệu trung gian </w:t>
                  </w:r>
                </w:p>
              </w:tc>
            </w:tr>
            <w:tr w:rsidR="00082E92" w:rsidRPr="00082E92" w14:paraId="31414CC5" w14:textId="77777777" w:rsidTr="00600C1A">
              <w:tc>
                <w:tcPr>
                  <w:tcW w:w="917" w:type="dxa"/>
                  <w:tcBorders>
                    <w:top w:val="nil"/>
                    <w:left w:val="single" w:sz="4" w:space="0" w:color="auto"/>
                    <w:bottom w:val="nil"/>
                    <w:right w:val="single" w:sz="4" w:space="0" w:color="auto"/>
                  </w:tcBorders>
                  <w:shd w:val="clear" w:color="auto" w:fill="auto"/>
                  <w:hideMark/>
                </w:tcPr>
                <w:p w14:paraId="4D2C2667"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31CA1982"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r>
            <w:tr w:rsidR="00082E92" w:rsidRPr="00082E92" w14:paraId="15C616A7" w14:textId="77777777" w:rsidTr="00600C1A">
              <w:tc>
                <w:tcPr>
                  <w:tcW w:w="917" w:type="dxa"/>
                  <w:tcBorders>
                    <w:top w:val="nil"/>
                    <w:left w:val="single" w:sz="4" w:space="0" w:color="auto"/>
                    <w:bottom w:val="nil"/>
                    <w:right w:val="single" w:sz="4" w:space="0" w:color="auto"/>
                  </w:tcBorders>
                  <w:shd w:val="clear" w:color="auto" w:fill="auto"/>
                  <w:hideMark/>
                </w:tcPr>
                <w:p w14:paraId="312AF26A"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7A2A5F9"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3.4.2. Đánh giá số liệu trung gian </w:t>
                  </w:r>
                </w:p>
              </w:tc>
            </w:tr>
            <w:tr w:rsidR="00082E92" w:rsidRPr="00082E92" w14:paraId="4B87B796" w14:textId="77777777" w:rsidTr="00600C1A">
              <w:tc>
                <w:tcPr>
                  <w:tcW w:w="917" w:type="dxa"/>
                  <w:tcBorders>
                    <w:top w:val="nil"/>
                    <w:left w:val="single" w:sz="4" w:space="0" w:color="auto"/>
                    <w:bottom w:val="nil"/>
                    <w:right w:val="single" w:sz="4" w:space="0" w:color="auto"/>
                  </w:tcBorders>
                  <w:shd w:val="clear" w:color="auto" w:fill="auto"/>
                  <w:hideMark/>
                </w:tcPr>
                <w:p w14:paraId="6B5FCC4C"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552D7253"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351B394B" w14:textId="77777777" w:rsidTr="00600C1A">
              <w:tc>
                <w:tcPr>
                  <w:tcW w:w="917" w:type="dxa"/>
                  <w:tcBorders>
                    <w:top w:val="nil"/>
                    <w:left w:val="single" w:sz="4" w:space="0" w:color="auto"/>
                    <w:bottom w:val="nil"/>
                    <w:right w:val="single" w:sz="4" w:space="0" w:color="auto"/>
                  </w:tcBorders>
                  <w:shd w:val="clear" w:color="auto" w:fill="auto"/>
                  <w:hideMark/>
                </w:tcPr>
                <w:p w14:paraId="309AE2B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40F9400E"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3.4.3. Đánh giá những chênh lệch trong số liệu và những vấn đề khác trong các đầu ra thống kê </w:t>
                  </w:r>
                </w:p>
              </w:tc>
            </w:tr>
            <w:tr w:rsidR="00082E92" w:rsidRPr="00082E92" w14:paraId="4D2C039D"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071D4C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59FCAAA9"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7ED8970C"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2C937F4B" w14:textId="77777777" w:rsidR="00082E92" w:rsidRPr="00082E92" w:rsidRDefault="00082E92" w:rsidP="00082E92">
                  <w:pPr>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3.5. Nghiên cứu sửa đổi</w:t>
                  </w:r>
                </w:p>
              </w:tc>
              <w:tc>
                <w:tcPr>
                  <w:tcW w:w="8009" w:type="dxa"/>
                  <w:tcBorders>
                    <w:top w:val="single" w:sz="4" w:space="0" w:color="auto"/>
                    <w:left w:val="single" w:sz="4" w:space="0" w:color="auto"/>
                    <w:bottom w:val="nil"/>
                    <w:right w:val="single" w:sz="4" w:space="0" w:color="auto"/>
                  </w:tcBorders>
                  <w:shd w:val="clear" w:color="auto" w:fill="E0E0E0"/>
                  <w:hideMark/>
                </w:tcPr>
                <w:p w14:paraId="3187313F"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3.5.1. Nghiên cứu và phân tích những sửa đổi </w:t>
                  </w:r>
                </w:p>
                <w:p w14:paraId="2A78FEED" w14:textId="77777777" w:rsidR="00082E92" w:rsidRPr="00082E92" w:rsidRDefault="00082E92" w:rsidP="00082E92">
                  <w:pPr>
                    <w:spacing w:before="60" w:after="60" w:line="249" w:lineRule="auto"/>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380BCC2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5627961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47B64F44" w14:textId="77777777" w:rsidR="00082E92" w:rsidRPr="00082E92" w:rsidRDefault="00082E92" w:rsidP="00082E92">
                  <w:pPr>
                    <w:spacing w:before="60" w:after="60" w:line="249"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2353A6B1"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7A3D5F3" w14:textId="77777777" w:rsidR="00082E92" w:rsidRPr="00082E92" w:rsidRDefault="00082E92" w:rsidP="00082E92">
                  <w:pPr>
                    <w:spacing w:before="60" w:after="60" w:line="249"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4. Khả năng bảo trì</w:t>
                  </w:r>
                </w:p>
              </w:tc>
            </w:tr>
            <w:tr w:rsidR="00082E92" w:rsidRPr="00082E92" w14:paraId="2CFED8F1"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5B2E9EDA" w14:textId="77777777" w:rsidR="00082E92" w:rsidRPr="00082E92" w:rsidRDefault="00082E92" w:rsidP="00082E92">
                  <w:pPr>
                    <w:tabs>
                      <w:tab w:val="left" w:pos="426"/>
                    </w:tabs>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4.1. Tính định kỳ và kịp thời</w:t>
                  </w:r>
                </w:p>
              </w:tc>
              <w:tc>
                <w:tcPr>
                  <w:tcW w:w="8009" w:type="dxa"/>
                  <w:tcBorders>
                    <w:top w:val="single" w:sz="4" w:space="0" w:color="auto"/>
                    <w:left w:val="single" w:sz="4" w:space="0" w:color="auto"/>
                    <w:bottom w:val="nil"/>
                    <w:right w:val="single" w:sz="4" w:space="0" w:color="auto"/>
                  </w:tcBorders>
                  <w:shd w:val="clear" w:color="auto" w:fill="E0E0E0"/>
                  <w:hideMark/>
                </w:tcPr>
                <w:p w14:paraId="26910722"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4.1.1. Tính định kỳ </w:t>
                  </w:r>
                </w:p>
                <w:p w14:paraId="24CB7972"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150A2A41" w14:textId="77777777" w:rsidTr="00600C1A">
              <w:tc>
                <w:tcPr>
                  <w:tcW w:w="917" w:type="dxa"/>
                  <w:tcBorders>
                    <w:top w:val="nil"/>
                    <w:left w:val="single" w:sz="4" w:space="0" w:color="auto"/>
                    <w:bottom w:val="nil"/>
                    <w:right w:val="single" w:sz="4" w:space="0" w:color="auto"/>
                  </w:tcBorders>
                  <w:shd w:val="clear" w:color="auto" w:fill="auto"/>
                  <w:hideMark/>
                </w:tcPr>
                <w:p w14:paraId="47D556D0"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5E704B6B"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liệuđược biên soạn hàng quý và hàng năm.</w:t>
                  </w:r>
                </w:p>
              </w:tc>
            </w:tr>
            <w:tr w:rsidR="00082E92" w:rsidRPr="00082E92" w14:paraId="72B3CB44" w14:textId="77777777" w:rsidTr="00600C1A">
              <w:tc>
                <w:tcPr>
                  <w:tcW w:w="917" w:type="dxa"/>
                  <w:tcBorders>
                    <w:top w:val="nil"/>
                    <w:left w:val="single" w:sz="4" w:space="0" w:color="auto"/>
                    <w:bottom w:val="nil"/>
                    <w:right w:val="single" w:sz="4" w:space="0" w:color="auto"/>
                  </w:tcBorders>
                  <w:shd w:val="clear" w:color="auto" w:fill="auto"/>
                  <w:hideMark/>
                </w:tcPr>
                <w:p w14:paraId="4203C60C"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25D18A4F"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4.1.2. Tính kịp thời </w:t>
                  </w:r>
                </w:p>
              </w:tc>
            </w:tr>
            <w:tr w:rsidR="00082E92" w:rsidRPr="00082E92" w14:paraId="5002A492"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689F659"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25BC9DE8"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Số liệu được cung cấp 3 tháng sau cuối mỗi kỳ tham chiếu.</w:t>
                  </w:r>
                </w:p>
              </w:tc>
            </w:tr>
            <w:tr w:rsidR="00082E92" w:rsidRPr="00082E92" w14:paraId="7DBF9D75"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10706655"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4.2. Tính thống nhất</w:t>
                  </w:r>
                </w:p>
              </w:tc>
              <w:tc>
                <w:tcPr>
                  <w:tcW w:w="8009" w:type="dxa"/>
                  <w:tcBorders>
                    <w:top w:val="single" w:sz="4" w:space="0" w:color="auto"/>
                    <w:left w:val="single" w:sz="4" w:space="0" w:color="auto"/>
                    <w:bottom w:val="nil"/>
                    <w:right w:val="single" w:sz="4" w:space="0" w:color="auto"/>
                  </w:tcBorders>
                  <w:shd w:val="clear" w:color="auto" w:fill="E0E0E0"/>
                  <w:hideMark/>
                </w:tcPr>
                <w:p w14:paraId="431296EE"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4.2.1. Tính thống nhất trong từng lĩnh vực </w:t>
                  </w:r>
                </w:p>
                <w:p w14:paraId="3B351050"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4A257C90" w14:textId="77777777" w:rsidTr="00600C1A">
              <w:tc>
                <w:tcPr>
                  <w:tcW w:w="917" w:type="dxa"/>
                  <w:tcBorders>
                    <w:top w:val="nil"/>
                    <w:left w:val="single" w:sz="4" w:space="0" w:color="auto"/>
                    <w:bottom w:val="nil"/>
                    <w:right w:val="single" w:sz="4" w:space="0" w:color="auto"/>
                  </w:tcBorders>
                  <w:shd w:val="clear" w:color="auto" w:fill="auto"/>
                  <w:hideMark/>
                </w:tcPr>
                <w:p w14:paraId="3B088DE3"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52380505"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pacing w:val="-4"/>
                      <w:sz w:val="20"/>
                      <w:szCs w:val="20"/>
                      <w:lang w:eastAsia="en-SG"/>
                    </w:rPr>
                    <w:t>Số liệu cán cân thanh toán nhìn chung được tập hợp theo BPM6. Số liệu xuất nhập khẩu hàng hoá được công bố theo khu vực và theo nhóm hàng hoá.</w:t>
                  </w:r>
                </w:p>
              </w:tc>
            </w:tr>
            <w:tr w:rsidR="00082E92" w:rsidRPr="00082E92" w14:paraId="60F27157" w14:textId="77777777" w:rsidTr="00600C1A">
              <w:tc>
                <w:tcPr>
                  <w:tcW w:w="917" w:type="dxa"/>
                  <w:tcBorders>
                    <w:top w:val="nil"/>
                    <w:left w:val="single" w:sz="4" w:space="0" w:color="auto"/>
                    <w:bottom w:val="nil"/>
                    <w:right w:val="single" w:sz="4" w:space="0" w:color="auto"/>
                  </w:tcBorders>
                  <w:shd w:val="clear" w:color="auto" w:fill="auto"/>
                  <w:hideMark/>
                </w:tcPr>
                <w:p w14:paraId="1B2881CC"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7C082EA5"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4.2.2. Tính thống nhất tạm thời </w:t>
                  </w:r>
                </w:p>
              </w:tc>
            </w:tr>
            <w:tr w:rsidR="00082E92" w:rsidRPr="00082E92" w14:paraId="7010C175" w14:textId="77777777" w:rsidTr="00600C1A">
              <w:tc>
                <w:tcPr>
                  <w:tcW w:w="917" w:type="dxa"/>
                  <w:tcBorders>
                    <w:top w:val="nil"/>
                    <w:left w:val="single" w:sz="4" w:space="0" w:color="auto"/>
                    <w:bottom w:val="nil"/>
                    <w:right w:val="single" w:sz="4" w:space="0" w:color="auto"/>
                  </w:tcBorders>
                  <w:shd w:val="clear" w:color="auto" w:fill="auto"/>
                  <w:hideMark/>
                </w:tcPr>
                <w:p w14:paraId="4FF30B1E"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39FE690C"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5789513C" w14:textId="77777777" w:rsidTr="00600C1A">
              <w:tc>
                <w:tcPr>
                  <w:tcW w:w="917" w:type="dxa"/>
                  <w:tcBorders>
                    <w:top w:val="nil"/>
                    <w:left w:val="single" w:sz="4" w:space="0" w:color="auto"/>
                    <w:bottom w:val="nil"/>
                    <w:right w:val="single" w:sz="4" w:space="0" w:color="auto"/>
                  </w:tcBorders>
                  <w:shd w:val="clear" w:color="auto" w:fill="auto"/>
                  <w:hideMark/>
                </w:tcPr>
                <w:p w14:paraId="4DDA860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5353F921"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4.2.3. Tính thống nhất liên ngành và liên thông lĩnh vực </w:t>
                  </w:r>
                </w:p>
              </w:tc>
            </w:tr>
            <w:tr w:rsidR="00082E92" w:rsidRPr="00082E92" w14:paraId="7785BC25"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49FE5A5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lastRenderedPageBreak/>
                    <w:t> </w:t>
                  </w:r>
                </w:p>
              </w:tc>
              <w:tc>
                <w:tcPr>
                  <w:tcW w:w="8009" w:type="dxa"/>
                  <w:tcBorders>
                    <w:top w:val="nil"/>
                    <w:left w:val="single" w:sz="4" w:space="0" w:color="auto"/>
                    <w:bottom w:val="single" w:sz="4" w:space="0" w:color="auto"/>
                    <w:right w:val="single" w:sz="4" w:space="0" w:color="auto"/>
                  </w:tcBorders>
                  <w:shd w:val="clear" w:color="auto" w:fill="auto"/>
                  <w:hideMark/>
                </w:tcPr>
                <w:p w14:paraId="3DDD8D62"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25D0BE85"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608FC596"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4.3. Thực hiện sửa đổi</w:t>
                  </w:r>
                </w:p>
              </w:tc>
              <w:tc>
                <w:tcPr>
                  <w:tcW w:w="8009" w:type="dxa"/>
                  <w:tcBorders>
                    <w:top w:val="single" w:sz="4" w:space="0" w:color="auto"/>
                    <w:left w:val="single" w:sz="4" w:space="0" w:color="auto"/>
                    <w:bottom w:val="nil"/>
                    <w:right w:val="single" w:sz="4" w:space="0" w:color="auto"/>
                  </w:tcBorders>
                  <w:shd w:val="clear" w:color="auto" w:fill="E0E0E0"/>
                  <w:hideMark/>
                </w:tcPr>
                <w:p w14:paraId="069BE5EF"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4.3.1. Kế hoạch sửa đổi </w:t>
                  </w:r>
                </w:p>
              </w:tc>
            </w:tr>
            <w:tr w:rsidR="00082E92" w:rsidRPr="00082E92" w14:paraId="3011C7F3" w14:textId="77777777" w:rsidTr="00600C1A">
              <w:tc>
                <w:tcPr>
                  <w:tcW w:w="917" w:type="dxa"/>
                  <w:tcBorders>
                    <w:top w:val="nil"/>
                    <w:left w:val="single" w:sz="4" w:space="0" w:color="auto"/>
                    <w:bottom w:val="nil"/>
                    <w:right w:val="single" w:sz="4" w:space="0" w:color="auto"/>
                  </w:tcBorders>
                  <w:shd w:val="clear" w:color="auto" w:fill="auto"/>
                  <w:hideMark/>
                </w:tcPr>
                <w:p w14:paraId="5429ACBD"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5DD49FE2"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4106770B"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Không có thông báo sớm về các thay đổi trong phương pháp luận. </w:t>
                  </w:r>
                </w:p>
              </w:tc>
            </w:tr>
            <w:tr w:rsidR="00082E92" w:rsidRPr="00082E92" w14:paraId="6809E543" w14:textId="77777777" w:rsidTr="00600C1A">
              <w:tc>
                <w:tcPr>
                  <w:tcW w:w="917" w:type="dxa"/>
                  <w:tcBorders>
                    <w:top w:val="nil"/>
                    <w:left w:val="single" w:sz="4" w:space="0" w:color="auto"/>
                    <w:bottom w:val="nil"/>
                    <w:right w:val="single" w:sz="4" w:space="0" w:color="auto"/>
                  </w:tcBorders>
                  <w:shd w:val="clear" w:color="auto" w:fill="auto"/>
                  <w:hideMark/>
                </w:tcPr>
                <w:p w14:paraId="35307EC8"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207C9FC4"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4.3.2. Số liệu sơ bộ và/hoặc số liệu sửa đổi phải được xác định rõ ràng </w:t>
                  </w:r>
                </w:p>
              </w:tc>
            </w:tr>
            <w:tr w:rsidR="00082E92" w:rsidRPr="00082E92" w14:paraId="44C3C081"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5EAD2AFB"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3456D1C0"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01B9822E" w14:textId="77777777" w:rsidR="00082E92" w:rsidRPr="00082E92" w:rsidRDefault="00082E92" w:rsidP="00082E92">
                  <w:pPr>
                    <w:spacing w:before="8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82E92" w:rsidRPr="00082E92" w14:paraId="20DE5EFC" w14:textId="77777777" w:rsidTr="00600C1A">
              <w:tc>
                <w:tcPr>
                  <w:tcW w:w="917" w:type="dxa"/>
                  <w:tcBorders>
                    <w:top w:val="single" w:sz="4" w:space="0" w:color="auto"/>
                    <w:left w:val="single" w:sz="4" w:space="0" w:color="auto"/>
                    <w:bottom w:val="nil"/>
                    <w:right w:val="single" w:sz="4" w:space="0" w:color="auto"/>
                  </w:tcBorders>
                  <w:shd w:val="clear" w:color="auto" w:fill="auto"/>
                  <w:hideMark/>
                </w:tcPr>
                <w:p w14:paraId="24BCEBA2"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single" w:sz="4" w:space="0" w:color="auto"/>
                    <w:left w:val="single" w:sz="4" w:space="0" w:color="auto"/>
                    <w:bottom w:val="nil"/>
                    <w:right w:val="single" w:sz="4" w:space="0" w:color="auto"/>
                  </w:tcBorders>
                  <w:shd w:val="clear" w:color="auto" w:fill="E6E6E6"/>
                  <w:hideMark/>
                </w:tcPr>
                <w:p w14:paraId="7EA87D5D"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4.3.3. Phổ biến những nghiên cứu và phân tích về sửa đổi </w:t>
                  </w:r>
                  <w:r w:rsidRPr="00082E92">
                    <w:rPr>
                      <w:rFonts w:ascii="Arial" w:eastAsia="Times New Roman" w:hAnsi="Arial" w:cs="Arial"/>
                      <w:b/>
                      <w:sz w:val="20"/>
                      <w:szCs w:val="20"/>
                      <w:lang w:eastAsia="en-SG"/>
                    </w:rPr>
                    <w:tab/>
                  </w:r>
                </w:p>
              </w:tc>
            </w:tr>
            <w:tr w:rsidR="00082E92" w:rsidRPr="00082E92" w14:paraId="5AB11AA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DEEA950"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17E22BA5"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7419E31C"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585DF8" w14:textId="77777777" w:rsidR="00082E92" w:rsidRPr="00082E92" w:rsidRDefault="00082E92" w:rsidP="00082E92">
                  <w:pPr>
                    <w:spacing w:before="60" w:after="60" w:line="264"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 Khả năng tiếp cận số liệu</w:t>
                  </w:r>
                </w:p>
              </w:tc>
            </w:tr>
            <w:tr w:rsidR="00082E92" w:rsidRPr="00082E92" w14:paraId="30087008"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202A9838" w14:textId="77777777" w:rsidR="00082E92" w:rsidRPr="00082E92" w:rsidRDefault="00082E92" w:rsidP="00082E92">
                  <w:pPr>
                    <w:tabs>
                      <w:tab w:val="left" w:pos="567"/>
                    </w:tabs>
                    <w:spacing w:before="60" w:after="60" w:line="240" w:lineRule="auto"/>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5.1. Tiếp cận với số liệu</w:t>
                  </w:r>
                </w:p>
              </w:tc>
              <w:tc>
                <w:tcPr>
                  <w:tcW w:w="8009" w:type="dxa"/>
                  <w:tcBorders>
                    <w:top w:val="single" w:sz="4" w:space="0" w:color="auto"/>
                    <w:left w:val="single" w:sz="4" w:space="0" w:color="auto"/>
                    <w:bottom w:val="nil"/>
                    <w:right w:val="single" w:sz="4" w:space="0" w:color="auto"/>
                  </w:tcBorders>
                  <w:shd w:val="clear" w:color="auto" w:fill="E0E0E0"/>
                  <w:hideMark/>
                </w:tcPr>
                <w:p w14:paraId="1D1E5751"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5.1.1. Trình bày số liệu thống kê </w:t>
                  </w:r>
                </w:p>
              </w:tc>
            </w:tr>
            <w:tr w:rsidR="00082E92" w:rsidRPr="00082E92" w14:paraId="4245180B" w14:textId="77777777" w:rsidTr="00600C1A">
              <w:tc>
                <w:tcPr>
                  <w:tcW w:w="917" w:type="dxa"/>
                  <w:tcBorders>
                    <w:top w:val="nil"/>
                    <w:left w:val="single" w:sz="4" w:space="0" w:color="auto"/>
                    <w:bottom w:val="nil"/>
                    <w:right w:val="single" w:sz="4" w:space="0" w:color="auto"/>
                  </w:tcBorders>
                  <w:shd w:val="clear" w:color="auto" w:fill="auto"/>
                  <w:hideMark/>
                </w:tcPr>
                <w:p w14:paraId="4EBE9FD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02062EFC"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Diễn giải số liệu thống kê phục vụ cho việc hiểu đúng và so sánh (trình bày và lời văn diễn giải, bảng biểu và biểu đồ).</w:t>
                  </w:r>
                </w:p>
              </w:tc>
            </w:tr>
            <w:tr w:rsidR="00082E92" w:rsidRPr="00082E92" w14:paraId="78A08C3D" w14:textId="77777777" w:rsidTr="00600C1A">
              <w:tc>
                <w:tcPr>
                  <w:tcW w:w="917" w:type="dxa"/>
                  <w:tcBorders>
                    <w:top w:val="nil"/>
                    <w:left w:val="single" w:sz="4" w:space="0" w:color="auto"/>
                    <w:bottom w:val="nil"/>
                    <w:right w:val="single" w:sz="4" w:space="0" w:color="auto"/>
                  </w:tcBorders>
                  <w:shd w:val="clear" w:color="auto" w:fill="auto"/>
                  <w:hideMark/>
                </w:tcPr>
                <w:p w14:paraId="6FB83510"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08D89A35"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5.1.2. Phương tiện và hình thức phổ biến số liệu </w:t>
                  </w:r>
                </w:p>
              </w:tc>
            </w:tr>
            <w:tr w:rsidR="00082E92" w:rsidRPr="00082E92" w14:paraId="597D289B" w14:textId="77777777" w:rsidTr="00600C1A">
              <w:tc>
                <w:tcPr>
                  <w:tcW w:w="917" w:type="dxa"/>
                  <w:tcBorders>
                    <w:top w:val="nil"/>
                    <w:left w:val="single" w:sz="4" w:space="0" w:color="auto"/>
                    <w:bottom w:val="nil"/>
                    <w:right w:val="single" w:sz="4" w:space="0" w:color="auto"/>
                  </w:tcBorders>
                  <w:shd w:val="clear" w:color="auto" w:fill="auto"/>
                  <w:hideMark/>
                </w:tcPr>
                <w:p w14:paraId="4230E7B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69360C27"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7F09499E" w14:textId="77777777" w:rsidTr="00600C1A">
              <w:tc>
                <w:tcPr>
                  <w:tcW w:w="917" w:type="dxa"/>
                  <w:tcBorders>
                    <w:top w:val="nil"/>
                    <w:left w:val="single" w:sz="4" w:space="0" w:color="auto"/>
                    <w:bottom w:val="nil"/>
                    <w:right w:val="single" w:sz="4" w:space="0" w:color="auto"/>
                  </w:tcBorders>
                  <w:shd w:val="clear" w:color="auto" w:fill="auto"/>
                  <w:hideMark/>
                </w:tcPr>
                <w:p w14:paraId="318BA67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557EDDA1"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5.1.2.1. Bản giấy - Số liệu mới công bố</w:t>
                  </w:r>
                </w:p>
              </w:tc>
            </w:tr>
            <w:tr w:rsidR="00082E92" w:rsidRPr="00082E92" w14:paraId="11413D05" w14:textId="77777777" w:rsidTr="00600C1A">
              <w:tc>
                <w:tcPr>
                  <w:tcW w:w="917" w:type="dxa"/>
                  <w:tcBorders>
                    <w:top w:val="nil"/>
                    <w:left w:val="single" w:sz="4" w:space="0" w:color="auto"/>
                    <w:bottom w:val="nil"/>
                    <w:right w:val="single" w:sz="4" w:space="0" w:color="auto"/>
                  </w:tcBorders>
                  <w:shd w:val="clear" w:color="auto" w:fill="auto"/>
                  <w:hideMark/>
                </w:tcPr>
                <w:p w14:paraId="225A3454"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79962CCA"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51B06AF1" w14:textId="77777777" w:rsidTr="00600C1A">
              <w:tc>
                <w:tcPr>
                  <w:tcW w:w="917" w:type="dxa"/>
                  <w:tcBorders>
                    <w:top w:val="nil"/>
                    <w:left w:val="single" w:sz="4" w:space="0" w:color="auto"/>
                    <w:bottom w:val="nil"/>
                    <w:right w:val="single" w:sz="4" w:space="0" w:color="auto"/>
                  </w:tcBorders>
                  <w:shd w:val="clear" w:color="auto" w:fill="auto"/>
                  <w:hideMark/>
                </w:tcPr>
                <w:p w14:paraId="0ECE913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25A54E0F"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5.1.2.2. Bản giấy - Bản tin tuần</w:t>
                  </w:r>
                </w:p>
              </w:tc>
            </w:tr>
            <w:tr w:rsidR="00082E92" w:rsidRPr="00082E92" w14:paraId="38450C5C" w14:textId="77777777" w:rsidTr="00600C1A">
              <w:tc>
                <w:tcPr>
                  <w:tcW w:w="917" w:type="dxa"/>
                  <w:tcBorders>
                    <w:top w:val="nil"/>
                    <w:left w:val="single" w:sz="4" w:space="0" w:color="auto"/>
                    <w:bottom w:val="nil"/>
                    <w:right w:val="single" w:sz="4" w:space="0" w:color="auto"/>
                  </w:tcBorders>
                  <w:shd w:val="clear" w:color="auto" w:fill="auto"/>
                  <w:hideMark/>
                </w:tcPr>
                <w:p w14:paraId="7803830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39C79251"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r>
            <w:tr w:rsidR="00082E92" w:rsidRPr="00082E92" w14:paraId="6A84CDB7" w14:textId="77777777" w:rsidTr="00600C1A">
              <w:tc>
                <w:tcPr>
                  <w:tcW w:w="917" w:type="dxa"/>
                  <w:tcBorders>
                    <w:top w:val="nil"/>
                    <w:left w:val="single" w:sz="4" w:space="0" w:color="auto"/>
                    <w:bottom w:val="nil"/>
                    <w:right w:val="single" w:sz="4" w:space="0" w:color="auto"/>
                  </w:tcBorders>
                  <w:shd w:val="clear" w:color="auto" w:fill="auto"/>
                  <w:hideMark/>
                </w:tcPr>
                <w:p w14:paraId="4BF8049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04D495D5"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5.1.2.3. Bản giấy - Bản tin tháng</w:t>
                  </w:r>
                </w:p>
              </w:tc>
            </w:tr>
            <w:tr w:rsidR="00082E92" w:rsidRPr="00082E92" w14:paraId="684F0863" w14:textId="77777777" w:rsidTr="00600C1A">
              <w:tc>
                <w:tcPr>
                  <w:tcW w:w="917" w:type="dxa"/>
                  <w:tcBorders>
                    <w:top w:val="nil"/>
                    <w:left w:val="single" w:sz="4" w:space="0" w:color="auto"/>
                    <w:bottom w:val="nil"/>
                    <w:right w:val="single" w:sz="4" w:space="0" w:color="auto"/>
                  </w:tcBorders>
                  <w:shd w:val="clear" w:color="auto" w:fill="auto"/>
                  <w:hideMark/>
                </w:tcPr>
                <w:p w14:paraId="03D4CE4F"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15FB6499"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11719136" w14:textId="77777777" w:rsidTr="00600C1A">
              <w:tc>
                <w:tcPr>
                  <w:tcW w:w="917" w:type="dxa"/>
                  <w:tcBorders>
                    <w:top w:val="nil"/>
                    <w:left w:val="single" w:sz="4" w:space="0" w:color="auto"/>
                    <w:bottom w:val="nil"/>
                    <w:right w:val="single" w:sz="4" w:space="0" w:color="auto"/>
                  </w:tcBorders>
                  <w:shd w:val="clear" w:color="auto" w:fill="auto"/>
                  <w:hideMark/>
                </w:tcPr>
                <w:p w14:paraId="3B01B0C1"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4AE6C071"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5.1.2.4. Bản giấy - Bản tin quý</w:t>
                  </w:r>
                </w:p>
              </w:tc>
            </w:tr>
            <w:tr w:rsidR="00082E92" w:rsidRPr="00082E92" w14:paraId="5259CE8F" w14:textId="77777777" w:rsidTr="00600C1A">
              <w:tc>
                <w:tcPr>
                  <w:tcW w:w="917" w:type="dxa"/>
                  <w:tcBorders>
                    <w:top w:val="nil"/>
                    <w:left w:val="single" w:sz="4" w:space="0" w:color="auto"/>
                    <w:bottom w:val="nil"/>
                    <w:right w:val="single" w:sz="4" w:space="0" w:color="auto"/>
                  </w:tcBorders>
                  <w:shd w:val="clear" w:color="auto" w:fill="auto"/>
                  <w:hideMark/>
                </w:tcPr>
                <w:p w14:paraId="4CDC762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40AD45C1"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4B95F7A8" w14:textId="77777777" w:rsidTr="00600C1A">
              <w:tc>
                <w:tcPr>
                  <w:tcW w:w="917" w:type="dxa"/>
                  <w:tcBorders>
                    <w:top w:val="nil"/>
                    <w:left w:val="single" w:sz="4" w:space="0" w:color="auto"/>
                    <w:bottom w:val="nil"/>
                    <w:right w:val="single" w:sz="4" w:space="0" w:color="auto"/>
                  </w:tcBorders>
                  <w:shd w:val="clear" w:color="auto" w:fill="auto"/>
                  <w:hideMark/>
                </w:tcPr>
                <w:p w14:paraId="5A562ECC"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0E0E0"/>
                  <w:hideMark/>
                </w:tcPr>
                <w:p w14:paraId="374E22B3"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5.1.2.5. Bản giấy - Loại khác</w:t>
                  </w:r>
                </w:p>
              </w:tc>
            </w:tr>
            <w:tr w:rsidR="00082E92" w:rsidRPr="00082E92" w14:paraId="78EF34C5" w14:textId="77777777" w:rsidTr="00600C1A">
              <w:tc>
                <w:tcPr>
                  <w:tcW w:w="917" w:type="dxa"/>
                  <w:tcBorders>
                    <w:top w:val="nil"/>
                    <w:left w:val="single" w:sz="4" w:space="0" w:color="auto"/>
                    <w:bottom w:val="nil"/>
                    <w:right w:val="single" w:sz="4" w:space="0" w:color="auto"/>
                  </w:tcBorders>
                  <w:shd w:val="clear" w:color="auto" w:fill="auto"/>
                  <w:hideMark/>
                </w:tcPr>
                <w:p w14:paraId="534ABE9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757DDF5F"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“Báo cáo thường niên về cán cân thanh toán của Việt Nam” do NHNN biên soạn, bằng tiếng Việt và tiếng Anh.</w:t>
                  </w:r>
                </w:p>
              </w:tc>
            </w:tr>
            <w:tr w:rsidR="00082E92" w:rsidRPr="00082E92" w14:paraId="4138FE55" w14:textId="77777777" w:rsidTr="00600C1A">
              <w:tc>
                <w:tcPr>
                  <w:tcW w:w="917" w:type="dxa"/>
                  <w:tcBorders>
                    <w:top w:val="nil"/>
                    <w:left w:val="single" w:sz="4" w:space="0" w:color="auto"/>
                    <w:bottom w:val="nil"/>
                    <w:right w:val="single" w:sz="4" w:space="0" w:color="auto"/>
                  </w:tcBorders>
                  <w:shd w:val="clear" w:color="auto" w:fill="auto"/>
                  <w:hideMark/>
                </w:tcPr>
                <w:p w14:paraId="0BC8741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0E0E0"/>
                  <w:hideMark/>
                </w:tcPr>
                <w:p w14:paraId="241B2A78"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5.1.2.6. Bản điện tử - Bản tin hoặc số liệu điện tử</w:t>
                  </w:r>
                </w:p>
              </w:tc>
            </w:tr>
            <w:tr w:rsidR="00082E92" w:rsidRPr="00082E92" w14:paraId="6A3974D7" w14:textId="77777777" w:rsidTr="00600C1A">
              <w:tc>
                <w:tcPr>
                  <w:tcW w:w="917" w:type="dxa"/>
                  <w:tcBorders>
                    <w:top w:val="nil"/>
                    <w:left w:val="single" w:sz="4" w:space="0" w:color="auto"/>
                    <w:bottom w:val="nil"/>
                    <w:right w:val="single" w:sz="4" w:space="0" w:color="auto"/>
                  </w:tcBorders>
                  <w:shd w:val="clear" w:color="auto" w:fill="auto"/>
                  <w:hideMark/>
                </w:tcPr>
                <w:p w14:paraId="4281DA52"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0AA154A8"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Từ quý II/2012, số liệu CCTT được công bố trên Cổng thông tin điện tử của NHNN theo định kỳ quý.</w:t>
                  </w:r>
                </w:p>
              </w:tc>
            </w:tr>
            <w:tr w:rsidR="00082E92" w:rsidRPr="00082E92" w14:paraId="7DF40E57" w14:textId="77777777" w:rsidTr="00600C1A">
              <w:tc>
                <w:tcPr>
                  <w:tcW w:w="917" w:type="dxa"/>
                  <w:tcBorders>
                    <w:top w:val="nil"/>
                    <w:left w:val="single" w:sz="4" w:space="0" w:color="auto"/>
                    <w:bottom w:val="nil"/>
                    <w:right w:val="single" w:sz="4" w:space="0" w:color="auto"/>
                  </w:tcBorders>
                  <w:shd w:val="clear" w:color="auto" w:fill="auto"/>
                  <w:hideMark/>
                </w:tcPr>
                <w:p w14:paraId="394444B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0E0E0"/>
                  <w:hideMark/>
                </w:tcPr>
                <w:p w14:paraId="0B0C9D1D"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5.1.2.7. Bản điện tử - Loại khác</w:t>
                  </w:r>
                </w:p>
              </w:tc>
            </w:tr>
            <w:tr w:rsidR="00082E92" w:rsidRPr="00082E92" w14:paraId="4C4FFA7C" w14:textId="77777777" w:rsidTr="00600C1A">
              <w:tc>
                <w:tcPr>
                  <w:tcW w:w="917" w:type="dxa"/>
                  <w:tcBorders>
                    <w:top w:val="nil"/>
                    <w:left w:val="single" w:sz="4" w:space="0" w:color="auto"/>
                    <w:bottom w:val="nil"/>
                    <w:right w:val="single" w:sz="4" w:space="0" w:color="auto"/>
                  </w:tcBorders>
                  <w:shd w:val="clear" w:color="auto" w:fill="auto"/>
                  <w:hideMark/>
                </w:tcPr>
                <w:p w14:paraId="16D7114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53BE7309"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54B48F29" w14:textId="77777777" w:rsidTr="00600C1A">
              <w:tc>
                <w:tcPr>
                  <w:tcW w:w="917" w:type="dxa"/>
                  <w:tcBorders>
                    <w:top w:val="nil"/>
                    <w:left w:val="single" w:sz="4" w:space="0" w:color="auto"/>
                    <w:bottom w:val="nil"/>
                    <w:right w:val="single" w:sz="4" w:space="0" w:color="auto"/>
                  </w:tcBorders>
                  <w:shd w:val="clear" w:color="auto" w:fill="auto"/>
                  <w:hideMark/>
                </w:tcPr>
                <w:p w14:paraId="3349353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lastRenderedPageBreak/>
                    <w:t> </w:t>
                  </w:r>
                </w:p>
              </w:tc>
              <w:tc>
                <w:tcPr>
                  <w:tcW w:w="8009" w:type="dxa"/>
                  <w:tcBorders>
                    <w:top w:val="nil"/>
                    <w:left w:val="single" w:sz="4" w:space="0" w:color="auto"/>
                    <w:bottom w:val="nil"/>
                    <w:right w:val="single" w:sz="4" w:space="0" w:color="auto"/>
                  </w:tcBorders>
                  <w:shd w:val="clear" w:color="auto" w:fill="E0E0E0"/>
                  <w:hideMark/>
                </w:tcPr>
                <w:p w14:paraId="1A8AAA50"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5.1.3. Lịch công bố số liệu trước </w:t>
                  </w:r>
                </w:p>
              </w:tc>
            </w:tr>
            <w:tr w:rsidR="00082E92" w:rsidRPr="00082E92" w14:paraId="4BFCB651" w14:textId="77777777" w:rsidTr="00600C1A">
              <w:tc>
                <w:tcPr>
                  <w:tcW w:w="917" w:type="dxa"/>
                  <w:tcBorders>
                    <w:top w:val="nil"/>
                    <w:left w:val="single" w:sz="4" w:space="0" w:color="auto"/>
                    <w:bottom w:val="nil"/>
                    <w:right w:val="single" w:sz="4" w:space="0" w:color="auto"/>
                  </w:tcBorders>
                  <w:shd w:val="clear" w:color="auto" w:fill="auto"/>
                  <w:hideMark/>
                </w:tcPr>
                <w:p w14:paraId="2DE4F867"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441A5F75"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42CCF5C1" w14:textId="000F8BEA" w:rsidR="00082E92" w:rsidRPr="00EE02FD" w:rsidRDefault="007A59DC" w:rsidP="00082E92">
                  <w:pPr>
                    <w:spacing w:before="80" w:after="60" w:line="240" w:lineRule="auto"/>
                    <w:jc w:val="both"/>
                    <w:rPr>
                      <w:rFonts w:ascii="Times New Roman" w:eastAsia="Times New Roman" w:hAnsi="Times New Roman" w:cs="Times New Roman"/>
                      <w:b/>
                      <w:bCs/>
                      <w:i/>
                      <w:iCs/>
                      <w:sz w:val="24"/>
                      <w:szCs w:val="24"/>
                      <w:lang w:eastAsia="en-SG"/>
                    </w:rPr>
                  </w:pPr>
                  <w:r w:rsidRPr="00EE02FD">
                    <w:rPr>
                      <w:rFonts w:ascii="Arial" w:eastAsia="Times New Roman" w:hAnsi="Arial" w:cs="Arial"/>
                      <w:b/>
                      <w:bCs/>
                      <w:i/>
                      <w:iCs/>
                      <w:color w:val="FF0000"/>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082E92" w:rsidRPr="00082E92" w14:paraId="5C7A315A" w14:textId="77777777" w:rsidTr="00600C1A">
              <w:tc>
                <w:tcPr>
                  <w:tcW w:w="917" w:type="dxa"/>
                  <w:tcBorders>
                    <w:top w:val="nil"/>
                    <w:left w:val="single" w:sz="4" w:space="0" w:color="auto"/>
                    <w:bottom w:val="nil"/>
                    <w:right w:val="single" w:sz="4" w:space="0" w:color="auto"/>
                  </w:tcBorders>
                  <w:shd w:val="clear" w:color="auto" w:fill="auto"/>
                  <w:hideMark/>
                </w:tcPr>
                <w:p w14:paraId="38EB2D0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0E0E0"/>
                  <w:hideMark/>
                </w:tcPr>
                <w:p w14:paraId="312B12BA"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5.1.4. Công bố đồng thời </w:t>
                  </w:r>
                </w:p>
              </w:tc>
            </w:tr>
            <w:tr w:rsidR="00082E92" w:rsidRPr="00082E92" w14:paraId="0D79D67F"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56C423FC"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3DA54FAA"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u w:val="single"/>
                      <w:lang w:eastAsia="en-SG"/>
                    </w:rPr>
                    <w:t>Ngân hàng Nhà  nước</w:t>
                  </w:r>
                </w:p>
                <w:p w14:paraId="09EE13CA" w14:textId="77777777" w:rsidR="00082E92" w:rsidRPr="00082E92" w:rsidRDefault="00082E92" w:rsidP="00082E92">
                  <w:pPr>
                    <w:spacing w:before="8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NHNN chỉ công bố các số liệu kinh tế vĩ mô và tài chính lựa chọn cho công chúng thông qua Báo cáo Thường niên của mình và công bố số liệu tiền tệ, ngân hàng trên Cổng thông tin điện tử của Ngân hàng Nhà nước.</w:t>
                  </w:r>
                </w:p>
              </w:tc>
            </w:tr>
            <w:tr w:rsidR="00082E92" w:rsidRPr="00082E92" w14:paraId="0683518E" w14:textId="77777777" w:rsidTr="00600C1A">
              <w:tc>
                <w:tcPr>
                  <w:tcW w:w="917" w:type="dxa"/>
                  <w:tcBorders>
                    <w:top w:val="single" w:sz="4" w:space="0" w:color="auto"/>
                    <w:left w:val="single" w:sz="4" w:space="0" w:color="auto"/>
                    <w:bottom w:val="nil"/>
                    <w:right w:val="single" w:sz="4" w:space="0" w:color="auto"/>
                  </w:tcBorders>
                  <w:shd w:val="clear" w:color="auto" w:fill="auto"/>
                  <w:hideMark/>
                </w:tcPr>
                <w:p w14:paraId="16267CC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single" w:sz="4" w:space="0" w:color="auto"/>
                    <w:left w:val="single" w:sz="4" w:space="0" w:color="auto"/>
                    <w:bottom w:val="nil"/>
                    <w:right w:val="single" w:sz="4" w:space="0" w:color="auto"/>
                  </w:tcBorders>
                  <w:shd w:val="clear" w:color="auto" w:fill="E6E6E6"/>
                  <w:hideMark/>
                </w:tcPr>
                <w:p w14:paraId="5D8D084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5.1.5. Phổ biến thông tin theo yêu cầu </w:t>
                  </w:r>
                </w:p>
              </w:tc>
            </w:tr>
            <w:tr w:rsidR="00082E92" w:rsidRPr="00082E92" w14:paraId="06C6D180"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76DC6C2E"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012F1860"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21B1F806" w14:textId="77777777" w:rsidTr="00600C1A">
              <w:trPr>
                <w:trHeight w:val="692"/>
              </w:trPr>
              <w:tc>
                <w:tcPr>
                  <w:tcW w:w="917" w:type="dxa"/>
                  <w:tcBorders>
                    <w:top w:val="single" w:sz="4" w:space="0" w:color="auto"/>
                    <w:left w:val="single" w:sz="4" w:space="0" w:color="auto"/>
                    <w:bottom w:val="nil"/>
                    <w:right w:val="single" w:sz="4" w:space="0" w:color="auto"/>
                  </w:tcBorders>
                  <w:shd w:val="clear" w:color="auto" w:fill="E0E0E0"/>
                  <w:hideMark/>
                </w:tcPr>
                <w:p w14:paraId="145FDEF1"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5.2. Siêu dữ liệu</w:t>
                  </w:r>
                </w:p>
              </w:tc>
              <w:tc>
                <w:tcPr>
                  <w:tcW w:w="8009" w:type="dxa"/>
                  <w:tcBorders>
                    <w:top w:val="single" w:sz="4" w:space="0" w:color="auto"/>
                    <w:left w:val="single" w:sz="4" w:space="0" w:color="auto"/>
                    <w:bottom w:val="nil"/>
                    <w:right w:val="single" w:sz="4" w:space="0" w:color="auto"/>
                  </w:tcBorders>
                  <w:shd w:val="clear" w:color="auto" w:fill="E0E0E0"/>
                  <w:hideMark/>
                </w:tcPr>
                <w:p w14:paraId="3CF86E7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082E92" w:rsidRPr="00082E92" w14:paraId="3D5DC3B8" w14:textId="77777777" w:rsidTr="00600C1A">
              <w:trPr>
                <w:trHeight w:val="540"/>
              </w:trPr>
              <w:tc>
                <w:tcPr>
                  <w:tcW w:w="917" w:type="dxa"/>
                  <w:tcBorders>
                    <w:top w:val="nil"/>
                    <w:left w:val="single" w:sz="4" w:space="0" w:color="auto"/>
                    <w:bottom w:val="single" w:sz="4" w:space="0" w:color="auto"/>
                    <w:right w:val="single" w:sz="4" w:space="0" w:color="auto"/>
                  </w:tcBorders>
                  <w:shd w:val="clear" w:color="auto" w:fill="auto"/>
                  <w:hideMark/>
                </w:tcPr>
                <w:p w14:paraId="4384CFDA"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5926B79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Không công bố các tài liệu về phương pháp luận cho công chúng.</w:t>
                  </w:r>
                </w:p>
              </w:tc>
            </w:tr>
            <w:tr w:rsidR="00082E92" w:rsidRPr="00082E92" w14:paraId="32D720D5"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512A3598"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5.3. Hỗ trợ cho người dùng tin</w:t>
                  </w:r>
                </w:p>
              </w:tc>
              <w:tc>
                <w:tcPr>
                  <w:tcW w:w="8009" w:type="dxa"/>
                  <w:tcBorders>
                    <w:top w:val="single" w:sz="4" w:space="0" w:color="auto"/>
                    <w:left w:val="single" w:sz="4" w:space="0" w:color="auto"/>
                    <w:bottom w:val="nil"/>
                    <w:right w:val="single" w:sz="4" w:space="0" w:color="auto"/>
                  </w:tcBorders>
                  <w:shd w:val="clear" w:color="auto" w:fill="E0E0E0"/>
                  <w:hideMark/>
                </w:tcPr>
                <w:p w14:paraId="5B56FA8F"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 xml:space="preserve">5.3.1 Phổ biến thông tin về đầu mối liên lạc </w:t>
                  </w:r>
                </w:p>
              </w:tc>
            </w:tr>
            <w:tr w:rsidR="00082E92" w:rsidRPr="00082E92" w14:paraId="5009FF9B" w14:textId="77777777" w:rsidTr="00600C1A">
              <w:tc>
                <w:tcPr>
                  <w:tcW w:w="917" w:type="dxa"/>
                  <w:tcBorders>
                    <w:top w:val="nil"/>
                    <w:left w:val="single" w:sz="4" w:space="0" w:color="auto"/>
                    <w:bottom w:val="nil"/>
                    <w:right w:val="single" w:sz="4" w:space="0" w:color="auto"/>
                  </w:tcBorders>
                  <w:shd w:val="clear" w:color="auto" w:fill="auto"/>
                  <w:hideMark/>
                </w:tcPr>
                <w:p w14:paraId="02135FE7"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auto"/>
                  <w:hideMark/>
                </w:tcPr>
                <w:p w14:paraId="3C52D033"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35CA37ED" w14:textId="77777777" w:rsidTr="00600C1A">
              <w:tc>
                <w:tcPr>
                  <w:tcW w:w="917" w:type="dxa"/>
                  <w:tcBorders>
                    <w:top w:val="nil"/>
                    <w:left w:val="single" w:sz="4" w:space="0" w:color="auto"/>
                    <w:bottom w:val="nil"/>
                    <w:right w:val="single" w:sz="4" w:space="0" w:color="auto"/>
                  </w:tcBorders>
                  <w:shd w:val="clear" w:color="auto" w:fill="auto"/>
                  <w:hideMark/>
                </w:tcPr>
                <w:p w14:paraId="2A9FCE4D" w14:textId="77777777" w:rsidR="00082E92" w:rsidRPr="00082E92" w:rsidRDefault="00082E92" w:rsidP="00082E92">
                  <w:pPr>
                    <w:widowControl w:val="0"/>
                    <w:tabs>
                      <w:tab w:val="left" w:pos="820"/>
                    </w:tabs>
                    <w:adjustRightInd w:val="0"/>
                    <w:spacing w:before="60" w:after="60" w:line="240" w:lineRule="auto"/>
                    <w:ind w:left="120"/>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nil"/>
                    <w:right w:val="single" w:sz="4" w:space="0" w:color="auto"/>
                  </w:tcBorders>
                  <w:shd w:val="clear" w:color="auto" w:fill="E6E6E6"/>
                  <w:hideMark/>
                </w:tcPr>
                <w:p w14:paraId="4FBA3684" w14:textId="77777777" w:rsidR="00082E92" w:rsidRPr="00082E92" w:rsidRDefault="00082E92" w:rsidP="00082E92">
                  <w:pPr>
                    <w:widowControl w:val="0"/>
                    <w:tabs>
                      <w:tab w:val="left" w:pos="840"/>
                    </w:tabs>
                    <w:adjustRightInd w:val="0"/>
                    <w:spacing w:before="60" w:after="60" w:line="240" w:lineRule="auto"/>
                    <w:ind w:left="120"/>
                    <w:jc w:val="both"/>
                    <w:rPr>
                      <w:rFonts w:ascii="Times New Roman" w:eastAsia="Times New Roman" w:hAnsi="Times New Roman" w:cs="Times New Roman"/>
                      <w:sz w:val="24"/>
                      <w:szCs w:val="24"/>
                      <w:lang w:eastAsia="en-SG"/>
                    </w:rPr>
                  </w:pPr>
                  <w:r w:rsidRPr="00082E92">
                    <w:rPr>
                      <w:rFonts w:ascii="Arial" w:eastAsia="PMingLiU" w:hAnsi="Arial" w:cs="Arial"/>
                      <w:b/>
                      <w:bCs/>
                      <w:sz w:val="20"/>
                      <w:szCs w:val="20"/>
                      <w:lang w:eastAsia="en-SG"/>
                    </w:rPr>
                    <w:t>5.3.2. Tĩnh sẵn có của Ca-ta-lô về các tài liệu và dịch vụ</w:t>
                  </w:r>
                </w:p>
              </w:tc>
            </w:tr>
            <w:tr w:rsidR="00082E92" w:rsidRPr="00082E92" w14:paraId="22FB2D47"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29D04E00" w14:textId="77777777" w:rsidR="00082E92" w:rsidRPr="00082E92" w:rsidRDefault="00082E92" w:rsidP="00082E92">
                  <w:pPr>
                    <w:widowControl w:val="0"/>
                    <w:tabs>
                      <w:tab w:val="left" w:pos="820"/>
                    </w:tabs>
                    <w:adjustRightInd w:val="0"/>
                    <w:spacing w:before="60" w:after="60" w:line="240" w:lineRule="auto"/>
                    <w:ind w:left="120"/>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374D13BE" w14:textId="77777777" w:rsidR="00082E92" w:rsidRPr="00082E92" w:rsidRDefault="00082E92" w:rsidP="00082E92">
                  <w:pPr>
                    <w:widowControl w:val="0"/>
                    <w:tabs>
                      <w:tab w:val="left" w:pos="840"/>
                    </w:tabs>
                    <w:adjustRightInd w:val="0"/>
                    <w:spacing w:before="60" w:after="60" w:line="240" w:lineRule="auto"/>
                    <w:ind w:left="120"/>
                    <w:jc w:val="both"/>
                    <w:rPr>
                      <w:rFonts w:ascii="Times New Roman" w:eastAsia="Times New Roman" w:hAnsi="Times New Roman" w:cs="Times New Roman"/>
                      <w:sz w:val="24"/>
                      <w:szCs w:val="24"/>
                      <w:lang w:eastAsia="en-SG"/>
                    </w:rPr>
                  </w:pPr>
                  <w:r w:rsidRPr="00082E92">
                    <w:rPr>
                      <w:rFonts w:ascii="Arial" w:eastAsia="PMingLiU" w:hAnsi="Arial" w:cs="Arial"/>
                      <w:b/>
                      <w:bCs/>
                      <w:sz w:val="20"/>
                      <w:szCs w:val="20"/>
                      <w:lang w:eastAsia="en-SG"/>
                    </w:rPr>
                    <w:t> </w:t>
                  </w:r>
                </w:p>
              </w:tc>
            </w:tr>
            <w:tr w:rsidR="00082E92" w:rsidRPr="00082E92" w14:paraId="657AA6C3" w14:textId="77777777" w:rsidTr="00600C1A">
              <w:tc>
                <w:tcPr>
                  <w:tcW w:w="8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04BAB0"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 Các kế hoạch</w:t>
                  </w:r>
                </w:p>
              </w:tc>
            </w:tr>
            <w:tr w:rsidR="00082E92" w:rsidRPr="00082E92" w14:paraId="2C88EA52"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2D5C62DA"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9.1. Gần đây</w:t>
                  </w:r>
                </w:p>
              </w:tc>
              <w:tc>
                <w:tcPr>
                  <w:tcW w:w="8009" w:type="dxa"/>
                  <w:tcBorders>
                    <w:top w:val="single" w:sz="4" w:space="0" w:color="auto"/>
                    <w:left w:val="single" w:sz="4" w:space="0" w:color="auto"/>
                    <w:bottom w:val="nil"/>
                    <w:right w:val="single" w:sz="4" w:space="0" w:color="auto"/>
                  </w:tcBorders>
                  <w:shd w:val="clear" w:color="auto" w:fill="E0E0E0"/>
                  <w:hideMark/>
                </w:tcPr>
                <w:p w14:paraId="4C492122"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9.1.1. Các kế hoạch cải tiến - Cải tiến gần đây</w:t>
                  </w:r>
                </w:p>
              </w:tc>
            </w:tr>
            <w:tr w:rsidR="00082E92" w:rsidRPr="00082E92" w14:paraId="4FB39B46"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1B9224E2"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iCs/>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509DA474" w14:textId="77777777" w:rsidR="00082E92" w:rsidRPr="00082E92" w:rsidRDefault="00082E92" w:rsidP="00082E92">
                  <w:pPr>
                    <w:spacing w:before="60" w:after="60" w:line="264" w:lineRule="auto"/>
                    <w:ind w:firstLine="431"/>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shd w:val="clear" w:color="auto" w:fill="FFFFFF"/>
                      <w:lang w:eastAsia="en-SG"/>
                    </w:rPr>
                    <w:t>Chính phủ ban hành Nghị định 16/2014/NĐ-CP ngày 03/03/2014 về quản lý cán cân thanh toán quốc tế của Việt Nam thay thế Nghị định 164.</w:t>
                  </w:r>
                </w:p>
                <w:p w14:paraId="4ABAD261" w14:textId="77777777" w:rsidR="00082E92" w:rsidRPr="00082E92" w:rsidRDefault="00082E92" w:rsidP="00082E92">
                  <w:pPr>
                    <w:spacing w:before="60" w:after="60" w:line="264" w:lineRule="auto"/>
                    <w:ind w:firstLine="431"/>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shd w:val="clear" w:color="auto" w:fill="FFFFFF"/>
                      <w:lang w:eastAsia="en-SG"/>
                    </w:rPr>
                    <w:t xml:space="preserve">Năm 2015 NHNN đã tiến hành điều tra chọn mẫu các doanh nghiệp FDI để tiến hành thu nhập số liệu tích lũy và số liệu trong kỳ đối với số liệu vốn đầu tư trực tiếp nước ngoài vào Việt Nam giai đoạn 2013-2014. </w:t>
                  </w:r>
                </w:p>
                <w:p w14:paraId="7C259DB7" w14:textId="77777777" w:rsidR="00082E92" w:rsidRPr="00082E92" w:rsidRDefault="00082E92" w:rsidP="00082E92">
                  <w:pPr>
                    <w:spacing w:before="60" w:after="60" w:line="264" w:lineRule="auto"/>
                    <w:ind w:firstLine="431"/>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shd w:val="clear" w:color="auto" w:fill="FFFFFF"/>
                      <w:lang w:eastAsia="en-SG"/>
                    </w:rPr>
                    <w:t>Tháng 9/2016, NHNN bắt đầu tiến hành điều tra mở rộng đối với các doanh nghiệp FDI để thu thập số liệu tích lũy và số liệu phát sinh đối với số liệu vốn đầu tư trực tiếp nước ngoài vào Việt Nam giai đoạn 2014-2015 trên cơ sở khuyến nghị của các đoàn Hỗ trợ kỹ thuật của IMF.</w:t>
                  </w:r>
                </w:p>
                <w:p w14:paraId="4A206473" w14:textId="77777777" w:rsidR="00C928BB" w:rsidRDefault="00082E92" w:rsidP="00C928BB">
                  <w:pPr>
                    <w:spacing w:before="60" w:after="60" w:line="264" w:lineRule="auto"/>
                    <w:ind w:firstLine="431"/>
                    <w:jc w:val="both"/>
                    <w:rPr>
                      <w:rFonts w:ascii="Arial" w:eastAsia="Times New Roman" w:hAnsi="Arial" w:cs="Arial"/>
                      <w:sz w:val="20"/>
                      <w:szCs w:val="20"/>
                      <w:shd w:val="clear" w:color="auto" w:fill="FFFFFF"/>
                      <w:lang w:eastAsia="en-SG"/>
                    </w:rPr>
                  </w:pPr>
                  <w:r w:rsidRPr="00082E92">
                    <w:rPr>
                      <w:rFonts w:ascii="Arial" w:eastAsia="Times New Roman" w:hAnsi="Arial" w:cs="Arial"/>
                      <w:sz w:val="20"/>
                      <w:szCs w:val="20"/>
                      <w:shd w:val="clear" w:color="auto" w:fill="FFFFFF"/>
                      <w:lang w:eastAsia="en-SG"/>
                    </w:rPr>
                    <w:t xml:space="preserve">Trong năm 2016, NHNN tiếp tục tiếp nhận 2 đợt hỗ trợ kỹ thuật trong Dự án Hỗ trợ kỹ thuật của IMF về tăng cường năng lực thống kê khu vực đối ngoại. Các đợt hỗ trợ kỹ thuật tập trung vào 4 nội dung chính: (i) tiếp tục hỗ trợ NHNN trong việc thiết kế phiếu điều tra và thiết kế bảng kết quả đầu ra của cuộc điều tra thử nghiệm FDI của Việt Nam (ii) đánh giá chất lượng số liệu thu thập được thông qua cuộc điều tra thử nghiệm đối với các doanh nghiệp FDI (iii) hỗ trợ giải quyết các vấn đề khác trong công tác thống kê khu vực đối ngoại của NHNN đặc biệt là các số liệu về tình hình nắm giữ ngoại tệ của khu </w:t>
                  </w:r>
                  <w:r w:rsidRPr="00082E92">
                    <w:rPr>
                      <w:rFonts w:ascii="Arial" w:eastAsia="Times New Roman" w:hAnsi="Arial" w:cs="Arial"/>
                      <w:sz w:val="20"/>
                      <w:szCs w:val="20"/>
                      <w:shd w:val="clear" w:color="auto" w:fill="FFFFFF"/>
                      <w:lang w:eastAsia="en-SG"/>
                    </w:rPr>
                    <w:lastRenderedPageBreak/>
                    <w:t xml:space="preserve">vực dân cư. Tháng 3/2017, NHNN tiếp tục nhận hỗ trợ kỹ thuật của IMF để đánh giá kết quả của cuộc điều tra FDI. </w:t>
                  </w:r>
                </w:p>
                <w:p w14:paraId="57BA6A11" w14:textId="77777777" w:rsidR="00C928BB" w:rsidRPr="00653A24" w:rsidRDefault="00C928BB" w:rsidP="00C928BB">
                  <w:pPr>
                    <w:spacing w:before="60" w:after="60" w:line="264" w:lineRule="auto"/>
                    <w:ind w:firstLine="431"/>
                    <w:jc w:val="both"/>
                    <w:rPr>
                      <w:rFonts w:ascii="Arial" w:eastAsia="Times New Roman" w:hAnsi="Arial" w:cs="Arial"/>
                      <w:sz w:val="20"/>
                      <w:szCs w:val="20"/>
                      <w:shd w:val="clear" w:color="auto" w:fill="FFFFFF"/>
                      <w:lang w:eastAsia="en-SG"/>
                    </w:rPr>
                  </w:pPr>
                  <w:r w:rsidRPr="00653A24">
                    <w:rPr>
                      <w:rFonts w:ascii="Arial" w:eastAsia="Times New Roman" w:hAnsi="Arial" w:cs="Arial"/>
                      <w:sz w:val="20"/>
                      <w:szCs w:val="20"/>
                      <w:shd w:val="clear" w:color="auto" w:fill="FFFFFF"/>
                      <w:lang w:eastAsia="en-SG"/>
                    </w:rPr>
                    <w:t xml:space="preserve">Từ năm 2017 đến 2018, NHNN tiếp tục tiếp nhận các đợt hỗ trợ kỹ thuật của IMF để cải thiện chất lượng thống kê số liệu cán cân thanh toán quốc tế của Việt Nam. </w:t>
                  </w:r>
                </w:p>
                <w:p w14:paraId="2583E34C" w14:textId="77777777" w:rsidR="00082E92" w:rsidRPr="00082E92" w:rsidRDefault="00C928BB" w:rsidP="00030671">
                  <w:pPr>
                    <w:spacing w:before="60" w:after="60" w:line="264" w:lineRule="auto"/>
                    <w:ind w:firstLine="431"/>
                    <w:jc w:val="both"/>
                    <w:rPr>
                      <w:rFonts w:ascii="Times New Roman" w:eastAsia="Times New Roman" w:hAnsi="Times New Roman" w:cs="Times New Roman"/>
                      <w:sz w:val="24"/>
                      <w:szCs w:val="24"/>
                      <w:lang w:eastAsia="en-SG"/>
                    </w:rPr>
                  </w:pPr>
                  <w:r w:rsidRPr="00653A24">
                    <w:rPr>
                      <w:rFonts w:ascii="Arial" w:eastAsia="Times New Roman" w:hAnsi="Arial" w:cs="Arial"/>
                      <w:sz w:val="20"/>
                      <w:szCs w:val="20"/>
                      <w:shd w:val="clear" w:color="auto" w:fill="FFFFFF"/>
                      <w:lang w:eastAsia="en-SG"/>
                    </w:rPr>
                    <w:t>Tháng 5/2019,</w:t>
                  </w:r>
                  <w:r w:rsidR="00030671" w:rsidRPr="00653A24">
                    <w:rPr>
                      <w:rFonts w:ascii="Arial" w:eastAsia="Times New Roman" w:hAnsi="Arial" w:cs="Arial"/>
                      <w:sz w:val="20"/>
                      <w:szCs w:val="20"/>
                      <w:shd w:val="clear" w:color="auto" w:fill="FFFFFF"/>
                      <w:lang w:eastAsia="en-SG"/>
                    </w:rPr>
                    <w:t xml:space="preserve"> c</w:t>
                  </w:r>
                  <w:r w:rsidRPr="00653A24">
                    <w:rPr>
                      <w:rFonts w:ascii="Arial" w:eastAsia="Times New Roman" w:hAnsi="Arial" w:cs="Arial"/>
                      <w:sz w:val="20"/>
                      <w:szCs w:val="20"/>
                      <w:shd w:val="clear" w:color="auto" w:fill="FFFFFF"/>
                      <w:lang w:eastAsia="en-SG"/>
                    </w:rPr>
                    <w:t>huyên gia của IMF đã hỗ trợ cho NHNN trong việc sử dụng số liệu do Tổng Cục Thuế (Bộ Tài chính) cung cấp để cải thiện số liệu thu nhập đầu tư</w:t>
                  </w:r>
                  <w:r w:rsidR="00724F49" w:rsidRPr="00653A24">
                    <w:rPr>
                      <w:rFonts w:ascii="Arial" w:eastAsia="Times New Roman" w:hAnsi="Arial" w:cs="Arial"/>
                      <w:sz w:val="20"/>
                      <w:szCs w:val="20"/>
                      <w:shd w:val="clear" w:color="auto" w:fill="FFFFFF"/>
                      <w:lang w:eastAsia="en-SG"/>
                    </w:rPr>
                    <w:t xml:space="preserve"> của khu vực FDI </w:t>
                  </w:r>
                  <w:r w:rsidRPr="00653A24">
                    <w:rPr>
                      <w:rFonts w:ascii="Arial" w:eastAsia="Times New Roman" w:hAnsi="Arial" w:cs="Arial"/>
                      <w:sz w:val="20"/>
                      <w:szCs w:val="20"/>
                      <w:shd w:val="clear" w:color="auto" w:fill="FFFFFF"/>
                      <w:lang w:eastAsia="en-SG"/>
                    </w:rPr>
                    <w:t xml:space="preserve"> so với các ước tính trước đây.</w:t>
                  </w:r>
                  <w:r>
                    <w:rPr>
                      <w:rFonts w:ascii="Times New Roman" w:eastAsia="Times New Roman" w:hAnsi="Times New Roman" w:cs="Times New Roman"/>
                      <w:sz w:val="24"/>
                      <w:szCs w:val="24"/>
                      <w:lang w:eastAsia="en-SG"/>
                    </w:rPr>
                    <w:t xml:space="preserve">  </w:t>
                  </w:r>
                </w:p>
              </w:tc>
            </w:tr>
            <w:tr w:rsidR="00082E92" w:rsidRPr="00082E92" w14:paraId="144955B8" w14:textId="77777777" w:rsidTr="00600C1A">
              <w:trPr>
                <w:trHeight w:val="341"/>
              </w:trPr>
              <w:tc>
                <w:tcPr>
                  <w:tcW w:w="917" w:type="dxa"/>
                  <w:tcBorders>
                    <w:top w:val="single" w:sz="4" w:space="0" w:color="auto"/>
                    <w:left w:val="single" w:sz="4" w:space="0" w:color="auto"/>
                    <w:bottom w:val="nil"/>
                    <w:right w:val="single" w:sz="4" w:space="0" w:color="auto"/>
                  </w:tcBorders>
                  <w:shd w:val="clear" w:color="auto" w:fill="E0E0E0"/>
                  <w:hideMark/>
                </w:tcPr>
                <w:p w14:paraId="38589CE7"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lastRenderedPageBreak/>
                    <w:t>9.2. Kế hoạch chung</w:t>
                  </w:r>
                </w:p>
              </w:tc>
              <w:tc>
                <w:tcPr>
                  <w:tcW w:w="8009" w:type="dxa"/>
                  <w:tcBorders>
                    <w:top w:val="single" w:sz="4" w:space="0" w:color="auto"/>
                    <w:left w:val="single" w:sz="4" w:space="0" w:color="auto"/>
                    <w:bottom w:val="nil"/>
                    <w:right w:val="single" w:sz="4" w:space="0" w:color="auto"/>
                  </w:tcBorders>
                  <w:shd w:val="clear" w:color="auto" w:fill="E0E0E0"/>
                  <w:hideMark/>
                </w:tcPr>
                <w:p w14:paraId="3A8826E8"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9.2.1. Kế hoạch cải tiến - ngắn hạn</w:t>
                  </w:r>
                </w:p>
              </w:tc>
            </w:tr>
            <w:tr w:rsidR="00082E92" w:rsidRPr="00082E92" w14:paraId="4F7FE394" w14:textId="77777777" w:rsidTr="00600C1A">
              <w:trPr>
                <w:trHeight w:val="341"/>
              </w:trPr>
              <w:tc>
                <w:tcPr>
                  <w:tcW w:w="917" w:type="dxa"/>
                  <w:tcBorders>
                    <w:top w:val="nil"/>
                    <w:left w:val="single" w:sz="4" w:space="0" w:color="auto"/>
                    <w:bottom w:val="nil"/>
                    <w:right w:val="single" w:sz="4" w:space="0" w:color="auto"/>
                  </w:tcBorders>
                  <w:shd w:val="clear" w:color="auto" w:fill="auto"/>
                  <w:hideMark/>
                </w:tcPr>
                <w:p w14:paraId="5C6A399A"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iCs/>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7230A6E7"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5BFCC2FB" w14:textId="77777777" w:rsidTr="00600C1A">
              <w:tc>
                <w:tcPr>
                  <w:tcW w:w="917" w:type="dxa"/>
                  <w:tcBorders>
                    <w:top w:val="nil"/>
                    <w:left w:val="single" w:sz="4" w:space="0" w:color="auto"/>
                    <w:bottom w:val="nil"/>
                    <w:right w:val="single" w:sz="4" w:space="0" w:color="auto"/>
                  </w:tcBorders>
                  <w:shd w:val="clear" w:color="auto" w:fill="auto"/>
                  <w:hideMark/>
                </w:tcPr>
                <w:p w14:paraId="784A81C0"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iCs/>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5D608C8C"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9.2.2. Kế hoạch cải tiến - trung hạn</w:t>
                  </w:r>
                </w:p>
              </w:tc>
            </w:tr>
            <w:tr w:rsidR="00082E92" w:rsidRPr="00082E92" w14:paraId="386DF892"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AD0F52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iCs/>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0D595DBE"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37D7DF90" w14:textId="77777777" w:rsidTr="00600C1A">
              <w:tc>
                <w:tcPr>
                  <w:tcW w:w="917" w:type="dxa"/>
                  <w:tcBorders>
                    <w:top w:val="single" w:sz="4" w:space="0" w:color="auto"/>
                    <w:left w:val="single" w:sz="4" w:space="0" w:color="auto"/>
                    <w:bottom w:val="nil"/>
                    <w:right w:val="single" w:sz="4" w:space="0" w:color="auto"/>
                  </w:tcBorders>
                  <w:shd w:val="clear" w:color="auto" w:fill="E0E0E0"/>
                  <w:hideMark/>
                </w:tcPr>
                <w:p w14:paraId="6DE5DBDE"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9.3. Tài chính</w:t>
                  </w:r>
                </w:p>
              </w:tc>
              <w:tc>
                <w:tcPr>
                  <w:tcW w:w="8009" w:type="dxa"/>
                  <w:tcBorders>
                    <w:top w:val="single" w:sz="4" w:space="0" w:color="auto"/>
                    <w:left w:val="single" w:sz="4" w:space="0" w:color="auto"/>
                    <w:bottom w:val="nil"/>
                    <w:right w:val="single" w:sz="4" w:space="0" w:color="auto"/>
                  </w:tcBorders>
                  <w:shd w:val="clear" w:color="auto" w:fill="E0E0E0"/>
                  <w:hideMark/>
                </w:tcPr>
                <w:p w14:paraId="2630C3E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9.3.1. Kế hoạch cải tiến - Trợ giúp kỹ thuật/tài chính - ngắn hạn</w:t>
                  </w:r>
                </w:p>
              </w:tc>
            </w:tr>
            <w:tr w:rsidR="00082E92" w:rsidRPr="00082E92" w14:paraId="4E73688F" w14:textId="77777777" w:rsidTr="00600C1A">
              <w:tc>
                <w:tcPr>
                  <w:tcW w:w="917" w:type="dxa"/>
                  <w:tcBorders>
                    <w:top w:val="nil"/>
                    <w:left w:val="single" w:sz="4" w:space="0" w:color="auto"/>
                    <w:bottom w:val="nil"/>
                    <w:right w:val="single" w:sz="4" w:space="0" w:color="auto"/>
                  </w:tcBorders>
                  <w:shd w:val="clear" w:color="auto" w:fill="auto"/>
                  <w:hideMark/>
                </w:tcPr>
                <w:p w14:paraId="6FA87A11"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auto"/>
                  <w:hideMark/>
                </w:tcPr>
                <w:p w14:paraId="2D5FC774"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r w:rsidR="00082E92" w:rsidRPr="00082E92" w14:paraId="69BCC42D" w14:textId="77777777" w:rsidTr="00600C1A">
              <w:tc>
                <w:tcPr>
                  <w:tcW w:w="917" w:type="dxa"/>
                  <w:tcBorders>
                    <w:top w:val="nil"/>
                    <w:left w:val="single" w:sz="4" w:space="0" w:color="auto"/>
                    <w:bottom w:val="nil"/>
                    <w:right w:val="single" w:sz="4" w:space="0" w:color="auto"/>
                  </w:tcBorders>
                  <w:shd w:val="clear" w:color="auto" w:fill="auto"/>
                  <w:hideMark/>
                </w:tcPr>
                <w:p w14:paraId="3C7F115D"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nil"/>
                    <w:right w:val="single" w:sz="4" w:space="0" w:color="auto"/>
                  </w:tcBorders>
                  <w:shd w:val="clear" w:color="auto" w:fill="E6E6E6"/>
                  <w:hideMark/>
                </w:tcPr>
                <w:p w14:paraId="71C9E756"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9.3.2. Kế hoạch cải tiến - Trợ giúp kỹ thuật/tài chính – Trung hạn</w:t>
                  </w:r>
                </w:p>
              </w:tc>
            </w:tr>
            <w:tr w:rsidR="00082E92" w:rsidRPr="00082E92" w14:paraId="00D23BD5" w14:textId="77777777" w:rsidTr="00600C1A">
              <w:tc>
                <w:tcPr>
                  <w:tcW w:w="917" w:type="dxa"/>
                  <w:tcBorders>
                    <w:top w:val="nil"/>
                    <w:left w:val="single" w:sz="4" w:space="0" w:color="auto"/>
                    <w:bottom w:val="single" w:sz="4" w:space="0" w:color="auto"/>
                    <w:right w:val="single" w:sz="4" w:space="0" w:color="auto"/>
                  </w:tcBorders>
                  <w:shd w:val="clear" w:color="auto" w:fill="auto"/>
                  <w:hideMark/>
                </w:tcPr>
                <w:p w14:paraId="09BEEEF5"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sz w:val="20"/>
                      <w:szCs w:val="20"/>
                      <w:shd w:val="clear" w:color="auto" w:fill="FFFFFF"/>
                      <w:lang w:eastAsia="en-SG"/>
                    </w:rPr>
                    <w:t> </w:t>
                  </w:r>
                </w:p>
              </w:tc>
              <w:tc>
                <w:tcPr>
                  <w:tcW w:w="8009" w:type="dxa"/>
                  <w:tcBorders>
                    <w:top w:val="nil"/>
                    <w:left w:val="single" w:sz="4" w:space="0" w:color="auto"/>
                    <w:bottom w:val="single" w:sz="4" w:space="0" w:color="auto"/>
                    <w:right w:val="single" w:sz="4" w:space="0" w:color="auto"/>
                  </w:tcBorders>
                  <w:shd w:val="clear" w:color="auto" w:fill="auto"/>
                  <w:hideMark/>
                </w:tcPr>
                <w:p w14:paraId="7CE1E319" w14:textId="77777777" w:rsidR="00082E92" w:rsidRPr="00082E92" w:rsidRDefault="00082E92" w:rsidP="00082E92">
                  <w:pPr>
                    <w:spacing w:before="60" w:after="60" w:line="240"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bl>
          <w:p w14:paraId="1C4E16B3"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p w14:paraId="7AC98CF8"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79"/>
              <w:gridCol w:w="5577"/>
            </w:tblGrid>
            <w:tr w:rsidR="00082E92" w:rsidRPr="00082E92" w14:paraId="14EDCD11" w14:textId="77777777">
              <w:tc>
                <w:tcPr>
                  <w:tcW w:w="9308" w:type="dxa"/>
                  <w:gridSpan w:val="2"/>
                  <w:tcBorders>
                    <w:top w:val="single" w:sz="4" w:space="0" w:color="auto"/>
                    <w:left w:val="single" w:sz="4" w:space="0" w:color="auto"/>
                    <w:bottom w:val="nil"/>
                    <w:right w:val="single" w:sz="4" w:space="0" w:color="auto"/>
                  </w:tcBorders>
                  <w:shd w:val="clear" w:color="auto" w:fill="00FFFF"/>
                  <w:hideMark/>
                </w:tcPr>
                <w:p w14:paraId="2131F76D"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Đối tác liên hệ</w:t>
                  </w:r>
                </w:p>
              </w:tc>
            </w:tr>
            <w:tr w:rsidR="00082E92" w:rsidRPr="00082E92" w14:paraId="0B6F804F" w14:textId="77777777">
              <w:tc>
                <w:tcPr>
                  <w:tcW w:w="3545" w:type="dxa"/>
                  <w:tcBorders>
                    <w:top w:val="nil"/>
                    <w:left w:val="single" w:sz="4" w:space="0" w:color="auto"/>
                    <w:bottom w:val="nil"/>
                    <w:right w:val="nil"/>
                  </w:tcBorders>
                  <w:shd w:val="clear" w:color="auto" w:fill="E5DFEC"/>
                  <w:hideMark/>
                </w:tcPr>
                <w:p w14:paraId="01E0CF0F"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1. Họ và tên:</w:t>
                  </w:r>
                </w:p>
              </w:tc>
              <w:tc>
                <w:tcPr>
                  <w:tcW w:w="5763" w:type="dxa"/>
                  <w:tcBorders>
                    <w:top w:val="nil"/>
                    <w:left w:val="nil"/>
                    <w:bottom w:val="nil"/>
                    <w:right w:val="single" w:sz="4" w:space="0" w:color="auto"/>
                  </w:tcBorders>
                  <w:shd w:val="clear" w:color="auto" w:fill="E5DFEC"/>
                  <w:hideMark/>
                </w:tcPr>
                <w:p w14:paraId="287429AC" w14:textId="056E1195" w:rsidR="00082E92" w:rsidRPr="00082E92" w:rsidRDefault="008B21B7" w:rsidP="00082E92">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Lê Quốc Hưng</w:t>
                  </w:r>
                </w:p>
              </w:tc>
            </w:tr>
            <w:tr w:rsidR="00082E92" w:rsidRPr="00082E92" w14:paraId="5864AD11" w14:textId="77777777">
              <w:tc>
                <w:tcPr>
                  <w:tcW w:w="3545" w:type="dxa"/>
                  <w:tcBorders>
                    <w:top w:val="nil"/>
                    <w:left w:val="single" w:sz="4" w:space="0" w:color="auto"/>
                    <w:bottom w:val="nil"/>
                    <w:right w:val="nil"/>
                  </w:tcBorders>
                  <w:shd w:val="clear" w:color="auto" w:fill="FFFFFF"/>
                  <w:hideMark/>
                </w:tcPr>
                <w:p w14:paraId="4F9A127E"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Chức vụ:</w:t>
                  </w:r>
                </w:p>
              </w:tc>
              <w:tc>
                <w:tcPr>
                  <w:tcW w:w="5763" w:type="dxa"/>
                  <w:tcBorders>
                    <w:top w:val="nil"/>
                    <w:left w:val="nil"/>
                    <w:bottom w:val="nil"/>
                    <w:right w:val="single" w:sz="4" w:space="0" w:color="auto"/>
                  </w:tcBorders>
                  <w:shd w:val="clear" w:color="auto" w:fill="FFFFFF"/>
                  <w:hideMark/>
                </w:tcPr>
                <w:p w14:paraId="64C443AA" w14:textId="601C21C1" w:rsidR="00082E92" w:rsidRPr="00082E92" w:rsidRDefault="008B21B7" w:rsidP="00082E92">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 xml:space="preserve">Phó </w:t>
                  </w:r>
                  <w:r w:rsidR="00082E92" w:rsidRPr="00082E92">
                    <w:rPr>
                      <w:rFonts w:ascii="Arial" w:eastAsia="Times New Roman" w:hAnsi="Arial" w:cs="Arial"/>
                      <w:sz w:val="20"/>
                      <w:szCs w:val="20"/>
                      <w:lang w:eastAsia="en-SG"/>
                    </w:rPr>
                    <w:t xml:space="preserve">Vụ trưởng, Vụ Dự báo, thống kê </w:t>
                  </w:r>
                </w:p>
              </w:tc>
            </w:tr>
            <w:tr w:rsidR="00082E92" w:rsidRPr="00082E92" w14:paraId="6A5D6F47" w14:textId="77777777">
              <w:tc>
                <w:tcPr>
                  <w:tcW w:w="3545" w:type="dxa"/>
                  <w:tcBorders>
                    <w:top w:val="nil"/>
                    <w:left w:val="single" w:sz="4" w:space="0" w:color="auto"/>
                    <w:bottom w:val="nil"/>
                    <w:right w:val="nil"/>
                  </w:tcBorders>
                  <w:shd w:val="clear" w:color="auto" w:fill="E5DFEC"/>
                  <w:hideMark/>
                </w:tcPr>
                <w:p w14:paraId="29505CFD"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Cơ quan:</w:t>
                  </w:r>
                </w:p>
              </w:tc>
              <w:tc>
                <w:tcPr>
                  <w:tcW w:w="5763" w:type="dxa"/>
                  <w:tcBorders>
                    <w:top w:val="nil"/>
                    <w:left w:val="nil"/>
                    <w:bottom w:val="nil"/>
                    <w:right w:val="single" w:sz="4" w:space="0" w:color="auto"/>
                  </w:tcBorders>
                  <w:shd w:val="clear" w:color="auto" w:fill="E5DFEC"/>
                  <w:hideMark/>
                </w:tcPr>
                <w:p w14:paraId="0B0C1A66"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Ngân hàng Nhà nước Việt Nam</w:t>
                  </w:r>
                </w:p>
              </w:tc>
            </w:tr>
            <w:tr w:rsidR="00082E92" w:rsidRPr="00082E92" w14:paraId="036DC64A" w14:textId="77777777">
              <w:tc>
                <w:tcPr>
                  <w:tcW w:w="3545" w:type="dxa"/>
                  <w:tcBorders>
                    <w:top w:val="nil"/>
                    <w:left w:val="single" w:sz="4" w:space="0" w:color="auto"/>
                    <w:bottom w:val="nil"/>
                    <w:right w:val="nil"/>
                  </w:tcBorders>
                  <w:shd w:val="clear" w:color="auto" w:fill="FFFFFF"/>
                  <w:hideMark/>
                </w:tcPr>
                <w:p w14:paraId="1D82E7C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Địa chỉ:</w:t>
                  </w:r>
                </w:p>
              </w:tc>
              <w:tc>
                <w:tcPr>
                  <w:tcW w:w="5763" w:type="dxa"/>
                  <w:tcBorders>
                    <w:top w:val="nil"/>
                    <w:left w:val="nil"/>
                    <w:bottom w:val="nil"/>
                    <w:right w:val="single" w:sz="4" w:space="0" w:color="auto"/>
                  </w:tcBorders>
                  <w:shd w:val="clear" w:color="auto" w:fill="FFFFFF"/>
                  <w:hideMark/>
                </w:tcPr>
                <w:p w14:paraId="4202E090"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25 Lý Thường Kiệt, Hoàn Kiếm, Hà Nội, Việt Nam</w:t>
                  </w:r>
                </w:p>
              </w:tc>
            </w:tr>
            <w:tr w:rsidR="00082E92" w:rsidRPr="00082E92" w14:paraId="1438D513" w14:textId="77777777">
              <w:tc>
                <w:tcPr>
                  <w:tcW w:w="3545" w:type="dxa"/>
                  <w:tcBorders>
                    <w:top w:val="nil"/>
                    <w:left w:val="single" w:sz="4" w:space="0" w:color="auto"/>
                    <w:bottom w:val="nil"/>
                    <w:right w:val="nil"/>
                  </w:tcBorders>
                  <w:shd w:val="clear" w:color="auto" w:fill="E5DFEC"/>
                  <w:hideMark/>
                </w:tcPr>
                <w:p w14:paraId="255CAD6C"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Điện thoại:</w:t>
                  </w:r>
                </w:p>
              </w:tc>
              <w:tc>
                <w:tcPr>
                  <w:tcW w:w="5763" w:type="dxa"/>
                  <w:tcBorders>
                    <w:top w:val="nil"/>
                    <w:left w:val="nil"/>
                    <w:bottom w:val="nil"/>
                    <w:right w:val="single" w:sz="4" w:space="0" w:color="auto"/>
                  </w:tcBorders>
                  <w:shd w:val="clear" w:color="auto" w:fill="E5DFEC"/>
                  <w:hideMark/>
                </w:tcPr>
                <w:p w14:paraId="6F75C5F9" w14:textId="070BD0F0" w:rsidR="00082E92" w:rsidRPr="00082E92" w:rsidRDefault="00082E92" w:rsidP="008B21B7">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84-24-393</w:t>
                  </w:r>
                  <w:r w:rsidR="008B21B7">
                    <w:rPr>
                      <w:rFonts w:ascii="Arial" w:eastAsia="Times New Roman" w:hAnsi="Arial" w:cs="Arial"/>
                      <w:sz w:val="20"/>
                      <w:szCs w:val="20"/>
                      <w:lang w:eastAsia="en-SG"/>
                    </w:rPr>
                    <w:t>61659</w:t>
                  </w:r>
                </w:p>
              </w:tc>
            </w:tr>
            <w:tr w:rsidR="00082E92" w:rsidRPr="00082E92" w14:paraId="5A1273BA" w14:textId="77777777">
              <w:tc>
                <w:tcPr>
                  <w:tcW w:w="3545" w:type="dxa"/>
                  <w:tcBorders>
                    <w:top w:val="nil"/>
                    <w:left w:val="single" w:sz="4" w:space="0" w:color="auto"/>
                    <w:bottom w:val="nil"/>
                    <w:right w:val="nil"/>
                  </w:tcBorders>
                  <w:shd w:val="clear" w:color="auto" w:fill="FFFFFF"/>
                  <w:hideMark/>
                </w:tcPr>
                <w:p w14:paraId="6352F7DE"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Fax:</w:t>
                  </w:r>
                </w:p>
              </w:tc>
              <w:tc>
                <w:tcPr>
                  <w:tcW w:w="5763" w:type="dxa"/>
                  <w:tcBorders>
                    <w:top w:val="nil"/>
                    <w:left w:val="nil"/>
                    <w:bottom w:val="nil"/>
                    <w:right w:val="single" w:sz="4" w:space="0" w:color="auto"/>
                  </w:tcBorders>
                  <w:shd w:val="clear" w:color="auto" w:fill="FFFFFF"/>
                  <w:hideMark/>
                </w:tcPr>
                <w:p w14:paraId="00FBE1CF" w14:textId="6B5B28D4"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p>
              </w:tc>
            </w:tr>
            <w:tr w:rsidR="00082E92" w:rsidRPr="00082E92" w14:paraId="4A0756EC" w14:textId="77777777">
              <w:tc>
                <w:tcPr>
                  <w:tcW w:w="3545" w:type="dxa"/>
                  <w:tcBorders>
                    <w:top w:val="nil"/>
                    <w:left w:val="single" w:sz="4" w:space="0" w:color="auto"/>
                    <w:bottom w:val="nil"/>
                    <w:right w:val="nil"/>
                  </w:tcBorders>
                  <w:shd w:val="clear" w:color="auto" w:fill="E5DFEC"/>
                  <w:hideMark/>
                </w:tcPr>
                <w:p w14:paraId="10EE82E3" w14:textId="77777777" w:rsidR="00082E92" w:rsidRPr="00082E92" w:rsidRDefault="00082E92" w:rsidP="00082E92">
                  <w:pPr>
                    <w:spacing w:beforeLines="40" w:before="96" w:afterLines="40" w:after="96"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E-mail:</w:t>
                  </w:r>
                </w:p>
              </w:tc>
              <w:tc>
                <w:tcPr>
                  <w:tcW w:w="5763" w:type="dxa"/>
                  <w:tcBorders>
                    <w:top w:val="nil"/>
                    <w:left w:val="nil"/>
                    <w:bottom w:val="nil"/>
                    <w:right w:val="single" w:sz="4" w:space="0" w:color="auto"/>
                  </w:tcBorders>
                  <w:shd w:val="clear" w:color="auto" w:fill="E5DFEC"/>
                  <w:hideMark/>
                </w:tcPr>
                <w:p w14:paraId="291FF504" w14:textId="6B215FAA" w:rsidR="00082E92" w:rsidRPr="00082E92" w:rsidRDefault="008B21B7" w:rsidP="00082E92">
                  <w:pPr>
                    <w:spacing w:beforeLines="40" w:before="96" w:afterLines="40" w:after="96"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hung.lequoc1</w:t>
                  </w:r>
                  <w:bookmarkStart w:id="0" w:name="_GoBack"/>
                  <w:bookmarkEnd w:id="0"/>
                  <w:r w:rsidR="00082E92" w:rsidRPr="00082E92">
                    <w:rPr>
                      <w:rFonts w:ascii="Arial" w:eastAsia="Times New Roman" w:hAnsi="Arial" w:cs="Arial"/>
                      <w:sz w:val="20"/>
                      <w:szCs w:val="20"/>
                      <w:lang w:eastAsia="en-SG"/>
                    </w:rPr>
                    <w:t>@sbv.gov.vn</w:t>
                  </w:r>
                </w:p>
              </w:tc>
            </w:tr>
            <w:tr w:rsidR="00082E92" w:rsidRPr="00082E92" w14:paraId="6C234994" w14:textId="77777777">
              <w:tc>
                <w:tcPr>
                  <w:tcW w:w="3545" w:type="dxa"/>
                  <w:tcBorders>
                    <w:top w:val="nil"/>
                    <w:left w:val="single" w:sz="4" w:space="0" w:color="auto"/>
                    <w:bottom w:val="single" w:sz="4" w:space="0" w:color="auto"/>
                    <w:right w:val="nil"/>
                  </w:tcBorders>
                  <w:shd w:val="clear" w:color="auto" w:fill="FFFFFF"/>
                  <w:hideMark/>
                </w:tcPr>
                <w:p w14:paraId="169E659E"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5763" w:type="dxa"/>
                  <w:tcBorders>
                    <w:top w:val="nil"/>
                    <w:left w:val="nil"/>
                    <w:bottom w:val="single" w:sz="4" w:space="0" w:color="auto"/>
                    <w:right w:val="single" w:sz="4" w:space="0" w:color="auto"/>
                  </w:tcBorders>
                  <w:shd w:val="clear" w:color="auto" w:fill="FFFFFF"/>
                  <w:hideMark/>
                </w:tcPr>
                <w:p w14:paraId="55AD159F"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bl>
          <w:p w14:paraId="20CAA449"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76"/>
              <w:gridCol w:w="5580"/>
            </w:tblGrid>
            <w:tr w:rsidR="00082E92" w:rsidRPr="00082E92" w14:paraId="2C3DF6E5" w14:textId="77777777">
              <w:tc>
                <w:tcPr>
                  <w:tcW w:w="9308" w:type="dxa"/>
                  <w:gridSpan w:val="2"/>
                  <w:tcBorders>
                    <w:top w:val="single" w:sz="4" w:space="0" w:color="auto"/>
                    <w:left w:val="single" w:sz="4" w:space="0" w:color="auto"/>
                    <w:bottom w:val="nil"/>
                    <w:right w:val="single" w:sz="4" w:space="0" w:color="auto"/>
                  </w:tcBorders>
                  <w:shd w:val="clear" w:color="auto" w:fill="00FFFF"/>
                  <w:hideMark/>
                </w:tcPr>
                <w:p w14:paraId="190D3F31" w14:textId="77777777" w:rsidR="00082E92" w:rsidRPr="00082E92" w:rsidRDefault="00082E92" w:rsidP="00082E92">
                  <w:pPr>
                    <w:spacing w:before="60" w:after="60" w:line="264" w:lineRule="auto"/>
                    <w:jc w:val="center"/>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Đối tác liên hệ</w:t>
                  </w:r>
                </w:p>
              </w:tc>
            </w:tr>
            <w:tr w:rsidR="00082E92" w:rsidRPr="00082E92" w14:paraId="4957624E" w14:textId="77777777">
              <w:tc>
                <w:tcPr>
                  <w:tcW w:w="3545" w:type="dxa"/>
                  <w:tcBorders>
                    <w:top w:val="nil"/>
                    <w:left w:val="single" w:sz="4" w:space="0" w:color="auto"/>
                    <w:bottom w:val="nil"/>
                    <w:right w:val="nil"/>
                  </w:tcBorders>
                  <w:shd w:val="clear" w:color="auto" w:fill="E5DFEC"/>
                  <w:hideMark/>
                </w:tcPr>
                <w:p w14:paraId="60357C97"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b/>
                      <w:sz w:val="20"/>
                      <w:szCs w:val="20"/>
                      <w:lang w:eastAsia="en-SG"/>
                    </w:rPr>
                    <w:t>2.</w:t>
                  </w:r>
                  <w:r w:rsidRPr="00082E92">
                    <w:rPr>
                      <w:rFonts w:ascii="Arial" w:eastAsia="Times New Roman" w:hAnsi="Arial" w:cs="Arial"/>
                      <w:sz w:val="20"/>
                      <w:szCs w:val="20"/>
                      <w:lang w:eastAsia="en-SG"/>
                    </w:rPr>
                    <w:t xml:space="preserve"> Họ và tên:</w:t>
                  </w:r>
                </w:p>
              </w:tc>
              <w:tc>
                <w:tcPr>
                  <w:tcW w:w="5763" w:type="dxa"/>
                  <w:tcBorders>
                    <w:top w:val="nil"/>
                    <w:left w:val="nil"/>
                    <w:bottom w:val="nil"/>
                    <w:right w:val="single" w:sz="4" w:space="0" w:color="auto"/>
                  </w:tcBorders>
                  <w:shd w:val="clear" w:color="auto" w:fill="E5DFEC"/>
                  <w:hideMark/>
                </w:tcPr>
                <w:p w14:paraId="7EF99F0B"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Bà Hoàng Thị Quỳnh Mai</w:t>
                  </w:r>
                </w:p>
              </w:tc>
            </w:tr>
            <w:tr w:rsidR="00082E92" w:rsidRPr="00082E92" w14:paraId="66F4B8D5" w14:textId="77777777">
              <w:tc>
                <w:tcPr>
                  <w:tcW w:w="3545" w:type="dxa"/>
                  <w:tcBorders>
                    <w:top w:val="nil"/>
                    <w:left w:val="single" w:sz="4" w:space="0" w:color="auto"/>
                    <w:bottom w:val="nil"/>
                    <w:right w:val="nil"/>
                  </w:tcBorders>
                  <w:shd w:val="clear" w:color="auto" w:fill="FFFFFF"/>
                  <w:hideMark/>
                </w:tcPr>
                <w:p w14:paraId="3863272C"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Chức vụ:</w:t>
                  </w:r>
                </w:p>
              </w:tc>
              <w:tc>
                <w:tcPr>
                  <w:tcW w:w="5763" w:type="dxa"/>
                  <w:tcBorders>
                    <w:top w:val="nil"/>
                    <w:left w:val="nil"/>
                    <w:bottom w:val="nil"/>
                    <w:right w:val="single" w:sz="4" w:space="0" w:color="auto"/>
                  </w:tcBorders>
                  <w:shd w:val="clear" w:color="auto" w:fill="FFFFFF"/>
                  <w:hideMark/>
                </w:tcPr>
                <w:p w14:paraId="4EE29ED9"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Trưởng Phòng Cán cân thanh toán quốc tế</w:t>
                  </w:r>
                </w:p>
              </w:tc>
            </w:tr>
            <w:tr w:rsidR="00082E92" w:rsidRPr="00082E92" w14:paraId="3345F2EC" w14:textId="77777777">
              <w:tc>
                <w:tcPr>
                  <w:tcW w:w="3545" w:type="dxa"/>
                  <w:tcBorders>
                    <w:top w:val="nil"/>
                    <w:left w:val="single" w:sz="4" w:space="0" w:color="auto"/>
                    <w:bottom w:val="nil"/>
                    <w:right w:val="nil"/>
                  </w:tcBorders>
                  <w:shd w:val="clear" w:color="auto" w:fill="E5DFEC"/>
                  <w:hideMark/>
                </w:tcPr>
                <w:p w14:paraId="5563A097"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Cơ quan:</w:t>
                  </w:r>
                </w:p>
              </w:tc>
              <w:tc>
                <w:tcPr>
                  <w:tcW w:w="5763" w:type="dxa"/>
                  <w:tcBorders>
                    <w:top w:val="nil"/>
                    <w:left w:val="nil"/>
                    <w:bottom w:val="nil"/>
                    <w:right w:val="single" w:sz="4" w:space="0" w:color="auto"/>
                  </w:tcBorders>
                  <w:shd w:val="clear" w:color="auto" w:fill="E5DFEC"/>
                  <w:hideMark/>
                </w:tcPr>
                <w:p w14:paraId="6A149932"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Ngân hàng Nhà nước Việt Nam</w:t>
                  </w:r>
                </w:p>
              </w:tc>
            </w:tr>
            <w:tr w:rsidR="00082E92" w:rsidRPr="00082E92" w14:paraId="601364A3" w14:textId="77777777">
              <w:tc>
                <w:tcPr>
                  <w:tcW w:w="3545" w:type="dxa"/>
                  <w:tcBorders>
                    <w:top w:val="nil"/>
                    <w:left w:val="single" w:sz="4" w:space="0" w:color="auto"/>
                    <w:bottom w:val="nil"/>
                    <w:right w:val="nil"/>
                  </w:tcBorders>
                  <w:shd w:val="clear" w:color="auto" w:fill="FFFFFF"/>
                  <w:hideMark/>
                </w:tcPr>
                <w:p w14:paraId="1D8526D2"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Địa chỉ:</w:t>
                  </w:r>
                </w:p>
              </w:tc>
              <w:tc>
                <w:tcPr>
                  <w:tcW w:w="5763" w:type="dxa"/>
                  <w:tcBorders>
                    <w:top w:val="nil"/>
                    <w:left w:val="nil"/>
                    <w:bottom w:val="nil"/>
                    <w:right w:val="single" w:sz="4" w:space="0" w:color="auto"/>
                  </w:tcBorders>
                  <w:shd w:val="clear" w:color="auto" w:fill="auto"/>
                  <w:hideMark/>
                </w:tcPr>
                <w:p w14:paraId="182F0D06"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25 Lý Thường Kiệt, Hoàn Kiếm, Hà Nội, Việt Nam</w:t>
                  </w:r>
                </w:p>
              </w:tc>
            </w:tr>
            <w:tr w:rsidR="00082E92" w:rsidRPr="00082E92" w14:paraId="6724498B" w14:textId="77777777">
              <w:tc>
                <w:tcPr>
                  <w:tcW w:w="3545" w:type="dxa"/>
                  <w:tcBorders>
                    <w:top w:val="nil"/>
                    <w:left w:val="single" w:sz="4" w:space="0" w:color="auto"/>
                    <w:bottom w:val="nil"/>
                    <w:right w:val="nil"/>
                  </w:tcBorders>
                  <w:shd w:val="clear" w:color="auto" w:fill="E5DFEC"/>
                  <w:hideMark/>
                </w:tcPr>
                <w:p w14:paraId="6308A9A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Điện thoại:</w:t>
                  </w:r>
                </w:p>
              </w:tc>
              <w:tc>
                <w:tcPr>
                  <w:tcW w:w="5763" w:type="dxa"/>
                  <w:tcBorders>
                    <w:top w:val="nil"/>
                    <w:left w:val="nil"/>
                    <w:bottom w:val="nil"/>
                    <w:right w:val="single" w:sz="4" w:space="0" w:color="auto"/>
                  </w:tcBorders>
                  <w:shd w:val="clear" w:color="auto" w:fill="E5DFEC"/>
                  <w:hideMark/>
                </w:tcPr>
                <w:p w14:paraId="5E61C08A"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84-24-38268788</w:t>
                  </w:r>
                </w:p>
              </w:tc>
            </w:tr>
            <w:tr w:rsidR="00082E92" w:rsidRPr="00082E92" w14:paraId="759ABFDE" w14:textId="77777777">
              <w:tc>
                <w:tcPr>
                  <w:tcW w:w="3545" w:type="dxa"/>
                  <w:tcBorders>
                    <w:top w:val="nil"/>
                    <w:left w:val="single" w:sz="4" w:space="0" w:color="auto"/>
                    <w:bottom w:val="nil"/>
                    <w:right w:val="nil"/>
                  </w:tcBorders>
                  <w:shd w:val="clear" w:color="auto" w:fill="FFFFFF"/>
                  <w:hideMark/>
                </w:tcPr>
                <w:p w14:paraId="76264A69"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Fax:</w:t>
                  </w:r>
                </w:p>
              </w:tc>
              <w:tc>
                <w:tcPr>
                  <w:tcW w:w="5763" w:type="dxa"/>
                  <w:tcBorders>
                    <w:top w:val="nil"/>
                    <w:left w:val="nil"/>
                    <w:bottom w:val="nil"/>
                    <w:right w:val="single" w:sz="4" w:space="0" w:color="auto"/>
                  </w:tcBorders>
                  <w:shd w:val="clear" w:color="auto" w:fill="FFFFFF"/>
                  <w:hideMark/>
                </w:tcPr>
                <w:p w14:paraId="36019415" w14:textId="77777777" w:rsidR="00082E92" w:rsidRPr="00082E92" w:rsidRDefault="00082E92" w:rsidP="00082E92">
                  <w:pPr>
                    <w:spacing w:before="60" w:after="60"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84-24-38253640</w:t>
                  </w:r>
                </w:p>
              </w:tc>
            </w:tr>
            <w:tr w:rsidR="00082E92" w:rsidRPr="00082E92" w14:paraId="288782F4" w14:textId="77777777">
              <w:tc>
                <w:tcPr>
                  <w:tcW w:w="3545" w:type="dxa"/>
                  <w:tcBorders>
                    <w:top w:val="nil"/>
                    <w:left w:val="single" w:sz="4" w:space="0" w:color="auto"/>
                    <w:bottom w:val="nil"/>
                    <w:right w:val="nil"/>
                  </w:tcBorders>
                  <w:shd w:val="clear" w:color="auto" w:fill="E5DFEC"/>
                  <w:hideMark/>
                </w:tcPr>
                <w:p w14:paraId="4CBFAA79" w14:textId="77777777" w:rsidR="00082E92" w:rsidRPr="00082E92" w:rsidRDefault="00082E92" w:rsidP="00082E92">
                  <w:pPr>
                    <w:spacing w:beforeLines="40" w:before="96" w:afterLines="40" w:after="96"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 xml:space="preserve">    E-mail:</w:t>
                  </w:r>
                </w:p>
              </w:tc>
              <w:tc>
                <w:tcPr>
                  <w:tcW w:w="5763" w:type="dxa"/>
                  <w:tcBorders>
                    <w:top w:val="nil"/>
                    <w:left w:val="nil"/>
                    <w:bottom w:val="nil"/>
                    <w:right w:val="single" w:sz="4" w:space="0" w:color="auto"/>
                  </w:tcBorders>
                  <w:shd w:val="clear" w:color="auto" w:fill="E5DFEC"/>
                  <w:hideMark/>
                </w:tcPr>
                <w:p w14:paraId="6FFBC37D" w14:textId="77777777" w:rsidR="00082E92" w:rsidRPr="00082E92" w:rsidRDefault="00082E92" w:rsidP="00082E92">
                  <w:pPr>
                    <w:spacing w:beforeLines="40" w:before="96" w:afterLines="40" w:after="96" w:line="264" w:lineRule="auto"/>
                    <w:jc w:val="both"/>
                    <w:rPr>
                      <w:rFonts w:ascii="Times New Roman" w:eastAsia="Times New Roman" w:hAnsi="Times New Roman" w:cs="Times New Roman"/>
                      <w:sz w:val="24"/>
                      <w:szCs w:val="24"/>
                      <w:lang w:eastAsia="en-SG"/>
                    </w:rPr>
                  </w:pPr>
                  <w:r w:rsidRPr="00082E92">
                    <w:rPr>
                      <w:rFonts w:ascii="Arial" w:eastAsia="Times New Roman" w:hAnsi="Arial" w:cs="Arial"/>
                      <w:sz w:val="20"/>
                      <w:szCs w:val="20"/>
                      <w:lang w:eastAsia="en-SG"/>
                    </w:rPr>
                    <w:t>quynhmai_sbv@yahoo.com</w:t>
                  </w:r>
                </w:p>
              </w:tc>
            </w:tr>
            <w:tr w:rsidR="00082E92" w:rsidRPr="00082E92" w14:paraId="6A041A38" w14:textId="77777777">
              <w:tc>
                <w:tcPr>
                  <w:tcW w:w="3545" w:type="dxa"/>
                  <w:tcBorders>
                    <w:top w:val="nil"/>
                    <w:left w:val="single" w:sz="4" w:space="0" w:color="auto"/>
                    <w:bottom w:val="single" w:sz="4" w:space="0" w:color="auto"/>
                    <w:right w:val="nil"/>
                  </w:tcBorders>
                  <w:shd w:val="clear" w:color="auto" w:fill="FFFFFF"/>
                  <w:hideMark/>
                </w:tcPr>
                <w:p w14:paraId="71B79DE2" w14:textId="77777777" w:rsidR="00082E92" w:rsidRPr="00082E92" w:rsidRDefault="00082E92" w:rsidP="00082E92">
                  <w:pPr>
                    <w:keepNext/>
                    <w:keepLines/>
                    <w:spacing w:before="60" w:after="60" w:line="264" w:lineRule="auto"/>
                    <w:jc w:val="both"/>
                    <w:outlineLvl w:val="2"/>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c>
                <w:tcPr>
                  <w:tcW w:w="5763" w:type="dxa"/>
                  <w:tcBorders>
                    <w:top w:val="nil"/>
                    <w:left w:val="nil"/>
                    <w:bottom w:val="single" w:sz="4" w:space="0" w:color="auto"/>
                    <w:right w:val="single" w:sz="4" w:space="0" w:color="auto"/>
                  </w:tcBorders>
                  <w:shd w:val="clear" w:color="auto" w:fill="FFFFFF"/>
                  <w:hideMark/>
                </w:tcPr>
                <w:p w14:paraId="2C30DFBD" w14:textId="77777777" w:rsidR="00082E92" w:rsidRPr="00082E92" w:rsidRDefault="00082E92" w:rsidP="00082E92">
                  <w:pPr>
                    <w:keepNext/>
                    <w:keepLines/>
                    <w:spacing w:before="60" w:after="60" w:line="264" w:lineRule="auto"/>
                    <w:jc w:val="both"/>
                    <w:outlineLvl w:val="2"/>
                    <w:rPr>
                      <w:rFonts w:ascii="Times New Roman" w:eastAsia="Times New Roman" w:hAnsi="Times New Roman" w:cs="Times New Roman"/>
                      <w:sz w:val="24"/>
                      <w:szCs w:val="24"/>
                      <w:lang w:eastAsia="en-SG"/>
                    </w:rPr>
                  </w:pPr>
                  <w:r w:rsidRPr="00082E92">
                    <w:rPr>
                      <w:rFonts w:ascii="Arial" w:eastAsiaTheme="majorEastAsia" w:hAnsi="Arial" w:cs="Arial"/>
                      <w:b/>
                      <w:bCs/>
                      <w:sz w:val="20"/>
                      <w:szCs w:val="20"/>
                      <w:lang w:eastAsia="en-SG"/>
                    </w:rPr>
                    <w:t> </w:t>
                  </w:r>
                </w:p>
              </w:tc>
            </w:tr>
          </w:tbl>
          <w:p w14:paraId="3A6EB7E7" w14:textId="77777777" w:rsidR="00082E92" w:rsidRPr="00082E92" w:rsidRDefault="00082E92" w:rsidP="00082E92">
            <w:pPr>
              <w:spacing w:after="0" w:line="240" w:lineRule="auto"/>
              <w:rPr>
                <w:rFonts w:ascii="Times New Roman" w:eastAsia="Times New Roman" w:hAnsi="Times New Roman" w:cs="Times New Roman"/>
                <w:sz w:val="24"/>
                <w:szCs w:val="24"/>
                <w:lang w:eastAsia="en-SG"/>
              </w:rPr>
            </w:pPr>
          </w:p>
        </w:tc>
      </w:tr>
    </w:tbl>
    <w:p w14:paraId="2B352F84" w14:textId="77777777" w:rsidR="00FF0C30" w:rsidRDefault="00FF0C30"/>
    <w:sectPr w:rsidR="00FF0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92"/>
    <w:rsid w:val="00030671"/>
    <w:rsid w:val="00082E92"/>
    <w:rsid w:val="00291476"/>
    <w:rsid w:val="002B7BF1"/>
    <w:rsid w:val="00315106"/>
    <w:rsid w:val="00480014"/>
    <w:rsid w:val="004C5200"/>
    <w:rsid w:val="004D4976"/>
    <w:rsid w:val="00584FE0"/>
    <w:rsid w:val="005A7E4C"/>
    <w:rsid w:val="00600C1A"/>
    <w:rsid w:val="00653A24"/>
    <w:rsid w:val="00672539"/>
    <w:rsid w:val="006855D3"/>
    <w:rsid w:val="00724F49"/>
    <w:rsid w:val="007A59DC"/>
    <w:rsid w:val="008B21B7"/>
    <w:rsid w:val="009911E7"/>
    <w:rsid w:val="00A33F15"/>
    <w:rsid w:val="00B270B0"/>
    <w:rsid w:val="00C928BB"/>
    <w:rsid w:val="00EE02FD"/>
    <w:rsid w:val="00EF1BB7"/>
    <w:rsid w:val="00FF0B61"/>
    <w:rsid w:val="00FF0C3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B514"/>
  <w15:docId w15:val="{14F06F57-3499-426E-BA7A-40DA4EC5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9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style-span">
    <w:name w:val="apple-style-span"/>
    <w:basedOn w:val="DefaultParagraphFont"/>
    <w:rsid w:val="00082E92"/>
  </w:style>
  <w:style w:type="paragraph" w:styleId="NormalWeb">
    <w:name w:val="Normal (Web)"/>
    <w:basedOn w:val="Normal"/>
    <w:uiPriority w:val="99"/>
    <w:semiHidden/>
    <w:unhideWhenUsed/>
    <w:rsid w:val="00082E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60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2587-F9C0-43C7-BC24-E4CB8DA24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53AA3-651C-414F-9015-D4C2BEEB6C6E}">
  <ds:schemaRefs>
    <ds:schemaRef ds:uri="http://schemas.microsoft.com/sharepoint/v3/contenttype/forms"/>
  </ds:schemaRefs>
</ds:datastoreItem>
</file>

<file path=customXml/itemProps3.xml><?xml version="1.0" encoding="utf-8"?>
<ds:datastoreItem xmlns:ds="http://schemas.openxmlformats.org/officeDocument/2006/customXml" ds:itemID="{B03B28BC-1CEA-43F2-A386-769ECAED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Trinh Thi Mai Hoa (DBTK)</cp:lastModifiedBy>
  <cp:revision>6</cp:revision>
  <cp:lastPrinted>2019-05-10T02:07:00Z</cp:lastPrinted>
  <dcterms:created xsi:type="dcterms:W3CDTF">2021-11-29T09:33:00Z</dcterms:created>
  <dcterms:modified xsi:type="dcterms:W3CDTF">2024-07-11T05:05:00Z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