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645" w:rsidRPr="00AD3645" w:rsidRDefault="00AD3645" w:rsidP="009C07B4">
      <w:pPr>
        <w:spacing w:after="0"/>
        <w:jc w:val="center"/>
        <w:rPr>
          <w:rFonts w:ascii="Arial" w:hAnsi="Arial" w:cs="Arial"/>
          <w:sz w:val="20"/>
          <w:szCs w:val="20"/>
        </w:rPr>
      </w:pPr>
    </w:p>
    <w:p w:rsidR="00DC2666" w:rsidRPr="00AD3645" w:rsidRDefault="00F241A5" w:rsidP="00D819F6">
      <w:pPr>
        <w:spacing w:before="120" w:after="0"/>
        <w:ind w:firstLine="720"/>
        <w:jc w:val="both"/>
        <w:rPr>
          <w:rFonts w:ascii="Arial" w:hAnsi="Arial" w:cs="Arial"/>
          <w:sz w:val="20"/>
          <w:szCs w:val="20"/>
        </w:rPr>
      </w:pPr>
      <w:r w:rsidRPr="00AD3645">
        <w:rPr>
          <w:rFonts w:ascii="Arial" w:hAnsi="Arial" w:cs="Arial"/>
          <w:sz w:val="20"/>
          <w:szCs w:val="20"/>
        </w:rPr>
        <w:t xml:space="preserve">Ngày 27/6/2013 Chính phủ đã ban hành </w:t>
      </w:r>
      <w:r w:rsidR="00F222D5" w:rsidRPr="00AD3645">
        <w:rPr>
          <w:rFonts w:ascii="Arial" w:hAnsi="Arial" w:cs="Arial"/>
          <w:sz w:val="20"/>
          <w:szCs w:val="20"/>
        </w:rPr>
        <w:t>Nghị đị</w:t>
      </w:r>
      <w:r w:rsidR="005A4E81" w:rsidRPr="00AD3645">
        <w:rPr>
          <w:rFonts w:ascii="Arial" w:hAnsi="Arial" w:cs="Arial"/>
          <w:sz w:val="20"/>
          <w:szCs w:val="20"/>
        </w:rPr>
        <w:t>nh 65/2013/NĐ-CP quy định chi tiết một số điều của Luật thuế thu nhập cá nhân và Luật sửa đổi, bổ sung một số điều của Luật thuế thu nhập cá nhân</w:t>
      </w:r>
      <w:r w:rsidRPr="00AD3645">
        <w:rPr>
          <w:rFonts w:ascii="Arial" w:hAnsi="Arial" w:cs="Arial"/>
          <w:sz w:val="20"/>
          <w:szCs w:val="20"/>
        </w:rPr>
        <w:t xml:space="preserve"> (Nghị định 65). Nghị định này</w:t>
      </w:r>
      <w:r w:rsidR="005A4E81" w:rsidRPr="00AD3645">
        <w:rPr>
          <w:rFonts w:ascii="Arial" w:hAnsi="Arial" w:cs="Arial"/>
          <w:sz w:val="20"/>
          <w:szCs w:val="20"/>
        </w:rPr>
        <w:t xml:space="preserve"> </w:t>
      </w:r>
      <w:r w:rsidR="00F222D5" w:rsidRPr="00AD3645">
        <w:rPr>
          <w:rFonts w:ascii="Arial" w:hAnsi="Arial" w:cs="Arial"/>
          <w:sz w:val="20"/>
          <w:szCs w:val="20"/>
        </w:rPr>
        <w:t>có hiệu lực từ ngày</w:t>
      </w:r>
      <w:r w:rsidR="00AD3645" w:rsidRPr="00AD3645">
        <w:rPr>
          <w:rFonts w:ascii="Arial" w:hAnsi="Arial" w:cs="Arial"/>
          <w:sz w:val="20"/>
          <w:szCs w:val="20"/>
        </w:rPr>
        <w:t xml:space="preserve"> 01/</w:t>
      </w:r>
      <w:r w:rsidR="00F222D5" w:rsidRPr="00AD3645">
        <w:rPr>
          <w:rFonts w:ascii="Arial" w:hAnsi="Arial" w:cs="Arial"/>
          <w:sz w:val="20"/>
          <w:szCs w:val="20"/>
        </w:rPr>
        <w:t xml:space="preserve">7/2013. </w:t>
      </w:r>
      <w:r w:rsidR="009C07B4" w:rsidRPr="00AD3645">
        <w:rPr>
          <w:rFonts w:ascii="Arial" w:hAnsi="Arial" w:cs="Arial"/>
          <w:sz w:val="20"/>
          <w:szCs w:val="20"/>
        </w:rPr>
        <w:t xml:space="preserve">Nghị định </w:t>
      </w:r>
      <w:r w:rsidR="008C56EC" w:rsidRPr="00AD3645">
        <w:rPr>
          <w:rFonts w:ascii="Arial" w:hAnsi="Arial" w:cs="Arial"/>
          <w:sz w:val="20"/>
          <w:szCs w:val="20"/>
        </w:rPr>
        <w:t xml:space="preserve">65/2013/NĐ-CP </w:t>
      </w:r>
      <w:r w:rsidRPr="00AD3645">
        <w:rPr>
          <w:rFonts w:ascii="Arial" w:hAnsi="Arial" w:cs="Arial"/>
          <w:sz w:val="20"/>
          <w:szCs w:val="20"/>
        </w:rPr>
        <w:t xml:space="preserve">được ban hành để </w:t>
      </w:r>
      <w:r w:rsidR="00DC2666" w:rsidRPr="00AD3645">
        <w:rPr>
          <w:rFonts w:ascii="Arial" w:hAnsi="Arial" w:cs="Arial"/>
          <w:sz w:val="20"/>
          <w:szCs w:val="20"/>
        </w:rPr>
        <w:t xml:space="preserve">khắc phục những bất cập hiện nay về chính sách thuế </w:t>
      </w:r>
      <w:r w:rsidR="008C56EC" w:rsidRPr="00AD3645">
        <w:rPr>
          <w:rFonts w:ascii="Arial" w:hAnsi="Arial" w:cs="Arial"/>
          <w:sz w:val="20"/>
          <w:szCs w:val="20"/>
        </w:rPr>
        <w:t>TNCN</w:t>
      </w:r>
      <w:r w:rsidR="00DC2666" w:rsidRPr="00AD3645">
        <w:rPr>
          <w:rFonts w:ascii="Arial" w:hAnsi="Arial" w:cs="Arial"/>
          <w:sz w:val="20"/>
          <w:szCs w:val="20"/>
        </w:rPr>
        <w:t>; góp phần đảm bảo tính đồng bộ trong hệ thống pháp luật, phù hợp với quy định của Luật quản lý thuế và các văn bản pháp luật hiện hành; tạo thuận lợi cho người nộp thuế và cơ quan quản lý thuế trong quá trình thực hiện pháp luật.</w:t>
      </w:r>
      <w:r w:rsidRPr="00AD3645">
        <w:rPr>
          <w:rFonts w:ascii="Arial" w:hAnsi="Arial" w:cs="Arial"/>
          <w:sz w:val="20"/>
          <w:szCs w:val="20"/>
        </w:rPr>
        <w:t xml:space="preserve"> </w:t>
      </w:r>
      <w:r w:rsidR="00D819F6" w:rsidRPr="00AD3645">
        <w:rPr>
          <w:rFonts w:ascii="Arial" w:hAnsi="Arial" w:cs="Arial"/>
          <w:sz w:val="20"/>
          <w:szCs w:val="20"/>
        </w:rPr>
        <w:t xml:space="preserve">Để góp phần làm rõ nội dung của Nghị định quan trọng này, bài viết dưới đây xin được giới thiệu các thay đổi chủ yếu của </w:t>
      </w:r>
      <w:r w:rsidR="00DC2666" w:rsidRPr="00AD3645">
        <w:rPr>
          <w:rFonts w:ascii="Arial" w:hAnsi="Arial" w:cs="Arial"/>
          <w:sz w:val="20"/>
          <w:szCs w:val="20"/>
        </w:rPr>
        <w:t>Nghị định 65</w:t>
      </w:r>
      <w:r w:rsidR="00AD3645" w:rsidRPr="00AD3645">
        <w:rPr>
          <w:rFonts w:ascii="Arial" w:hAnsi="Arial" w:cs="Arial"/>
          <w:sz w:val="20"/>
          <w:szCs w:val="20"/>
          <w:lang w:val="vi-VN"/>
        </w:rPr>
        <w:t xml:space="preserve"> nêu trên</w:t>
      </w:r>
      <w:r w:rsidR="00D819F6" w:rsidRPr="00AD3645">
        <w:rPr>
          <w:rFonts w:ascii="Arial" w:hAnsi="Arial" w:cs="Arial"/>
          <w:sz w:val="20"/>
          <w:szCs w:val="20"/>
        </w:rPr>
        <w:t xml:space="preserve">. </w:t>
      </w:r>
    </w:p>
    <w:p w:rsidR="00414BBB" w:rsidRPr="00AD3645" w:rsidRDefault="00414BBB" w:rsidP="00B33188">
      <w:pPr>
        <w:spacing w:before="120" w:after="0"/>
        <w:ind w:firstLine="720"/>
        <w:jc w:val="both"/>
        <w:rPr>
          <w:rFonts w:ascii="Arial" w:hAnsi="Arial" w:cs="Arial"/>
          <w:sz w:val="20"/>
          <w:szCs w:val="20"/>
        </w:rPr>
      </w:pPr>
      <w:r w:rsidRPr="00AD3645">
        <w:rPr>
          <w:rFonts w:ascii="Arial" w:hAnsi="Arial" w:cs="Arial"/>
          <w:b/>
          <w:sz w:val="20"/>
          <w:szCs w:val="20"/>
        </w:rPr>
        <w:t xml:space="preserve">1. Về đối tượng nộp thuế </w:t>
      </w:r>
    </w:p>
    <w:p w:rsidR="004C42CD" w:rsidRPr="00AD3645" w:rsidRDefault="00F241A5" w:rsidP="00B33188">
      <w:pPr>
        <w:spacing w:after="0"/>
        <w:ind w:firstLine="720"/>
        <w:jc w:val="both"/>
        <w:rPr>
          <w:rFonts w:ascii="Arial" w:hAnsi="Arial" w:cs="Arial"/>
          <w:sz w:val="20"/>
          <w:szCs w:val="20"/>
        </w:rPr>
      </w:pPr>
      <w:r w:rsidRPr="00AD3645">
        <w:rPr>
          <w:rFonts w:ascii="Arial" w:hAnsi="Arial" w:cs="Arial"/>
          <w:sz w:val="20"/>
          <w:szCs w:val="20"/>
        </w:rPr>
        <w:t xml:space="preserve">Nghị định 65 </w:t>
      </w:r>
      <w:r w:rsidR="002F173B" w:rsidRPr="00AD3645">
        <w:rPr>
          <w:rFonts w:ascii="Arial" w:hAnsi="Arial" w:cs="Arial"/>
          <w:sz w:val="20"/>
          <w:szCs w:val="20"/>
        </w:rPr>
        <w:t>s</w:t>
      </w:r>
      <w:r w:rsidR="00660FB4" w:rsidRPr="00AD3645">
        <w:rPr>
          <w:rFonts w:ascii="Arial" w:hAnsi="Arial" w:cs="Arial"/>
          <w:sz w:val="20"/>
          <w:szCs w:val="20"/>
        </w:rPr>
        <w:t xml:space="preserve">ửa đổi tiêu chí về thời gian thuê nhà </w:t>
      </w:r>
      <w:r w:rsidR="00680B9A" w:rsidRPr="00AD3645">
        <w:rPr>
          <w:rFonts w:ascii="Arial" w:hAnsi="Arial" w:cs="Arial"/>
          <w:sz w:val="20"/>
          <w:szCs w:val="20"/>
        </w:rPr>
        <w:t xml:space="preserve">để ở tại Việt Nam </w:t>
      </w:r>
      <w:r w:rsidR="00660FB4" w:rsidRPr="00AD3645">
        <w:rPr>
          <w:rFonts w:ascii="Arial" w:hAnsi="Arial" w:cs="Arial"/>
          <w:sz w:val="20"/>
          <w:szCs w:val="20"/>
        </w:rPr>
        <w:t xml:space="preserve">của cá nhân </w:t>
      </w:r>
      <w:r w:rsidR="00757442" w:rsidRPr="00AD3645">
        <w:rPr>
          <w:rFonts w:ascii="Arial" w:hAnsi="Arial" w:cs="Arial"/>
          <w:sz w:val="20"/>
          <w:szCs w:val="20"/>
        </w:rPr>
        <w:t xml:space="preserve">cư trú </w:t>
      </w:r>
      <w:r w:rsidR="004C42CD" w:rsidRPr="00AD3645">
        <w:rPr>
          <w:rFonts w:ascii="Arial" w:hAnsi="Arial" w:cs="Arial"/>
          <w:sz w:val="20"/>
          <w:szCs w:val="20"/>
        </w:rPr>
        <w:t>lên thành 183 ngày</w:t>
      </w:r>
      <w:r w:rsidR="003E552C" w:rsidRPr="00AD3645">
        <w:rPr>
          <w:rFonts w:ascii="Arial" w:hAnsi="Arial" w:cs="Arial"/>
          <w:sz w:val="20"/>
          <w:szCs w:val="20"/>
        </w:rPr>
        <w:t xml:space="preserve"> so với 90 ngày như trước đây</w:t>
      </w:r>
      <w:r w:rsidR="0010577F" w:rsidRPr="00AD3645">
        <w:rPr>
          <w:rFonts w:ascii="Arial" w:hAnsi="Arial" w:cs="Arial"/>
          <w:sz w:val="20"/>
          <w:szCs w:val="20"/>
        </w:rPr>
        <w:t xml:space="preserve">. Bên cạnh đó, </w:t>
      </w:r>
      <w:r w:rsidR="00660FB4" w:rsidRPr="00AD3645">
        <w:rPr>
          <w:rFonts w:ascii="Arial" w:hAnsi="Arial" w:cs="Arial"/>
          <w:sz w:val="20"/>
          <w:szCs w:val="20"/>
        </w:rPr>
        <w:t>t</w:t>
      </w:r>
      <w:r w:rsidR="004C42CD" w:rsidRPr="00AD3645">
        <w:rPr>
          <w:rFonts w:ascii="Arial" w:hAnsi="Arial" w:cs="Arial"/>
          <w:sz w:val="20"/>
          <w:szCs w:val="20"/>
        </w:rPr>
        <w:t>rường hợp cá nhân có nơi ở thường xuyên tại Việt Nam</w:t>
      </w:r>
      <w:r w:rsidR="00C71EF2" w:rsidRPr="00AD3645">
        <w:rPr>
          <w:rFonts w:ascii="Arial" w:hAnsi="Arial" w:cs="Arial"/>
          <w:sz w:val="20"/>
          <w:szCs w:val="20"/>
        </w:rPr>
        <w:t xml:space="preserve"> nhưng thực tế có mặt tại Việt Nam dưới</w:t>
      </w:r>
      <w:r w:rsidR="00383884" w:rsidRPr="00AD3645">
        <w:rPr>
          <w:rFonts w:ascii="Arial" w:hAnsi="Arial" w:cs="Arial"/>
          <w:sz w:val="20"/>
          <w:szCs w:val="20"/>
        </w:rPr>
        <w:t xml:space="preserve"> 183 ngày trong năm tính thuế mà không chứng minh được là đối tượng cư trú</w:t>
      </w:r>
      <w:r w:rsidR="00842234" w:rsidRPr="00AD3645">
        <w:rPr>
          <w:rFonts w:ascii="Arial" w:hAnsi="Arial" w:cs="Arial"/>
          <w:sz w:val="20"/>
          <w:szCs w:val="20"/>
        </w:rPr>
        <w:t xml:space="preserve"> của nước khác thì được quy định là đối tượng cư trú tại Việt Nam cho mục đích tính thuế.</w:t>
      </w:r>
      <w:r w:rsidR="004C42CD" w:rsidRPr="00AD3645">
        <w:rPr>
          <w:rFonts w:ascii="Arial" w:hAnsi="Arial" w:cs="Arial"/>
          <w:sz w:val="20"/>
          <w:szCs w:val="20"/>
        </w:rPr>
        <w:t xml:space="preserve"> </w:t>
      </w:r>
    </w:p>
    <w:p w:rsidR="00414BBB" w:rsidRPr="00AD3645" w:rsidRDefault="00414BBB" w:rsidP="00B33188">
      <w:pPr>
        <w:spacing w:before="120" w:after="0"/>
        <w:ind w:firstLine="720"/>
        <w:jc w:val="both"/>
        <w:rPr>
          <w:rFonts w:ascii="Arial" w:hAnsi="Arial" w:cs="Arial"/>
          <w:sz w:val="20"/>
          <w:szCs w:val="20"/>
        </w:rPr>
      </w:pPr>
      <w:r w:rsidRPr="00AD3645">
        <w:rPr>
          <w:rFonts w:ascii="Arial" w:hAnsi="Arial" w:cs="Arial"/>
          <w:b/>
          <w:sz w:val="20"/>
          <w:szCs w:val="20"/>
        </w:rPr>
        <w:t xml:space="preserve">2. Về </w:t>
      </w:r>
      <w:r w:rsidR="00757442" w:rsidRPr="00AD3645">
        <w:rPr>
          <w:rFonts w:ascii="Arial" w:hAnsi="Arial" w:cs="Arial"/>
          <w:b/>
          <w:sz w:val="20"/>
          <w:szCs w:val="20"/>
        </w:rPr>
        <w:t>thu nhập chịu thuế</w:t>
      </w:r>
    </w:p>
    <w:p w:rsidR="002F173B" w:rsidRPr="00AD3645" w:rsidRDefault="002F173B" w:rsidP="00B33188">
      <w:pPr>
        <w:spacing w:after="0"/>
        <w:ind w:firstLine="720"/>
        <w:jc w:val="both"/>
        <w:rPr>
          <w:rFonts w:ascii="Arial" w:hAnsi="Arial" w:cs="Arial"/>
          <w:sz w:val="20"/>
          <w:szCs w:val="20"/>
        </w:rPr>
      </w:pPr>
      <w:r w:rsidRPr="00AD3645">
        <w:rPr>
          <w:rFonts w:ascii="Arial" w:hAnsi="Arial" w:cs="Arial"/>
          <w:sz w:val="20"/>
          <w:szCs w:val="20"/>
        </w:rPr>
        <w:t xml:space="preserve">Nghị định 65 đã có nhiều thay đổi về tính thu nhập chịu thuế, cụ thể: </w:t>
      </w:r>
    </w:p>
    <w:p w:rsidR="006F4DF7" w:rsidRPr="00AD3645" w:rsidRDefault="002F173B" w:rsidP="00B33188">
      <w:pPr>
        <w:spacing w:after="0"/>
        <w:ind w:firstLine="720"/>
        <w:jc w:val="both"/>
        <w:rPr>
          <w:rFonts w:ascii="Arial" w:hAnsi="Arial" w:cs="Arial"/>
          <w:sz w:val="20"/>
          <w:szCs w:val="20"/>
        </w:rPr>
      </w:pPr>
      <w:r w:rsidRPr="00AD3645">
        <w:rPr>
          <w:rFonts w:ascii="Arial" w:hAnsi="Arial" w:cs="Arial"/>
          <w:b/>
          <w:i/>
          <w:sz w:val="20"/>
          <w:szCs w:val="20"/>
        </w:rPr>
        <w:t>Thứ nhất,</w:t>
      </w:r>
      <w:r w:rsidR="00934470" w:rsidRPr="00AD3645">
        <w:rPr>
          <w:rFonts w:ascii="Arial" w:hAnsi="Arial" w:cs="Arial"/>
          <w:b/>
          <w:i/>
          <w:sz w:val="20"/>
          <w:szCs w:val="20"/>
        </w:rPr>
        <w:t xml:space="preserve"> </w:t>
      </w:r>
      <w:r w:rsidRPr="00AD3645">
        <w:rPr>
          <w:rFonts w:ascii="Arial" w:hAnsi="Arial" w:cs="Arial"/>
          <w:i/>
          <w:sz w:val="20"/>
          <w:szCs w:val="20"/>
        </w:rPr>
        <w:t>b</w:t>
      </w:r>
      <w:r w:rsidR="00842234" w:rsidRPr="00AD3645">
        <w:rPr>
          <w:rFonts w:ascii="Arial" w:hAnsi="Arial" w:cs="Arial"/>
          <w:i/>
          <w:sz w:val="20"/>
          <w:szCs w:val="20"/>
        </w:rPr>
        <w:t xml:space="preserve">ổ sung các khoản phụ </w:t>
      </w:r>
      <w:r w:rsidR="00542FB4" w:rsidRPr="00AD3645">
        <w:rPr>
          <w:rFonts w:ascii="Arial" w:hAnsi="Arial" w:cs="Arial"/>
          <w:i/>
          <w:sz w:val="20"/>
          <w:szCs w:val="20"/>
        </w:rPr>
        <w:t>cấp, trợ cấp không tính vào thu nhập từ tiền lương, tiền công mà người lao động nhận được từ người sử dụng lao động</w:t>
      </w:r>
      <w:r w:rsidR="00757442" w:rsidRPr="00AD3645">
        <w:rPr>
          <w:rFonts w:ascii="Arial" w:hAnsi="Arial" w:cs="Arial"/>
          <w:i/>
          <w:sz w:val="20"/>
          <w:szCs w:val="20"/>
        </w:rPr>
        <w:t xml:space="preserve"> </w:t>
      </w:r>
      <w:r w:rsidRPr="00AD3645">
        <w:rPr>
          <w:rFonts w:ascii="Arial" w:hAnsi="Arial" w:cs="Arial"/>
          <w:sz w:val="20"/>
          <w:szCs w:val="20"/>
        </w:rPr>
        <w:t>bao gồm:  (</w:t>
      </w:r>
      <w:r w:rsidR="00414BBB" w:rsidRPr="00AD3645">
        <w:rPr>
          <w:rFonts w:ascii="Arial" w:hAnsi="Arial" w:cs="Arial"/>
          <w:sz w:val="20"/>
          <w:szCs w:val="20"/>
        </w:rPr>
        <w:t xml:space="preserve">i) </w:t>
      </w:r>
      <w:r w:rsidR="00B51991" w:rsidRPr="00AD3645">
        <w:rPr>
          <w:rFonts w:ascii="Arial" w:hAnsi="Arial" w:cs="Arial"/>
          <w:sz w:val="20"/>
          <w:szCs w:val="20"/>
        </w:rPr>
        <w:t>Trợ cấp hàng tháng, trợ cấp một lần đối với các đối tượng tham gia kháng chiến, bảo vệ tổ quốc, làm nhiệm vụ quốc tế, thanh niên xung phong đã hoàn thành nhiệm vụ;</w:t>
      </w:r>
      <w:r w:rsidRPr="00AD3645">
        <w:rPr>
          <w:rFonts w:ascii="Arial" w:hAnsi="Arial" w:cs="Arial"/>
          <w:sz w:val="20"/>
          <w:szCs w:val="20"/>
        </w:rPr>
        <w:t xml:space="preserve"> (</w:t>
      </w:r>
      <w:r w:rsidR="00414BBB" w:rsidRPr="00AD3645">
        <w:rPr>
          <w:rFonts w:ascii="Arial" w:hAnsi="Arial" w:cs="Arial"/>
          <w:sz w:val="20"/>
          <w:szCs w:val="20"/>
        </w:rPr>
        <w:t>ii)</w:t>
      </w:r>
      <w:r w:rsidR="006F4DF7" w:rsidRPr="00AD3645">
        <w:rPr>
          <w:rFonts w:ascii="Arial" w:hAnsi="Arial" w:cs="Arial"/>
          <w:sz w:val="20"/>
          <w:szCs w:val="20"/>
        </w:rPr>
        <w:t xml:space="preserve"> </w:t>
      </w:r>
      <w:r w:rsidR="00B51991" w:rsidRPr="00AD3645">
        <w:rPr>
          <w:rFonts w:ascii="Arial" w:hAnsi="Arial" w:cs="Arial"/>
          <w:sz w:val="20"/>
          <w:szCs w:val="20"/>
        </w:rPr>
        <w:t>Phụ cấp phục vụ của lãnh đạo cao cấp theo quy định của pháp luật;</w:t>
      </w:r>
      <w:r w:rsidRPr="00AD3645">
        <w:rPr>
          <w:rFonts w:ascii="Arial" w:hAnsi="Arial" w:cs="Arial"/>
          <w:sz w:val="20"/>
          <w:szCs w:val="20"/>
        </w:rPr>
        <w:t xml:space="preserve"> (</w:t>
      </w:r>
      <w:r w:rsidR="00414BBB" w:rsidRPr="00AD3645">
        <w:rPr>
          <w:rFonts w:ascii="Arial" w:hAnsi="Arial" w:cs="Arial"/>
          <w:sz w:val="20"/>
          <w:szCs w:val="20"/>
        </w:rPr>
        <w:t>iii)</w:t>
      </w:r>
      <w:r w:rsidR="00B51991" w:rsidRPr="00AD3645">
        <w:rPr>
          <w:rFonts w:ascii="Arial" w:hAnsi="Arial" w:cs="Arial"/>
          <w:sz w:val="20"/>
          <w:szCs w:val="20"/>
        </w:rPr>
        <w:t xml:space="preserve">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w:t>
      </w:r>
      <w:r w:rsidR="006F4DF7" w:rsidRPr="00AD3645">
        <w:rPr>
          <w:rFonts w:ascii="Arial" w:hAnsi="Arial" w:cs="Arial"/>
          <w:sz w:val="20"/>
          <w:szCs w:val="20"/>
        </w:rPr>
        <w:t>t;</w:t>
      </w:r>
      <w:r w:rsidRPr="00AD3645">
        <w:rPr>
          <w:rFonts w:ascii="Arial" w:hAnsi="Arial" w:cs="Arial"/>
          <w:sz w:val="20"/>
          <w:szCs w:val="20"/>
        </w:rPr>
        <w:t xml:space="preserve"> (</w:t>
      </w:r>
      <w:r w:rsidR="006F4DF7" w:rsidRPr="00AD3645">
        <w:rPr>
          <w:rFonts w:ascii="Arial" w:hAnsi="Arial" w:cs="Arial"/>
          <w:sz w:val="20"/>
          <w:szCs w:val="20"/>
        </w:rPr>
        <w:t>iv)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w:t>
      </w:r>
      <w:r w:rsidRPr="00AD3645">
        <w:rPr>
          <w:rFonts w:ascii="Arial" w:hAnsi="Arial" w:cs="Arial"/>
          <w:sz w:val="20"/>
          <w:szCs w:val="20"/>
        </w:rPr>
        <w:t xml:space="preserve"> (</w:t>
      </w:r>
      <w:r w:rsidR="006F4DF7" w:rsidRPr="00AD3645">
        <w:rPr>
          <w:rFonts w:ascii="Arial" w:hAnsi="Arial" w:cs="Arial"/>
          <w:sz w:val="20"/>
          <w:szCs w:val="20"/>
        </w:rPr>
        <w:t>v)  Phụ cấp đối với nhân viên y tế thôn, bản;</w:t>
      </w:r>
      <w:r w:rsidRPr="00AD3645">
        <w:rPr>
          <w:rFonts w:ascii="Arial" w:hAnsi="Arial" w:cs="Arial"/>
          <w:sz w:val="20"/>
          <w:szCs w:val="20"/>
        </w:rPr>
        <w:t xml:space="preserve"> (</w:t>
      </w:r>
      <w:r w:rsidR="006F4DF7" w:rsidRPr="00AD3645">
        <w:rPr>
          <w:rFonts w:ascii="Arial" w:hAnsi="Arial" w:cs="Arial"/>
          <w:sz w:val="20"/>
          <w:szCs w:val="20"/>
        </w:rPr>
        <w:t>vi) Phụ cấp đặc thù ngành nghề</w:t>
      </w:r>
      <w:r w:rsidRPr="00AD3645">
        <w:rPr>
          <w:rFonts w:ascii="Arial" w:hAnsi="Arial" w:cs="Arial"/>
          <w:sz w:val="20"/>
          <w:szCs w:val="20"/>
        </w:rPr>
        <w:t>.</w:t>
      </w:r>
    </w:p>
    <w:p w:rsidR="00B51991" w:rsidRPr="00AD3645" w:rsidRDefault="002F173B" w:rsidP="00B33188">
      <w:pPr>
        <w:spacing w:before="120" w:after="0"/>
        <w:ind w:firstLine="720"/>
        <w:jc w:val="both"/>
        <w:rPr>
          <w:rFonts w:ascii="Arial" w:hAnsi="Arial" w:cs="Arial"/>
          <w:b/>
          <w:sz w:val="20"/>
          <w:szCs w:val="20"/>
        </w:rPr>
      </w:pPr>
      <w:r w:rsidRPr="00AD3645">
        <w:rPr>
          <w:rFonts w:ascii="Arial" w:hAnsi="Arial" w:cs="Arial"/>
          <w:b/>
          <w:i/>
          <w:sz w:val="20"/>
          <w:szCs w:val="20"/>
        </w:rPr>
        <w:t>Thứ hai,</w:t>
      </w:r>
      <w:r w:rsidRPr="00AD3645">
        <w:rPr>
          <w:rFonts w:ascii="Arial" w:hAnsi="Arial" w:cs="Arial"/>
          <w:b/>
          <w:sz w:val="20"/>
          <w:szCs w:val="20"/>
        </w:rPr>
        <w:t xml:space="preserve"> </w:t>
      </w:r>
      <w:r w:rsidRPr="00AD3645">
        <w:rPr>
          <w:rFonts w:ascii="Arial" w:hAnsi="Arial" w:cs="Arial"/>
          <w:i/>
          <w:sz w:val="20"/>
          <w:szCs w:val="20"/>
        </w:rPr>
        <w:t>b</w:t>
      </w:r>
      <w:r w:rsidR="00B51991" w:rsidRPr="00AD3645">
        <w:rPr>
          <w:rFonts w:ascii="Arial" w:hAnsi="Arial" w:cs="Arial"/>
          <w:i/>
          <w:sz w:val="20"/>
          <w:szCs w:val="20"/>
        </w:rPr>
        <w:t xml:space="preserve">ổ sung </w:t>
      </w:r>
      <w:r w:rsidRPr="00AD3645">
        <w:rPr>
          <w:rFonts w:ascii="Arial" w:hAnsi="Arial" w:cs="Arial"/>
          <w:i/>
          <w:sz w:val="20"/>
          <w:szCs w:val="20"/>
        </w:rPr>
        <w:t xml:space="preserve">vào thu nhập chịu thuế </w:t>
      </w:r>
      <w:r w:rsidR="00B51991" w:rsidRPr="00AD3645">
        <w:rPr>
          <w:rFonts w:ascii="Arial" w:hAnsi="Arial" w:cs="Arial"/>
          <w:i/>
          <w:sz w:val="20"/>
          <w:szCs w:val="20"/>
        </w:rPr>
        <w:t>các khoản lợi ích ngoài tiền lương, tiền công do người sử dụng lao động trả mà người nộp thuế được hưởng dưới mọi hình thứ</w:t>
      </w:r>
      <w:r w:rsidR="00757442" w:rsidRPr="00AD3645">
        <w:rPr>
          <w:rFonts w:ascii="Arial" w:hAnsi="Arial" w:cs="Arial"/>
          <w:i/>
          <w:sz w:val="20"/>
          <w:szCs w:val="20"/>
        </w:rPr>
        <w:t>c</w:t>
      </w:r>
      <w:r w:rsidRPr="00AD3645">
        <w:rPr>
          <w:rFonts w:ascii="Arial" w:hAnsi="Arial" w:cs="Arial"/>
          <w:i/>
          <w:sz w:val="20"/>
          <w:szCs w:val="20"/>
        </w:rPr>
        <w:t xml:space="preserve">. </w:t>
      </w:r>
    </w:p>
    <w:p w:rsidR="004E0342" w:rsidRPr="00AD3645" w:rsidRDefault="00B51991" w:rsidP="00B33188">
      <w:pPr>
        <w:spacing w:after="0"/>
        <w:ind w:firstLine="720"/>
        <w:jc w:val="both"/>
        <w:rPr>
          <w:rFonts w:ascii="Arial" w:hAnsi="Arial" w:cs="Arial"/>
          <w:sz w:val="20"/>
          <w:szCs w:val="20"/>
        </w:rPr>
      </w:pPr>
      <w:r w:rsidRPr="00AD3645">
        <w:rPr>
          <w:rFonts w:ascii="Arial" w:hAnsi="Arial" w:cs="Arial"/>
          <w:sz w:val="20"/>
          <w:szCs w:val="20"/>
        </w:rPr>
        <w:t>Khoản tiề</w:t>
      </w:r>
      <w:r w:rsidR="004E0342" w:rsidRPr="00AD3645">
        <w:rPr>
          <w:rFonts w:ascii="Arial" w:hAnsi="Arial" w:cs="Arial"/>
          <w:sz w:val="20"/>
          <w:szCs w:val="20"/>
        </w:rPr>
        <w:t>n phí tích lũy mua bảo hiểm nhân thọ, bảo hiểm không bắt buộc khác, tiền tích lũy đóng góp quỹ hưu trí tự nguyện, do người sử dụ</w:t>
      </w:r>
      <w:r w:rsidR="00AD3645" w:rsidRPr="00AD3645">
        <w:rPr>
          <w:rFonts w:ascii="Arial" w:hAnsi="Arial" w:cs="Arial"/>
          <w:sz w:val="20"/>
          <w:szCs w:val="20"/>
        </w:rPr>
        <w:t xml:space="preserve">ng lao </w:t>
      </w:r>
      <w:r w:rsidR="00AD3645" w:rsidRPr="00AD3645">
        <w:rPr>
          <w:rFonts w:ascii="Arial" w:hAnsi="Arial" w:cs="Arial"/>
          <w:sz w:val="20"/>
          <w:szCs w:val="20"/>
          <w:lang w:val="vi-VN"/>
        </w:rPr>
        <w:t xml:space="preserve">động </w:t>
      </w:r>
      <w:r w:rsidR="004E0342" w:rsidRPr="00AD3645">
        <w:rPr>
          <w:rFonts w:ascii="Arial" w:hAnsi="Arial" w:cs="Arial"/>
          <w:sz w:val="20"/>
          <w:szCs w:val="20"/>
        </w:rPr>
        <w:t>mua hoặc đóng góp cho người lao động.</w:t>
      </w:r>
      <w:r w:rsidR="002F173B" w:rsidRPr="00AD3645">
        <w:rPr>
          <w:rFonts w:ascii="Arial" w:hAnsi="Arial" w:cs="Arial"/>
          <w:sz w:val="20"/>
          <w:szCs w:val="20"/>
        </w:rPr>
        <w:t xml:space="preserve"> </w:t>
      </w:r>
      <w:r w:rsidR="004E0342" w:rsidRPr="00AD3645">
        <w:rPr>
          <w:rFonts w:ascii="Arial" w:hAnsi="Arial" w:cs="Arial"/>
          <w:sz w:val="20"/>
          <w:szCs w:val="20"/>
        </w:rPr>
        <w:t>Các khoản lợi ích này sẽ được tính thuế</w:t>
      </w:r>
      <w:r w:rsidR="00D501C3" w:rsidRPr="00AD3645">
        <w:rPr>
          <w:rFonts w:ascii="Arial" w:hAnsi="Arial" w:cs="Arial"/>
          <w:sz w:val="20"/>
          <w:szCs w:val="20"/>
        </w:rPr>
        <w:t xml:space="preserve"> khi cá nhân</w:t>
      </w:r>
      <w:r w:rsidR="004E0342" w:rsidRPr="00AD3645">
        <w:rPr>
          <w:rFonts w:ascii="Arial" w:hAnsi="Arial" w:cs="Arial"/>
          <w:sz w:val="20"/>
          <w:szCs w:val="20"/>
        </w:rPr>
        <w:t xml:space="preserve"> nhận</w:t>
      </w:r>
      <w:r w:rsidR="00D501C3" w:rsidRPr="00AD3645">
        <w:rPr>
          <w:rFonts w:ascii="Arial" w:hAnsi="Arial" w:cs="Arial"/>
          <w:sz w:val="20"/>
          <w:szCs w:val="20"/>
        </w:rPr>
        <w:t xml:space="preserve"> từ doanh nghiệp bảo hiểm, công ty quản lý, quỹ hưu trí tự nguyện thông qua hình thức khấu trừ thuế trước khi các đơn vị này trả tiền bảo hiểm, lương hưu cho cá nhân. (theo tỉ lệ</w:t>
      </w:r>
      <w:r w:rsidR="004E0342" w:rsidRPr="00AD3645">
        <w:rPr>
          <w:rFonts w:ascii="Arial" w:hAnsi="Arial" w:cs="Arial"/>
          <w:sz w:val="20"/>
          <w:szCs w:val="20"/>
        </w:rPr>
        <w:t xml:space="preserve"> </w:t>
      </w:r>
      <w:r w:rsidR="00D501C3" w:rsidRPr="00AD3645">
        <w:rPr>
          <w:rFonts w:ascii="Arial" w:hAnsi="Arial" w:cs="Arial"/>
          <w:sz w:val="20"/>
          <w:szCs w:val="20"/>
        </w:rPr>
        <w:t>10% đối với khoản tiền phí tích lũy, tiền tích lũy phí đóng góp tương ứng với phần người sử dụng lao động mua hoặc đóng góp cho người lao động từ</w:t>
      </w:r>
      <w:r w:rsidR="00AD3645" w:rsidRPr="00AD3645">
        <w:rPr>
          <w:rFonts w:ascii="Arial" w:hAnsi="Arial" w:cs="Arial"/>
          <w:sz w:val="20"/>
          <w:szCs w:val="20"/>
        </w:rPr>
        <w:t xml:space="preserve"> ngày 01/</w:t>
      </w:r>
      <w:r w:rsidR="00D501C3" w:rsidRPr="00AD3645">
        <w:rPr>
          <w:rFonts w:ascii="Arial" w:hAnsi="Arial" w:cs="Arial"/>
          <w:sz w:val="20"/>
          <w:szCs w:val="20"/>
        </w:rPr>
        <w:t>7/2013).</w:t>
      </w:r>
    </w:p>
    <w:p w:rsidR="00B51991" w:rsidRPr="00AD3645" w:rsidRDefault="002F173B" w:rsidP="002F173B">
      <w:pPr>
        <w:spacing w:before="120" w:after="0"/>
        <w:ind w:firstLine="720"/>
        <w:jc w:val="both"/>
        <w:rPr>
          <w:rFonts w:ascii="Arial" w:hAnsi="Arial" w:cs="Arial"/>
          <w:sz w:val="20"/>
          <w:szCs w:val="20"/>
        </w:rPr>
      </w:pPr>
      <w:r w:rsidRPr="00AD3645">
        <w:rPr>
          <w:rFonts w:ascii="Arial" w:hAnsi="Arial" w:cs="Arial"/>
          <w:b/>
          <w:i/>
          <w:sz w:val="20"/>
          <w:szCs w:val="20"/>
        </w:rPr>
        <w:t xml:space="preserve">Thứ ba, </w:t>
      </w:r>
      <w:r w:rsidRPr="00AD3645">
        <w:rPr>
          <w:rFonts w:ascii="Arial" w:hAnsi="Arial" w:cs="Arial"/>
          <w:i/>
          <w:sz w:val="20"/>
          <w:szCs w:val="20"/>
        </w:rPr>
        <w:t>b</w:t>
      </w:r>
      <w:r w:rsidR="00B51991" w:rsidRPr="00AD3645">
        <w:rPr>
          <w:rFonts w:ascii="Arial" w:hAnsi="Arial" w:cs="Arial"/>
          <w:i/>
          <w:sz w:val="20"/>
          <w:szCs w:val="20"/>
        </w:rPr>
        <w:t>ổ sung các khoản thu nhập không tính vào thu nhập chịu thuế</w:t>
      </w:r>
      <w:r w:rsidR="006A1589" w:rsidRPr="00AD3645">
        <w:rPr>
          <w:rFonts w:ascii="Arial" w:hAnsi="Arial" w:cs="Arial"/>
          <w:sz w:val="20"/>
          <w:szCs w:val="20"/>
        </w:rPr>
        <w:t xml:space="preserve"> </w:t>
      </w:r>
      <w:r w:rsidR="008C56EC" w:rsidRPr="00AD3645">
        <w:rPr>
          <w:rFonts w:ascii="Arial" w:hAnsi="Arial" w:cs="Arial"/>
          <w:i/>
          <w:sz w:val="20"/>
          <w:szCs w:val="20"/>
        </w:rPr>
        <w:t xml:space="preserve"> </w:t>
      </w:r>
      <w:r w:rsidR="008C56EC" w:rsidRPr="00AD3645">
        <w:rPr>
          <w:rFonts w:ascii="Arial" w:hAnsi="Arial" w:cs="Arial"/>
          <w:sz w:val="20"/>
          <w:szCs w:val="20"/>
        </w:rPr>
        <w:t>gồm:</w:t>
      </w:r>
      <w:r w:rsidRPr="00AD3645">
        <w:rPr>
          <w:rFonts w:ascii="Arial" w:hAnsi="Arial" w:cs="Arial"/>
          <w:sz w:val="20"/>
          <w:szCs w:val="20"/>
        </w:rPr>
        <w:t xml:space="preserve"> (</w:t>
      </w:r>
      <w:r w:rsidR="0010577F" w:rsidRPr="00AD3645">
        <w:rPr>
          <w:rFonts w:ascii="Arial" w:hAnsi="Arial" w:cs="Arial"/>
          <w:sz w:val="20"/>
          <w:szCs w:val="20"/>
        </w:rPr>
        <w:t xml:space="preserve">i) </w:t>
      </w:r>
      <w:r w:rsidR="00B51991" w:rsidRPr="00AD3645">
        <w:rPr>
          <w:rFonts w:ascii="Arial" w:hAnsi="Arial" w:cs="Arial"/>
          <w:sz w:val="20"/>
          <w:szCs w:val="20"/>
        </w:rPr>
        <w:t>Khoản hỗ trợ của người sử dụng lao động cho việc khám chữa bệnh hiểm nghèo cho bản thân người lao động và thân nhân (bố, mẹ, vợ/chồng, con) của người lao độ</w:t>
      </w:r>
      <w:r w:rsidR="0010577F" w:rsidRPr="00AD3645">
        <w:rPr>
          <w:rFonts w:ascii="Arial" w:hAnsi="Arial" w:cs="Arial"/>
          <w:sz w:val="20"/>
          <w:szCs w:val="20"/>
        </w:rPr>
        <w:t>ng.</w:t>
      </w:r>
      <w:r w:rsidRPr="00AD3645">
        <w:rPr>
          <w:rFonts w:ascii="Arial" w:hAnsi="Arial" w:cs="Arial"/>
          <w:sz w:val="20"/>
          <w:szCs w:val="20"/>
        </w:rPr>
        <w:t xml:space="preserve"> (</w:t>
      </w:r>
      <w:r w:rsidR="00B51991" w:rsidRPr="00AD3645">
        <w:rPr>
          <w:rFonts w:ascii="Arial" w:hAnsi="Arial" w:cs="Arial"/>
          <w:sz w:val="20"/>
          <w:szCs w:val="20"/>
        </w:rPr>
        <w:t>ii)</w:t>
      </w:r>
      <w:r w:rsidRPr="00AD3645">
        <w:rPr>
          <w:rFonts w:ascii="Arial" w:hAnsi="Arial" w:cs="Arial"/>
          <w:sz w:val="20"/>
          <w:szCs w:val="20"/>
        </w:rPr>
        <w:t xml:space="preserve"> </w:t>
      </w:r>
      <w:r w:rsidR="00B51991" w:rsidRPr="00AD3645">
        <w:rPr>
          <w:rFonts w:ascii="Arial" w:hAnsi="Arial" w:cs="Arial"/>
          <w:sz w:val="20"/>
          <w:szCs w:val="20"/>
        </w:rPr>
        <w:t>Khoản tiền nhận được theo chế độ liên quan đến sử dụng phương tiện đi lại trong cơ quan nhà nước, đơn vị sự nghiệp công lậ</w:t>
      </w:r>
      <w:r w:rsidR="00AD3645" w:rsidRPr="00AD3645">
        <w:rPr>
          <w:rFonts w:ascii="Arial" w:hAnsi="Arial" w:cs="Arial"/>
          <w:sz w:val="20"/>
          <w:szCs w:val="20"/>
        </w:rPr>
        <w:t>p</w:t>
      </w:r>
      <w:r w:rsidR="00AD3645" w:rsidRPr="00AD3645">
        <w:rPr>
          <w:rFonts w:ascii="Arial" w:hAnsi="Arial" w:cs="Arial"/>
          <w:sz w:val="20"/>
          <w:szCs w:val="20"/>
          <w:lang w:val="vi-VN"/>
        </w:rPr>
        <w:t>,</w:t>
      </w:r>
      <w:r w:rsidR="00B51991" w:rsidRPr="00AD3645">
        <w:rPr>
          <w:rFonts w:ascii="Arial" w:hAnsi="Arial" w:cs="Arial"/>
          <w:sz w:val="20"/>
          <w:szCs w:val="20"/>
        </w:rPr>
        <w:t xml:space="preserve"> tổ chức đảng, đoàn thể;</w:t>
      </w:r>
      <w:r w:rsidRPr="00AD3645">
        <w:rPr>
          <w:rFonts w:ascii="Arial" w:hAnsi="Arial" w:cs="Arial"/>
          <w:sz w:val="20"/>
          <w:szCs w:val="20"/>
        </w:rPr>
        <w:t xml:space="preserve"> (</w:t>
      </w:r>
      <w:r w:rsidR="00B51991" w:rsidRPr="00AD3645">
        <w:rPr>
          <w:rFonts w:ascii="Arial" w:hAnsi="Arial" w:cs="Arial"/>
          <w:sz w:val="20"/>
          <w:szCs w:val="20"/>
        </w:rPr>
        <w:t>iii)</w:t>
      </w:r>
      <w:r w:rsidR="0010577F" w:rsidRPr="00AD3645">
        <w:rPr>
          <w:rFonts w:ascii="Arial" w:hAnsi="Arial" w:cs="Arial"/>
          <w:sz w:val="20"/>
          <w:szCs w:val="20"/>
        </w:rPr>
        <w:t xml:space="preserve"> </w:t>
      </w:r>
      <w:r w:rsidR="00B51991" w:rsidRPr="00AD3645">
        <w:rPr>
          <w:rFonts w:ascii="Arial" w:hAnsi="Arial" w:cs="Arial"/>
          <w:sz w:val="20"/>
          <w:szCs w:val="20"/>
        </w:rPr>
        <w:t>Khoản tiền nhận được theo chế độ nhà ở công vụ theo quy định của pháp luật;</w:t>
      </w:r>
      <w:r w:rsidRPr="00AD3645">
        <w:rPr>
          <w:rFonts w:ascii="Arial" w:hAnsi="Arial" w:cs="Arial"/>
          <w:sz w:val="20"/>
          <w:szCs w:val="20"/>
        </w:rPr>
        <w:t xml:space="preserve"> (</w:t>
      </w:r>
      <w:r w:rsidR="00B51991" w:rsidRPr="00AD3645">
        <w:rPr>
          <w:rFonts w:ascii="Arial" w:hAnsi="Arial" w:cs="Arial"/>
          <w:sz w:val="20"/>
          <w:szCs w:val="20"/>
        </w:rPr>
        <w:t>iv) Các khoản nhận được ngoài tiền lương, tiền công do tham gia, phục vụ hoạt động của đảng, đoàn, Quốc hội hoặc xây dựng văn bản quy phạm pháp luật của Nhà nước;</w:t>
      </w:r>
      <w:r w:rsidRPr="00AD3645">
        <w:rPr>
          <w:rFonts w:ascii="Arial" w:hAnsi="Arial" w:cs="Arial"/>
          <w:sz w:val="20"/>
          <w:szCs w:val="20"/>
        </w:rPr>
        <w:t xml:space="preserve"> (</w:t>
      </w:r>
      <w:r w:rsidR="00B51991" w:rsidRPr="00AD3645">
        <w:rPr>
          <w:rFonts w:ascii="Arial" w:hAnsi="Arial" w:cs="Arial"/>
          <w:sz w:val="20"/>
          <w:szCs w:val="20"/>
        </w:rPr>
        <w:t>v) Khoản tiền ăn giữa ca do người sử dụng lao động chi cho người lao động không vượt qua mức quy định của Bộ Lao động – Thương binh và Xã hội</w:t>
      </w:r>
      <w:r w:rsidRPr="00AD3645">
        <w:rPr>
          <w:rFonts w:ascii="Arial" w:hAnsi="Arial" w:cs="Arial"/>
          <w:sz w:val="20"/>
          <w:szCs w:val="20"/>
        </w:rPr>
        <w:t>; (</w:t>
      </w:r>
      <w:r w:rsidR="00B51991" w:rsidRPr="00AD3645">
        <w:rPr>
          <w:rFonts w:ascii="Arial" w:hAnsi="Arial" w:cs="Arial"/>
          <w:sz w:val="20"/>
          <w:szCs w:val="20"/>
        </w:rPr>
        <w:t>vi) Khoản tiền mua vé máy bay khứ hồi do người sử dụng lao động trả hộ (hoặc thanh toán) cho người lao động là người nước ngoài, người lao động là người Việt Nam làm việc ở nước ngoài về phép mỗi năm một lần;</w:t>
      </w:r>
      <w:r w:rsidRPr="00AD3645">
        <w:rPr>
          <w:rFonts w:ascii="Arial" w:hAnsi="Arial" w:cs="Arial"/>
          <w:sz w:val="20"/>
          <w:szCs w:val="20"/>
        </w:rPr>
        <w:t xml:space="preserve"> (</w:t>
      </w:r>
      <w:r w:rsidR="00B51991" w:rsidRPr="00AD3645">
        <w:rPr>
          <w:rFonts w:ascii="Arial" w:hAnsi="Arial" w:cs="Arial"/>
          <w:sz w:val="20"/>
          <w:szCs w:val="20"/>
        </w:rPr>
        <w:t>vii) Khoản tiền học phí cho con của người lao động nước ngoài học tại Việt Nam, con của người lao động Việt Nam đang làm việc ở nước ngoài học tại nước ngoài theo bậc học từ mầm non đến trung học phổ thông do người sử dụng lao động trả hộ.</w:t>
      </w:r>
    </w:p>
    <w:p w:rsidR="00B51991" w:rsidRPr="00AD3645" w:rsidRDefault="002F173B" w:rsidP="00B33188">
      <w:pPr>
        <w:spacing w:before="120" w:after="0"/>
        <w:ind w:firstLine="720"/>
        <w:jc w:val="both"/>
        <w:rPr>
          <w:rFonts w:ascii="Arial" w:hAnsi="Arial" w:cs="Arial"/>
          <w:b/>
          <w:sz w:val="20"/>
          <w:szCs w:val="20"/>
        </w:rPr>
      </w:pPr>
      <w:r w:rsidRPr="00AD3645">
        <w:rPr>
          <w:rFonts w:ascii="Arial" w:hAnsi="Arial" w:cs="Arial"/>
          <w:b/>
          <w:i/>
          <w:sz w:val="20"/>
          <w:szCs w:val="20"/>
        </w:rPr>
        <w:t>Thứ tư,</w:t>
      </w:r>
      <w:r w:rsidR="00D501C3" w:rsidRPr="00AD3645">
        <w:rPr>
          <w:rFonts w:ascii="Arial" w:hAnsi="Arial" w:cs="Arial"/>
          <w:b/>
          <w:sz w:val="20"/>
          <w:szCs w:val="20"/>
        </w:rPr>
        <w:t xml:space="preserve"> </w:t>
      </w:r>
      <w:r w:rsidR="00D501C3" w:rsidRPr="00AD3645">
        <w:rPr>
          <w:rFonts w:ascii="Arial" w:hAnsi="Arial" w:cs="Arial"/>
          <w:i/>
          <w:sz w:val="20"/>
          <w:szCs w:val="20"/>
        </w:rPr>
        <w:t xml:space="preserve">Bổ sung </w:t>
      </w:r>
      <w:r w:rsidR="00941275" w:rsidRPr="00AD3645">
        <w:rPr>
          <w:rFonts w:ascii="Arial" w:hAnsi="Arial" w:cs="Arial"/>
          <w:i/>
          <w:sz w:val="20"/>
          <w:szCs w:val="20"/>
        </w:rPr>
        <w:t xml:space="preserve">thu nhập </w:t>
      </w:r>
      <w:r w:rsidR="00325128" w:rsidRPr="00AD3645">
        <w:rPr>
          <w:rFonts w:ascii="Arial" w:hAnsi="Arial" w:cs="Arial"/>
          <w:i/>
          <w:sz w:val="20"/>
          <w:szCs w:val="20"/>
        </w:rPr>
        <w:t xml:space="preserve">phải chịu thuế </w:t>
      </w:r>
      <w:r w:rsidR="00941275" w:rsidRPr="00AD3645">
        <w:rPr>
          <w:rFonts w:ascii="Arial" w:hAnsi="Arial" w:cs="Arial"/>
          <w:i/>
          <w:sz w:val="20"/>
          <w:szCs w:val="20"/>
        </w:rPr>
        <w:t>từ chuyển nhượng bất động sản</w:t>
      </w:r>
      <w:r w:rsidR="00941275" w:rsidRPr="00AD3645">
        <w:rPr>
          <w:rFonts w:ascii="Arial" w:hAnsi="Arial" w:cs="Arial"/>
          <w:sz w:val="20"/>
          <w:szCs w:val="20"/>
        </w:rPr>
        <w:t xml:space="preserve"> </w:t>
      </w:r>
      <w:r w:rsidRPr="00AD3645">
        <w:rPr>
          <w:rFonts w:ascii="Arial" w:hAnsi="Arial" w:cs="Arial"/>
          <w:sz w:val="20"/>
          <w:szCs w:val="20"/>
        </w:rPr>
        <w:t>.</w:t>
      </w:r>
    </w:p>
    <w:p w:rsidR="003863FF" w:rsidRPr="00AD3645" w:rsidRDefault="002F173B" w:rsidP="00B33188">
      <w:pPr>
        <w:spacing w:after="0"/>
        <w:ind w:firstLine="720"/>
        <w:jc w:val="both"/>
        <w:rPr>
          <w:rFonts w:ascii="Arial" w:hAnsi="Arial" w:cs="Arial"/>
          <w:sz w:val="20"/>
          <w:szCs w:val="20"/>
        </w:rPr>
      </w:pPr>
      <w:r w:rsidRPr="00AD3645">
        <w:rPr>
          <w:rFonts w:ascii="Arial" w:hAnsi="Arial" w:cs="Arial"/>
          <w:sz w:val="20"/>
          <w:szCs w:val="20"/>
        </w:rPr>
        <w:lastRenderedPageBreak/>
        <w:t>T</w:t>
      </w:r>
      <w:r w:rsidR="00941275" w:rsidRPr="00AD3645">
        <w:rPr>
          <w:rFonts w:ascii="Arial" w:hAnsi="Arial" w:cs="Arial"/>
          <w:sz w:val="20"/>
          <w:szCs w:val="20"/>
        </w:rPr>
        <w:t>hu nhập từ hoạt động chuyển nhượng nhà ở, công trình xây dự</w:t>
      </w:r>
      <w:r w:rsidR="00116427" w:rsidRPr="00AD3645">
        <w:rPr>
          <w:rFonts w:ascii="Arial" w:hAnsi="Arial" w:cs="Arial"/>
          <w:sz w:val="20"/>
          <w:szCs w:val="20"/>
        </w:rPr>
        <w:t xml:space="preserve">ng hình thành trong tương lai </w:t>
      </w:r>
      <w:r w:rsidRPr="00AD3645">
        <w:rPr>
          <w:rFonts w:ascii="Arial" w:hAnsi="Arial" w:cs="Arial"/>
          <w:sz w:val="20"/>
          <w:szCs w:val="20"/>
        </w:rPr>
        <w:t xml:space="preserve">được tính là </w:t>
      </w:r>
      <w:r w:rsidR="00116427" w:rsidRPr="00AD3645">
        <w:rPr>
          <w:rFonts w:ascii="Arial" w:hAnsi="Arial" w:cs="Arial"/>
          <w:sz w:val="20"/>
          <w:szCs w:val="20"/>
        </w:rPr>
        <w:t>thu nhập chịu thuế từ chuyển nhượng bất động sản.</w:t>
      </w:r>
      <w:r w:rsidRPr="00AD3645">
        <w:rPr>
          <w:rFonts w:ascii="Arial" w:hAnsi="Arial" w:cs="Arial"/>
          <w:sz w:val="20"/>
          <w:szCs w:val="20"/>
        </w:rPr>
        <w:t xml:space="preserve"> </w:t>
      </w:r>
      <w:r w:rsidR="003863FF" w:rsidRPr="00AD3645">
        <w:rPr>
          <w:rFonts w:ascii="Arial" w:hAnsi="Arial" w:cs="Arial"/>
          <w:sz w:val="20"/>
          <w:szCs w:val="20"/>
        </w:rPr>
        <w:t xml:space="preserve">Việc ủy quyền quản lý bất động sản mà người được ủy quyền có quyền chuyển nhượng bất động sản hoặc có quyền như người sở hữu bất động sản </w:t>
      </w:r>
      <w:r w:rsidR="00DF62A2" w:rsidRPr="00AD3645">
        <w:rPr>
          <w:rFonts w:ascii="Arial" w:hAnsi="Arial" w:cs="Arial"/>
          <w:sz w:val="20"/>
          <w:szCs w:val="20"/>
        </w:rPr>
        <w:t xml:space="preserve">theo quy định của pháp luật mà có phát sinh thu nhập thì phải chịu thuế </w:t>
      </w:r>
      <w:r w:rsidR="008C56EC" w:rsidRPr="00AD3645">
        <w:rPr>
          <w:rFonts w:ascii="Arial" w:hAnsi="Arial" w:cs="Arial"/>
          <w:sz w:val="20"/>
          <w:szCs w:val="20"/>
        </w:rPr>
        <w:t>TNCN</w:t>
      </w:r>
      <w:r w:rsidR="00DF62A2" w:rsidRPr="00AD3645">
        <w:rPr>
          <w:rFonts w:ascii="Arial" w:hAnsi="Arial" w:cs="Arial"/>
          <w:sz w:val="20"/>
          <w:szCs w:val="20"/>
        </w:rPr>
        <w:t>.</w:t>
      </w:r>
      <w:r w:rsidR="003863FF" w:rsidRPr="00AD3645">
        <w:rPr>
          <w:rFonts w:ascii="Arial" w:hAnsi="Arial" w:cs="Arial"/>
          <w:sz w:val="20"/>
          <w:szCs w:val="20"/>
        </w:rPr>
        <w:t xml:space="preserve"> </w:t>
      </w:r>
    </w:p>
    <w:p w:rsidR="00414BBB" w:rsidRPr="00AD3645" w:rsidRDefault="00757442" w:rsidP="00B33188">
      <w:pPr>
        <w:spacing w:before="120" w:after="0"/>
        <w:ind w:firstLine="720"/>
        <w:jc w:val="both"/>
        <w:rPr>
          <w:rFonts w:ascii="Arial" w:hAnsi="Arial" w:cs="Arial"/>
          <w:b/>
          <w:sz w:val="20"/>
          <w:szCs w:val="20"/>
        </w:rPr>
      </w:pPr>
      <w:r w:rsidRPr="00AD3645">
        <w:rPr>
          <w:rFonts w:ascii="Arial" w:hAnsi="Arial" w:cs="Arial"/>
          <w:b/>
          <w:sz w:val="20"/>
          <w:szCs w:val="20"/>
        </w:rPr>
        <w:t>3</w:t>
      </w:r>
      <w:r w:rsidR="00414BBB" w:rsidRPr="00AD3645">
        <w:rPr>
          <w:rFonts w:ascii="Arial" w:hAnsi="Arial" w:cs="Arial"/>
          <w:b/>
          <w:sz w:val="20"/>
          <w:szCs w:val="20"/>
        </w:rPr>
        <w:t>. Về các khoản thu nhập được miễn thuế</w:t>
      </w:r>
      <w:r w:rsidRPr="00AD3645">
        <w:rPr>
          <w:rFonts w:ascii="Arial" w:hAnsi="Arial" w:cs="Arial"/>
          <w:b/>
          <w:sz w:val="20"/>
          <w:szCs w:val="20"/>
        </w:rPr>
        <w:t xml:space="preserve"> </w:t>
      </w:r>
    </w:p>
    <w:p w:rsidR="00483E02" w:rsidRPr="00AD3645" w:rsidRDefault="002F173B" w:rsidP="00B33188">
      <w:pPr>
        <w:spacing w:after="0"/>
        <w:ind w:firstLine="720"/>
        <w:jc w:val="both"/>
        <w:rPr>
          <w:rFonts w:ascii="Arial" w:hAnsi="Arial" w:cs="Arial"/>
          <w:sz w:val="20"/>
          <w:szCs w:val="20"/>
        </w:rPr>
      </w:pPr>
      <w:r w:rsidRPr="00AD3645">
        <w:rPr>
          <w:rFonts w:ascii="Arial" w:hAnsi="Arial" w:cs="Arial"/>
          <w:sz w:val="20"/>
          <w:szCs w:val="20"/>
        </w:rPr>
        <w:t>Nghị định 65 đã b</w:t>
      </w:r>
      <w:r w:rsidR="00934470" w:rsidRPr="00AD3645">
        <w:rPr>
          <w:rFonts w:ascii="Arial" w:hAnsi="Arial" w:cs="Arial"/>
          <w:sz w:val="20"/>
          <w:szCs w:val="20"/>
        </w:rPr>
        <w:t xml:space="preserve">ổ sung các khoản thu nhập </w:t>
      </w:r>
      <w:r w:rsidRPr="00AD3645">
        <w:rPr>
          <w:rFonts w:ascii="Arial" w:hAnsi="Arial" w:cs="Arial"/>
          <w:sz w:val="20"/>
          <w:szCs w:val="20"/>
        </w:rPr>
        <w:t>được m</w:t>
      </w:r>
      <w:r w:rsidR="00934470" w:rsidRPr="00AD3645">
        <w:rPr>
          <w:rFonts w:ascii="Arial" w:hAnsi="Arial" w:cs="Arial"/>
          <w:sz w:val="20"/>
          <w:szCs w:val="20"/>
        </w:rPr>
        <w:t>iễn thuế</w:t>
      </w:r>
      <w:r w:rsidRPr="00AD3645">
        <w:rPr>
          <w:rFonts w:ascii="Arial" w:hAnsi="Arial" w:cs="Arial"/>
          <w:sz w:val="20"/>
          <w:szCs w:val="20"/>
        </w:rPr>
        <w:t xml:space="preserve"> bao </w:t>
      </w:r>
      <w:r w:rsidR="00B33188" w:rsidRPr="00AD3645">
        <w:rPr>
          <w:rFonts w:ascii="Arial" w:hAnsi="Arial" w:cs="Arial"/>
          <w:sz w:val="20"/>
          <w:szCs w:val="20"/>
        </w:rPr>
        <w:t>gồm:</w:t>
      </w:r>
      <w:r w:rsidRPr="00AD3645">
        <w:rPr>
          <w:rFonts w:ascii="Arial" w:hAnsi="Arial" w:cs="Arial"/>
          <w:sz w:val="20"/>
          <w:szCs w:val="20"/>
        </w:rPr>
        <w:t xml:space="preserve"> (i) </w:t>
      </w:r>
      <w:r w:rsidR="00116427" w:rsidRPr="00AD3645">
        <w:rPr>
          <w:rFonts w:ascii="Arial" w:hAnsi="Arial" w:cs="Arial"/>
          <w:sz w:val="20"/>
          <w:szCs w:val="20"/>
        </w:rPr>
        <w:t>T</w:t>
      </w:r>
      <w:r w:rsidR="00DF62A2" w:rsidRPr="00AD3645">
        <w:rPr>
          <w:rFonts w:ascii="Arial" w:hAnsi="Arial" w:cs="Arial"/>
          <w:sz w:val="20"/>
          <w:szCs w:val="20"/>
        </w:rPr>
        <w:t>hu nhậ</w:t>
      </w:r>
      <w:r w:rsidR="00CE4A80" w:rsidRPr="00AD3645">
        <w:rPr>
          <w:rFonts w:ascii="Arial" w:hAnsi="Arial" w:cs="Arial"/>
          <w:sz w:val="20"/>
          <w:szCs w:val="20"/>
        </w:rPr>
        <w:t>p từ chuyển nhượng</w:t>
      </w:r>
      <w:r w:rsidR="00934470" w:rsidRPr="00AD3645">
        <w:rPr>
          <w:rFonts w:ascii="Arial" w:hAnsi="Arial" w:cs="Arial"/>
          <w:sz w:val="20"/>
          <w:szCs w:val="20"/>
        </w:rPr>
        <w:t>; Thu nhập từ nhận thừa kế, quà tặng là</w:t>
      </w:r>
      <w:r w:rsidR="00CE4A80" w:rsidRPr="00AD3645">
        <w:rPr>
          <w:rFonts w:ascii="Arial" w:hAnsi="Arial" w:cs="Arial"/>
          <w:sz w:val="20"/>
          <w:szCs w:val="20"/>
        </w:rPr>
        <w:t xml:space="preserve"> </w:t>
      </w:r>
      <w:r w:rsidR="00934470" w:rsidRPr="00AD3645">
        <w:rPr>
          <w:rFonts w:ascii="Arial" w:hAnsi="Arial" w:cs="Arial"/>
          <w:sz w:val="20"/>
          <w:szCs w:val="20"/>
        </w:rPr>
        <w:t xml:space="preserve">nhà ở, công trình xây dựng hình thành trong tương lai </w:t>
      </w:r>
      <w:r w:rsidR="00CE4A80" w:rsidRPr="00AD3645">
        <w:rPr>
          <w:rFonts w:ascii="Arial" w:hAnsi="Arial" w:cs="Arial"/>
          <w:sz w:val="20"/>
          <w:szCs w:val="20"/>
        </w:rPr>
        <w:t>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r w:rsidRPr="00AD3645">
        <w:rPr>
          <w:rFonts w:ascii="Arial" w:hAnsi="Arial" w:cs="Arial"/>
          <w:sz w:val="20"/>
          <w:szCs w:val="20"/>
        </w:rPr>
        <w:t xml:space="preserve"> (ii) </w:t>
      </w:r>
      <w:r w:rsidR="00116427" w:rsidRPr="00AD3645">
        <w:rPr>
          <w:rFonts w:ascii="Arial" w:hAnsi="Arial" w:cs="Arial"/>
          <w:sz w:val="20"/>
          <w:szCs w:val="20"/>
        </w:rPr>
        <w:t>T</w:t>
      </w:r>
      <w:r w:rsidR="00643020" w:rsidRPr="00AD3645">
        <w:rPr>
          <w:rFonts w:ascii="Arial" w:hAnsi="Arial" w:cs="Arial"/>
          <w:sz w:val="20"/>
          <w:szCs w:val="20"/>
        </w:rPr>
        <w:t>iền bồi thường hợp đồng bảo hiểm sức khỏe</w:t>
      </w:r>
      <w:r w:rsidR="00DC3DEB" w:rsidRPr="00AD3645">
        <w:rPr>
          <w:rFonts w:ascii="Arial" w:hAnsi="Arial" w:cs="Arial"/>
          <w:sz w:val="20"/>
          <w:szCs w:val="20"/>
        </w:rPr>
        <w:t>.</w:t>
      </w:r>
    </w:p>
    <w:p w:rsidR="000366D4" w:rsidRPr="00AD3645" w:rsidRDefault="00757442" w:rsidP="00B33188">
      <w:pPr>
        <w:spacing w:before="120" w:after="0"/>
        <w:ind w:firstLine="720"/>
        <w:jc w:val="both"/>
        <w:rPr>
          <w:rFonts w:ascii="Arial" w:hAnsi="Arial" w:cs="Arial"/>
          <w:b/>
          <w:sz w:val="20"/>
          <w:szCs w:val="20"/>
        </w:rPr>
      </w:pPr>
      <w:r w:rsidRPr="00AD3645">
        <w:rPr>
          <w:rFonts w:ascii="Arial" w:hAnsi="Arial" w:cs="Arial"/>
          <w:b/>
          <w:sz w:val="20"/>
          <w:szCs w:val="20"/>
        </w:rPr>
        <w:t>4.</w:t>
      </w:r>
      <w:r w:rsidR="002206FE" w:rsidRPr="00AD3645">
        <w:rPr>
          <w:rFonts w:ascii="Arial" w:hAnsi="Arial" w:cs="Arial"/>
          <w:b/>
          <w:sz w:val="20"/>
          <w:szCs w:val="20"/>
        </w:rPr>
        <w:t xml:space="preserve"> </w:t>
      </w:r>
      <w:r w:rsidR="000366D4" w:rsidRPr="00AD3645">
        <w:rPr>
          <w:rFonts w:ascii="Arial" w:hAnsi="Arial" w:cs="Arial"/>
          <w:b/>
          <w:sz w:val="20"/>
          <w:szCs w:val="20"/>
        </w:rPr>
        <w:t>Về giảm trừ gia cảnh</w:t>
      </w:r>
    </w:p>
    <w:p w:rsidR="002F173B" w:rsidRPr="00AD3645" w:rsidRDefault="002F173B" w:rsidP="00B33188">
      <w:pPr>
        <w:spacing w:after="0"/>
        <w:ind w:firstLine="720"/>
        <w:jc w:val="both"/>
        <w:rPr>
          <w:rFonts w:ascii="Arial" w:hAnsi="Arial" w:cs="Arial"/>
          <w:sz w:val="20"/>
          <w:szCs w:val="20"/>
        </w:rPr>
      </w:pPr>
      <w:r w:rsidRPr="00AD3645">
        <w:rPr>
          <w:rFonts w:ascii="Arial" w:hAnsi="Arial" w:cs="Arial"/>
          <w:sz w:val="20"/>
          <w:szCs w:val="20"/>
        </w:rPr>
        <w:t xml:space="preserve">Nghị định 65 có hai thay đổi quan trọng về giảm trừ gia cảnh, cụ thể: </w:t>
      </w:r>
    </w:p>
    <w:p w:rsidR="00F71137" w:rsidRPr="00AD3645" w:rsidRDefault="002F173B" w:rsidP="00B33188">
      <w:pPr>
        <w:spacing w:after="0"/>
        <w:ind w:firstLine="720"/>
        <w:jc w:val="both"/>
        <w:rPr>
          <w:rFonts w:ascii="Arial" w:hAnsi="Arial" w:cs="Arial"/>
          <w:b/>
          <w:sz w:val="20"/>
          <w:szCs w:val="20"/>
        </w:rPr>
      </w:pPr>
      <w:r w:rsidRPr="00AD3645">
        <w:rPr>
          <w:rFonts w:ascii="Arial" w:hAnsi="Arial" w:cs="Arial"/>
          <w:b/>
          <w:i/>
          <w:sz w:val="20"/>
          <w:szCs w:val="20"/>
        </w:rPr>
        <w:t xml:space="preserve">Thứ nhất, </w:t>
      </w:r>
      <w:r w:rsidRPr="00AD3645">
        <w:rPr>
          <w:rFonts w:ascii="Arial" w:hAnsi="Arial" w:cs="Arial"/>
          <w:i/>
          <w:sz w:val="20"/>
          <w:szCs w:val="20"/>
        </w:rPr>
        <w:t>n</w:t>
      </w:r>
      <w:r w:rsidR="00034B16" w:rsidRPr="00AD3645">
        <w:rPr>
          <w:rFonts w:ascii="Arial" w:hAnsi="Arial" w:cs="Arial"/>
          <w:i/>
          <w:sz w:val="20"/>
          <w:szCs w:val="20"/>
        </w:rPr>
        <w:t>âng mức giảm trừ gia cảnh đối với đối tượng nộp thuế</w:t>
      </w:r>
      <w:r w:rsidR="00385116" w:rsidRPr="00AD3645">
        <w:rPr>
          <w:rFonts w:ascii="Arial" w:hAnsi="Arial" w:cs="Arial"/>
          <w:i/>
          <w:sz w:val="20"/>
          <w:szCs w:val="20"/>
        </w:rPr>
        <w:t xml:space="preserve">; </w:t>
      </w:r>
      <w:r w:rsidR="00325128" w:rsidRPr="00AD3645">
        <w:rPr>
          <w:rFonts w:ascii="Arial" w:hAnsi="Arial" w:cs="Arial"/>
          <w:i/>
          <w:sz w:val="20"/>
          <w:szCs w:val="20"/>
        </w:rPr>
        <w:t xml:space="preserve">mức giảm trừ cho mỗi </w:t>
      </w:r>
      <w:r w:rsidR="00385116" w:rsidRPr="00AD3645">
        <w:rPr>
          <w:rFonts w:ascii="Arial" w:hAnsi="Arial" w:cs="Arial"/>
          <w:i/>
          <w:sz w:val="20"/>
          <w:szCs w:val="20"/>
        </w:rPr>
        <w:t>người phụ thuộc mà người nộp thuế có nghĩa vụ nuôi dưỡng</w:t>
      </w:r>
      <w:r w:rsidR="00325128" w:rsidRPr="00AD3645">
        <w:rPr>
          <w:rFonts w:ascii="Arial" w:hAnsi="Arial" w:cs="Arial"/>
          <w:i/>
          <w:sz w:val="20"/>
          <w:szCs w:val="20"/>
        </w:rPr>
        <w:t>; mức thu nhập làm căn cứ xác định người phụ thuộc</w:t>
      </w:r>
      <w:r w:rsidRPr="00AD3645">
        <w:rPr>
          <w:rFonts w:ascii="Arial" w:hAnsi="Arial" w:cs="Arial"/>
          <w:i/>
          <w:sz w:val="20"/>
          <w:szCs w:val="20"/>
        </w:rPr>
        <w:t>:</w:t>
      </w:r>
      <w:r w:rsidR="002206FE" w:rsidRPr="00AD3645">
        <w:rPr>
          <w:rFonts w:ascii="Arial" w:hAnsi="Arial" w:cs="Arial"/>
          <w:sz w:val="20"/>
          <w:szCs w:val="20"/>
        </w:rPr>
        <w:t xml:space="preserve"> </w:t>
      </w:r>
      <w:r w:rsidRPr="00AD3645">
        <w:rPr>
          <w:rFonts w:ascii="Arial" w:hAnsi="Arial" w:cs="Arial"/>
          <w:sz w:val="20"/>
          <w:szCs w:val="20"/>
        </w:rPr>
        <w:t xml:space="preserve">(i) </w:t>
      </w:r>
      <w:r w:rsidR="00325128" w:rsidRPr="00AD3645">
        <w:rPr>
          <w:rFonts w:ascii="Arial" w:hAnsi="Arial" w:cs="Arial"/>
          <w:sz w:val="20"/>
          <w:szCs w:val="20"/>
        </w:rPr>
        <w:t>Mức giảm trừ gia cảnh đối với cá nhân người nộp thuế là 9 triệu đồng/tháng</w:t>
      </w:r>
      <w:r w:rsidR="00AA69AE" w:rsidRPr="00AD3645">
        <w:rPr>
          <w:rFonts w:ascii="Arial" w:hAnsi="Arial" w:cs="Arial"/>
          <w:sz w:val="20"/>
          <w:szCs w:val="20"/>
        </w:rPr>
        <w:t xml:space="preserve"> (108 triệu đồng/năm)</w:t>
      </w:r>
      <w:r w:rsidR="006B4575" w:rsidRPr="00AD3645">
        <w:rPr>
          <w:rFonts w:ascii="Arial" w:hAnsi="Arial" w:cs="Arial"/>
          <w:sz w:val="20"/>
          <w:szCs w:val="20"/>
        </w:rPr>
        <w:t xml:space="preserve"> thay vì 48 triệu đồng/năm như trước đây</w:t>
      </w:r>
      <w:r w:rsidR="00325128" w:rsidRPr="00AD3645">
        <w:rPr>
          <w:rFonts w:ascii="Arial" w:hAnsi="Arial" w:cs="Arial"/>
          <w:sz w:val="20"/>
          <w:szCs w:val="20"/>
        </w:rPr>
        <w:t>;</w:t>
      </w:r>
      <w:r w:rsidRPr="00AD3645">
        <w:rPr>
          <w:rFonts w:ascii="Arial" w:hAnsi="Arial" w:cs="Arial"/>
          <w:sz w:val="20"/>
          <w:szCs w:val="20"/>
        </w:rPr>
        <w:t xml:space="preserve"> (ii) </w:t>
      </w:r>
      <w:r w:rsidR="00325128" w:rsidRPr="00AD3645">
        <w:rPr>
          <w:rFonts w:ascii="Arial" w:hAnsi="Arial" w:cs="Arial"/>
          <w:sz w:val="20"/>
          <w:szCs w:val="20"/>
        </w:rPr>
        <w:t>Mức giảm trừ cho mỗi người phụ thuộc mà người nộp thuế có nghĩa vụ nuôi dưỡng là 3,6 triệu đồng/tháng</w:t>
      </w:r>
      <w:r w:rsidR="006B4575" w:rsidRPr="00AD3645">
        <w:rPr>
          <w:rFonts w:ascii="Arial" w:hAnsi="Arial" w:cs="Arial"/>
          <w:sz w:val="20"/>
          <w:szCs w:val="20"/>
        </w:rPr>
        <w:t xml:space="preserve"> thay vì 1,6 triệu đồng/tháng như trước đây</w:t>
      </w:r>
      <w:r w:rsidR="00325128" w:rsidRPr="00AD3645">
        <w:rPr>
          <w:rFonts w:ascii="Arial" w:hAnsi="Arial" w:cs="Arial"/>
          <w:sz w:val="20"/>
          <w:szCs w:val="20"/>
        </w:rPr>
        <w:t xml:space="preserve">. </w:t>
      </w:r>
      <w:r w:rsidRPr="00AD3645">
        <w:rPr>
          <w:rFonts w:ascii="Arial" w:hAnsi="Arial" w:cs="Arial"/>
          <w:sz w:val="20"/>
          <w:szCs w:val="20"/>
        </w:rPr>
        <w:t xml:space="preserve">(iii) </w:t>
      </w:r>
      <w:r w:rsidR="00325128" w:rsidRPr="00AD3645">
        <w:rPr>
          <w:rFonts w:ascii="Arial" w:hAnsi="Arial" w:cs="Arial"/>
          <w:sz w:val="20"/>
          <w:szCs w:val="20"/>
        </w:rPr>
        <w:t>Mức thu nhập l</w:t>
      </w:r>
      <w:r w:rsidR="00F71137" w:rsidRPr="00AD3645">
        <w:rPr>
          <w:rFonts w:ascii="Arial" w:hAnsi="Arial" w:cs="Arial"/>
          <w:sz w:val="20"/>
          <w:szCs w:val="20"/>
        </w:rPr>
        <w:t xml:space="preserve">àm căn cứ xác định người phụ thuộc </w:t>
      </w:r>
      <w:r w:rsidR="002206FE" w:rsidRPr="00AD3645">
        <w:rPr>
          <w:rFonts w:ascii="Arial" w:hAnsi="Arial" w:cs="Arial"/>
          <w:sz w:val="20"/>
          <w:szCs w:val="20"/>
        </w:rPr>
        <w:t>là</w:t>
      </w:r>
      <w:r w:rsidR="00F71137" w:rsidRPr="00AD3645">
        <w:rPr>
          <w:rFonts w:ascii="Arial" w:hAnsi="Arial" w:cs="Arial"/>
          <w:sz w:val="20"/>
          <w:szCs w:val="20"/>
        </w:rPr>
        <w:t xml:space="preserve"> 1.000.000</w:t>
      </w:r>
      <w:r w:rsidR="006B4575" w:rsidRPr="00AD3645">
        <w:rPr>
          <w:rFonts w:ascii="Arial" w:hAnsi="Arial" w:cs="Arial"/>
          <w:sz w:val="20"/>
          <w:szCs w:val="20"/>
        </w:rPr>
        <w:t xml:space="preserve"> đồng</w:t>
      </w:r>
      <w:r w:rsidR="00F71137" w:rsidRPr="00AD3645">
        <w:rPr>
          <w:rFonts w:ascii="Arial" w:hAnsi="Arial" w:cs="Arial"/>
          <w:sz w:val="20"/>
          <w:szCs w:val="20"/>
        </w:rPr>
        <w:t>/tháng</w:t>
      </w:r>
      <w:r w:rsidR="006B4575" w:rsidRPr="00AD3645">
        <w:rPr>
          <w:rFonts w:ascii="Arial" w:hAnsi="Arial" w:cs="Arial"/>
          <w:sz w:val="20"/>
          <w:szCs w:val="20"/>
        </w:rPr>
        <w:t xml:space="preserve"> thay vì 500.000 đồng/tháng như trước đây</w:t>
      </w:r>
      <w:r w:rsidR="00F71137" w:rsidRPr="00AD3645">
        <w:rPr>
          <w:rFonts w:ascii="Arial" w:hAnsi="Arial" w:cs="Arial"/>
          <w:b/>
          <w:sz w:val="20"/>
          <w:szCs w:val="20"/>
        </w:rPr>
        <w:t>.</w:t>
      </w:r>
    </w:p>
    <w:p w:rsidR="006B4575" w:rsidRPr="00AD3645" w:rsidRDefault="002F173B" w:rsidP="00B33188">
      <w:pPr>
        <w:spacing w:before="120" w:after="0"/>
        <w:ind w:firstLine="720"/>
        <w:jc w:val="both"/>
        <w:rPr>
          <w:rFonts w:ascii="Arial" w:hAnsi="Arial" w:cs="Arial"/>
          <w:i/>
          <w:sz w:val="20"/>
          <w:szCs w:val="20"/>
        </w:rPr>
      </w:pPr>
      <w:r w:rsidRPr="00AD3645">
        <w:rPr>
          <w:rFonts w:ascii="Arial" w:hAnsi="Arial" w:cs="Arial"/>
          <w:b/>
          <w:i/>
          <w:sz w:val="20"/>
          <w:szCs w:val="20"/>
        </w:rPr>
        <w:t>Thứ hai,</w:t>
      </w:r>
      <w:r w:rsidR="00EA22B9" w:rsidRPr="00AD3645">
        <w:rPr>
          <w:rFonts w:ascii="Arial" w:hAnsi="Arial" w:cs="Arial"/>
          <w:b/>
          <w:i/>
          <w:sz w:val="20"/>
          <w:szCs w:val="20"/>
        </w:rPr>
        <w:t xml:space="preserve"> </w:t>
      </w:r>
      <w:r w:rsidRPr="00AD3645">
        <w:rPr>
          <w:rFonts w:ascii="Arial" w:hAnsi="Arial" w:cs="Arial"/>
          <w:sz w:val="20"/>
          <w:szCs w:val="20"/>
        </w:rPr>
        <w:t>b</w:t>
      </w:r>
      <w:r w:rsidR="006B4575" w:rsidRPr="00AD3645">
        <w:rPr>
          <w:rFonts w:ascii="Arial" w:hAnsi="Arial" w:cs="Arial"/>
          <w:sz w:val="20"/>
          <w:szCs w:val="20"/>
        </w:rPr>
        <w:t>ổ sung đối tượng là người phụ thuộc của người nộp thuế, bao gồm cả cha dượng, mẹ kế</w:t>
      </w:r>
      <w:r w:rsidR="00B33188" w:rsidRPr="00AD3645">
        <w:rPr>
          <w:rFonts w:ascii="Arial" w:hAnsi="Arial" w:cs="Arial"/>
          <w:sz w:val="20"/>
          <w:szCs w:val="20"/>
        </w:rPr>
        <w:t>,</w:t>
      </w:r>
      <w:r w:rsidR="006B4575" w:rsidRPr="00AD3645">
        <w:rPr>
          <w:rFonts w:ascii="Arial" w:hAnsi="Arial" w:cs="Arial"/>
          <w:sz w:val="20"/>
          <w:szCs w:val="20"/>
        </w:rPr>
        <w:t xml:space="preserve"> cha mẹ nuôi hợp pháp</w:t>
      </w:r>
      <w:r w:rsidR="006B4575" w:rsidRPr="00AD3645">
        <w:rPr>
          <w:rFonts w:ascii="Arial" w:hAnsi="Arial" w:cs="Arial"/>
          <w:i/>
          <w:sz w:val="20"/>
          <w:szCs w:val="20"/>
        </w:rPr>
        <w:t>.</w:t>
      </w:r>
    </w:p>
    <w:p w:rsidR="004828E8" w:rsidRPr="00AD3645" w:rsidRDefault="00B33188" w:rsidP="00B33188">
      <w:pPr>
        <w:spacing w:before="120" w:after="0"/>
        <w:ind w:firstLine="720"/>
        <w:jc w:val="both"/>
        <w:rPr>
          <w:rFonts w:ascii="Arial" w:hAnsi="Arial" w:cs="Arial"/>
          <w:b/>
          <w:sz w:val="20"/>
          <w:szCs w:val="20"/>
        </w:rPr>
      </w:pPr>
      <w:r w:rsidRPr="00AD3645">
        <w:rPr>
          <w:rFonts w:ascii="Arial" w:hAnsi="Arial" w:cs="Arial"/>
          <w:b/>
          <w:sz w:val="20"/>
          <w:szCs w:val="20"/>
        </w:rPr>
        <w:t>5</w:t>
      </w:r>
      <w:r w:rsidR="000366D4" w:rsidRPr="00AD3645">
        <w:rPr>
          <w:rFonts w:ascii="Arial" w:hAnsi="Arial" w:cs="Arial"/>
          <w:b/>
          <w:sz w:val="20"/>
          <w:szCs w:val="20"/>
        </w:rPr>
        <w:t xml:space="preserve">. </w:t>
      </w:r>
      <w:r w:rsidR="004828E8" w:rsidRPr="00AD3645">
        <w:rPr>
          <w:rFonts w:ascii="Arial" w:hAnsi="Arial" w:cs="Arial"/>
          <w:b/>
          <w:sz w:val="20"/>
          <w:szCs w:val="20"/>
        </w:rPr>
        <w:t>Về căn cứ tính thuế</w:t>
      </w:r>
      <w:r w:rsidR="001262F3" w:rsidRPr="00AD3645">
        <w:rPr>
          <w:rFonts w:ascii="Arial" w:hAnsi="Arial" w:cs="Arial"/>
          <w:b/>
          <w:sz w:val="20"/>
          <w:szCs w:val="20"/>
        </w:rPr>
        <w:t xml:space="preserve"> đối với một số loại thu nhập</w:t>
      </w:r>
    </w:p>
    <w:p w:rsidR="00D819F6" w:rsidRPr="00AD3645" w:rsidRDefault="00D819F6" w:rsidP="00B33188">
      <w:pPr>
        <w:spacing w:after="0"/>
        <w:ind w:firstLine="720"/>
        <w:jc w:val="both"/>
        <w:rPr>
          <w:rFonts w:ascii="Arial" w:hAnsi="Arial" w:cs="Arial"/>
          <w:sz w:val="20"/>
          <w:szCs w:val="20"/>
        </w:rPr>
      </w:pPr>
      <w:r w:rsidRPr="00AD3645">
        <w:rPr>
          <w:rFonts w:ascii="Arial" w:hAnsi="Arial" w:cs="Arial"/>
          <w:sz w:val="20"/>
          <w:szCs w:val="20"/>
        </w:rPr>
        <w:t xml:space="preserve">Nghị định 65 đã bổ sung các quy định cụ thể làm căn cứ tính thuế đối với một số loại thu nhập đặc thù như sau: </w:t>
      </w:r>
    </w:p>
    <w:p w:rsidR="000366D4" w:rsidRPr="00AD3645" w:rsidRDefault="00D819F6" w:rsidP="00B33188">
      <w:pPr>
        <w:spacing w:after="0"/>
        <w:ind w:firstLine="720"/>
        <w:jc w:val="both"/>
        <w:rPr>
          <w:rFonts w:ascii="Arial" w:hAnsi="Arial" w:cs="Arial"/>
          <w:sz w:val="20"/>
          <w:szCs w:val="20"/>
        </w:rPr>
      </w:pPr>
      <w:r w:rsidRPr="00AD3645">
        <w:rPr>
          <w:rFonts w:ascii="Arial" w:hAnsi="Arial" w:cs="Arial"/>
          <w:b/>
          <w:i/>
          <w:sz w:val="20"/>
          <w:szCs w:val="20"/>
        </w:rPr>
        <w:t>Thứ nhất,</w:t>
      </w:r>
      <w:r w:rsidR="00EA22B9" w:rsidRPr="00AD3645">
        <w:rPr>
          <w:rFonts w:ascii="Arial" w:hAnsi="Arial" w:cs="Arial"/>
          <w:b/>
          <w:i/>
          <w:sz w:val="20"/>
          <w:szCs w:val="20"/>
        </w:rPr>
        <w:t xml:space="preserve"> </w:t>
      </w:r>
      <w:r w:rsidRPr="00AD3645">
        <w:rPr>
          <w:rFonts w:ascii="Arial" w:hAnsi="Arial" w:cs="Arial"/>
          <w:b/>
          <w:i/>
          <w:sz w:val="20"/>
          <w:szCs w:val="20"/>
        </w:rPr>
        <w:t>s</w:t>
      </w:r>
      <w:r w:rsidR="000366D4" w:rsidRPr="00AD3645">
        <w:rPr>
          <w:rFonts w:ascii="Arial" w:hAnsi="Arial" w:cs="Arial"/>
          <w:b/>
          <w:i/>
          <w:sz w:val="20"/>
          <w:szCs w:val="20"/>
        </w:rPr>
        <w:t>ửa đổi thời điểm xác định giá mua của phần vốn chuyển nhượng</w:t>
      </w:r>
      <w:r w:rsidR="00281D90" w:rsidRPr="00AD3645">
        <w:rPr>
          <w:rFonts w:ascii="Arial" w:hAnsi="Arial" w:cs="Arial"/>
          <w:b/>
          <w:i/>
          <w:sz w:val="20"/>
          <w:szCs w:val="20"/>
        </w:rPr>
        <w:t xml:space="preserve"> </w:t>
      </w:r>
      <w:r w:rsidR="004828E8" w:rsidRPr="00AD3645">
        <w:rPr>
          <w:rFonts w:ascii="Arial" w:hAnsi="Arial" w:cs="Arial"/>
          <w:b/>
          <w:i/>
          <w:sz w:val="20"/>
          <w:szCs w:val="20"/>
        </w:rPr>
        <w:t>đối với thu nhập tính thuế từ chuyển nhượng vốn</w:t>
      </w:r>
      <w:r w:rsidRPr="00AD3645">
        <w:rPr>
          <w:rFonts w:ascii="Arial" w:hAnsi="Arial" w:cs="Arial"/>
          <w:b/>
          <w:i/>
          <w:sz w:val="20"/>
          <w:szCs w:val="20"/>
        </w:rPr>
        <w:t xml:space="preserve"> </w:t>
      </w:r>
      <w:r w:rsidR="00F71137" w:rsidRPr="00AD3645">
        <w:rPr>
          <w:rFonts w:ascii="Arial" w:hAnsi="Arial" w:cs="Arial"/>
          <w:sz w:val="20"/>
          <w:szCs w:val="20"/>
        </w:rPr>
        <w:t>Quy định thời điểm xác định giá mua của phần vốn chuyển nhượng là thời điểm chuyển nhượng vố</w:t>
      </w:r>
      <w:r w:rsidR="004A321D" w:rsidRPr="00AD3645">
        <w:rPr>
          <w:rFonts w:ascii="Arial" w:hAnsi="Arial" w:cs="Arial"/>
          <w:sz w:val="20"/>
          <w:szCs w:val="20"/>
        </w:rPr>
        <w:t>n;</w:t>
      </w:r>
      <w:r w:rsidR="00F71137" w:rsidRPr="00AD3645">
        <w:rPr>
          <w:rFonts w:ascii="Arial" w:hAnsi="Arial" w:cs="Arial"/>
          <w:sz w:val="20"/>
          <w:szCs w:val="20"/>
        </w:rPr>
        <w:t xml:space="preserve"> đồng thời quy định rõ giá vốn</w:t>
      </w:r>
      <w:r w:rsidR="004A321D" w:rsidRPr="00AD3645">
        <w:rPr>
          <w:rFonts w:ascii="Arial" w:hAnsi="Arial" w:cs="Arial"/>
          <w:sz w:val="20"/>
          <w:szCs w:val="20"/>
        </w:rPr>
        <w:t xml:space="preserve"> mua của phần vốn đuợc xác định bằng tổng giá trị phần vốn góp ban đầu và các lần góp hoặc mua bổ sung.</w:t>
      </w:r>
    </w:p>
    <w:p w:rsidR="004828E8" w:rsidRPr="00AD3645" w:rsidRDefault="00D819F6" w:rsidP="00D819F6">
      <w:pPr>
        <w:spacing w:before="120" w:after="0"/>
        <w:ind w:firstLine="720"/>
        <w:jc w:val="both"/>
        <w:rPr>
          <w:rFonts w:ascii="Arial" w:hAnsi="Arial" w:cs="Arial"/>
          <w:sz w:val="20"/>
          <w:szCs w:val="20"/>
        </w:rPr>
      </w:pPr>
      <w:r w:rsidRPr="00AD3645">
        <w:rPr>
          <w:rFonts w:ascii="Arial" w:hAnsi="Arial" w:cs="Arial"/>
          <w:b/>
          <w:i/>
          <w:sz w:val="20"/>
          <w:szCs w:val="20"/>
        </w:rPr>
        <w:t>Thứ hai, b</w:t>
      </w:r>
      <w:r w:rsidR="004828E8" w:rsidRPr="00AD3645">
        <w:rPr>
          <w:rFonts w:ascii="Arial" w:hAnsi="Arial" w:cs="Arial"/>
          <w:b/>
          <w:i/>
          <w:sz w:val="20"/>
          <w:szCs w:val="20"/>
        </w:rPr>
        <w:t>ổ sung căn cứ tính thuế về thu nhập từ trúng thư</w:t>
      </w:r>
      <w:r w:rsidR="001262F3" w:rsidRPr="00AD3645">
        <w:rPr>
          <w:rFonts w:ascii="Arial" w:hAnsi="Arial" w:cs="Arial"/>
          <w:b/>
          <w:i/>
          <w:sz w:val="20"/>
          <w:szCs w:val="20"/>
        </w:rPr>
        <w:t>ở</w:t>
      </w:r>
      <w:r w:rsidR="004828E8" w:rsidRPr="00AD3645">
        <w:rPr>
          <w:rFonts w:ascii="Arial" w:hAnsi="Arial" w:cs="Arial"/>
          <w:b/>
          <w:i/>
          <w:sz w:val="20"/>
          <w:szCs w:val="20"/>
        </w:rPr>
        <w:t>ng</w:t>
      </w:r>
      <w:r w:rsidRPr="00AD3645">
        <w:rPr>
          <w:rFonts w:ascii="Arial" w:hAnsi="Arial" w:cs="Arial"/>
          <w:b/>
          <w:i/>
          <w:sz w:val="20"/>
          <w:szCs w:val="20"/>
        </w:rPr>
        <w:t xml:space="preserve">. </w:t>
      </w:r>
      <w:r w:rsidR="004828E8" w:rsidRPr="00AD3645">
        <w:rPr>
          <w:rFonts w:ascii="Arial" w:hAnsi="Arial" w:cs="Arial"/>
          <w:sz w:val="20"/>
          <w:szCs w:val="20"/>
        </w:rPr>
        <w:t>Thu nhập tính thuế từ trúng thưởng và thời điểm xác định thu nhập tính thuế từ trúng thưởng thực hiện theo quy định tại Điều 15 Luật thuế thu nhập cá nhân. Trường hợp không xác định được thu nhập chịu thuế của người trúng thưởng th</w:t>
      </w:r>
      <w:r w:rsidR="001262F3" w:rsidRPr="00AD3645">
        <w:rPr>
          <w:rFonts w:ascii="Arial" w:hAnsi="Arial" w:cs="Arial"/>
          <w:sz w:val="20"/>
          <w:szCs w:val="20"/>
        </w:rPr>
        <w:t>ì áp dụng khấu trừ thuế trên tổng số tiền trả lại cho người trúng thưởng.</w:t>
      </w:r>
    </w:p>
    <w:p w:rsidR="00C96D8D" w:rsidRPr="00AD3645" w:rsidRDefault="00B33188" w:rsidP="00B33188">
      <w:pPr>
        <w:spacing w:before="120" w:after="0"/>
        <w:ind w:firstLine="720"/>
        <w:jc w:val="both"/>
        <w:rPr>
          <w:rFonts w:ascii="Arial" w:hAnsi="Arial" w:cs="Arial"/>
          <w:b/>
          <w:sz w:val="20"/>
          <w:szCs w:val="20"/>
        </w:rPr>
      </w:pPr>
      <w:r w:rsidRPr="00AD3645">
        <w:rPr>
          <w:rFonts w:ascii="Arial" w:hAnsi="Arial" w:cs="Arial"/>
          <w:b/>
          <w:sz w:val="20"/>
          <w:szCs w:val="20"/>
        </w:rPr>
        <w:t>6</w:t>
      </w:r>
      <w:r w:rsidR="00757442" w:rsidRPr="00AD3645">
        <w:rPr>
          <w:rFonts w:ascii="Arial" w:hAnsi="Arial" w:cs="Arial"/>
          <w:b/>
          <w:sz w:val="20"/>
          <w:szCs w:val="20"/>
        </w:rPr>
        <w:t xml:space="preserve">. </w:t>
      </w:r>
      <w:r w:rsidR="00353163" w:rsidRPr="00AD3645">
        <w:rPr>
          <w:rFonts w:ascii="Arial" w:hAnsi="Arial" w:cs="Arial"/>
          <w:b/>
          <w:sz w:val="20"/>
          <w:szCs w:val="20"/>
        </w:rPr>
        <w:t>Về hình thức</w:t>
      </w:r>
      <w:r w:rsidR="00C96D8D" w:rsidRPr="00AD3645">
        <w:rPr>
          <w:rFonts w:ascii="Arial" w:hAnsi="Arial" w:cs="Arial"/>
          <w:b/>
          <w:sz w:val="20"/>
          <w:szCs w:val="20"/>
        </w:rPr>
        <w:t xml:space="preserve"> khai thuế, </w:t>
      </w:r>
      <w:r w:rsidR="00DB20B2" w:rsidRPr="00AD3645">
        <w:rPr>
          <w:rFonts w:ascii="Arial" w:hAnsi="Arial" w:cs="Arial"/>
          <w:b/>
          <w:sz w:val="20"/>
          <w:szCs w:val="20"/>
        </w:rPr>
        <w:t xml:space="preserve">nộp thuế, </w:t>
      </w:r>
      <w:r w:rsidR="00C96D8D" w:rsidRPr="00AD3645">
        <w:rPr>
          <w:rFonts w:ascii="Arial" w:hAnsi="Arial" w:cs="Arial"/>
          <w:b/>
          <w:sz w:val="20"/>
          <w:szCs w:val="20"/>
        </w:rPr>
        <w:t>quyết toán thuế</w:t>
      </w:r>
      <w:r w:rsidR="00DB20B2" w:rsidRPr="00AD3645">
        <w:rPr>
          <w:rFonts w:ascii="Arial" w:hAnsi="Arial" w:cs="Arial"/>
          <w:b/>
          <w:sz w:val="20"/>
          <w:szCs w:val="20"/>
        </w:rPr>
        <w:t xml:space="preserve"> </w:t>
      </w:r>
      <w:r w:rsidR="008C56EC" w:rsidRPr="00AD3645">
        <w:rPr>
          <w:rFonts w:ascii="Arial" w:hAnsi="Arial" w:cs="Arial"/>
          <w:b/>
          <w:sz w:val="20"/>
          <w:szCs w:val="20"/>
        </w:rPr>
        <w:t>TNCN</w:t>
      </w:r>
    </w:p>
    <w:p w:rsidR="00D819F6" w:rsidRPr="00AD3645" w:rsidRDefault="00D819F6" w:rsidP="00B33188">
      <w:pPr>
        <w:spacing w:after="0"/>
        <w:ind w:firstLine="720"/>
        <w:jc w:val="both"/>
        <w:rPr>
          <w:rFonts w:ascii="Arial" w:hAnsi="Arial" w:cs="Arial"/>
          <w:sz w:val="20"/>
          <w:szCs w:val="20"/>
        </w:rPr>
      </w:pPr>
      <w:r w:rsidRPr="00AD3645">
        <w:rPr>
          <w:rFonts w:ascii="Arial" w:hAnsi="Arial" w:cs="Arial"/>
          <w:sz w:val="20"/>
          <w:szCs w:val="20"/>
        </w:rPr>
        <w:t xml:space="preserve">Nghị định 65 quy định cụ thể </w:t>
      </w:r>
      <w:r w:rsidR="00607EAB" w:rsidRPr="00AD3645">
        <w:rPr>
          <w:rFonts w:ascii="Arial" w:hAnsi="Arial" w:cs="Arial"/>
          <w:sz w:val="20"/>
          <w:szCs w:val="20"/>
        </w:rPr>
        <w:t xml:space="preserve"> hình thức khai thuế, nộp thuế, quyết toán thuế như sau: </w:t>
      </w:r>
    </w:p>
    <w:p w:rsidR="002B0476" w:rsidRPr="00AD3645" w:rsidRDefault="00607EAB" w:rsidP="00B33188">
      <w:pPr>
        <w:spacing w:after="0"/>
        <w:ind w:firstLine="720"/>
        <w:jc w:val="both"/>
        <w:rPr>
          <w:rFonts w:ascii="Arial" w:hAnsi="Arial" w:cs="Arial"/>
          <w:sz w:val="20"/>
          <w:szCs w:val="20"/>
        </w:rPr>
      </w:pPr>
      <w:r w:rsidRPr="00AD3645">
        <w:rPr>
          <w:rFonts w:ascii="Arial" w:hAnsi="Arial" w:cs="Arial"/>
          <w:b/>
          <w:i/>
          <w:sz w:val="20"/>
          <w:szCs w:val="20"/>
        </w:rPr>
        <w:t xml:space="preserve">Thứ nhất, </w:t>
      </w:r>
      <w:r w:rsidR="007F6DB6" w:rsidRPr="00AD3645">
        <w:rPr>
          <w:rFonts w:ascii="Arial" w:hAnsi="Arial" w:cs="Arial"/>
          <w:b/>
          <w:i/>
          <w:sz w:val="20"/>
          <w:szCs w:val="20"/>
        </w:rPr>
        <w:t xml:space="preserve">áp dụng </w:t>
      </w:r>
      <w:r w:rsidR="00BF160B" w:rsidRPr="00AD3645">
        <w:rPr>
          <w:rFonts w:ascii="Arial" w:hAnsi="Arial" w:cs="Arial"/>
          <w:b/>
          <w:i/>
          <w:sz w:val="20"/>
          <w:szCs w:val="20"/>
        </w:rPr>
        <w:t>0</w:t>
      </w:r>
      <w:r w:rsidR="004A321D" w:rsidRPr="00AD3645">
        <w:rPr>
          <w:rFonts w:ascii="Arial" w:hAnsi="Arial" w:cs="Arial"/>
          <w:b/>
          <w:i/>
          <w:sz w:val="20"/>
          <w:szCs w:val="20"/>
        </w:rPr>
        <w:t>4 hình thức khai thuế, nộp thuế theo tháng, theo quý theo năm và theo từng lần phát sinh</w:t>
      </w:r>
      <w:r w:rsidRPr="00AD3645">
        <w:rPr>
          <w:rFonts w:ascii="Arial" w:hAnsi="Arial" w:cs="Arial"/>
          <w:b/>
          <w:i/>
          <w:sz w:val="20"/>
          <w:szCs w:val="20"/>
        </w:rPr>
        <w:t>,</w:t>
      </w:r>
      <w:r w:rsidR="004A321D" w:rsidRPr="00AD3645">
        <w:rPr>
          <w:rFonts w:ascii="Arial" w:hAnsi="Arial" w:cs="Arial"/>
          <w:sz w:val="20"/>
          <w:szCs w:val="20"/>
        </w:rPr>
        <w:t xml:space="preserve"> </w:t>
      </w:r>
      <w:r w:rsidR="002E36FF" w:rsidRPr="00AD3645">
        <w:rPr>
          <w:rFonts w:ascii="Arial" w:hAnsi="Arial" w:cs="Arial"/>
          <w:sz w:val="20"/>
          <w:szCs w:val="20"/>
        </w:rPr>
        <w:t>cụ thể</w:t>
      </w:r>
      <w:r w:rsidR="002B0476" w:rsidRPr="00AD3645">
        <w:rPr>
          <w:rFonts w:ascii="Arial" w:hAnsi="Arial" w:cs="Arial"/>
          <w:sz w:val="20"/>
          <w:szCs w:val="20"/>
        </w:rPr>
        <w:t>:</w:t>
      </w:r>
    </w:p>
    <w:p w:rsidR="002037CC" w:rsidRPr="00AD3645" w:rsidRDefault="00607EAB" w:rsidP="00B33188">
      <w:pPr>
        <w:spacing w:after="0"/>
        <w:ind w:firstLine="720"/>
        <w:jc w:val="both"/>
        <w:rPr>
          <w:rFonts w:ascii="Arial" w:hAnsi="Arial" w:cs="Arial"/>
          <w:sz w:val="20"/>
          <w:szCs w:val="20"/>
        </w:rPr>
      </w:pPr>
      <w:r w:rsidRPr="00AD3645">
        <w:rPr>
          <w:rFonts w:ascii="Arial" w:hAnsi="Arial" w:cs="Arial"/>
          <w:sz w:val="20"/>
          <w:szCs w:val="20"/>
        </w:rPr>
        <w:t>(i)</w:t>
      </w:r>
      <w:r w:rsidR="002B0476" w:rsidRPr="00AD3645">
        <w:rPr>
          <w:rFonts w:ascii="Arial" w:hAnsi="Arial" w:cs="Arial"/>
          <w:sz w:val="20"/>
          <w:szCs w:val="20"/>
        </w:rPr>
        <w:t xml:space="preserve"> </w:t>
      </w:r>
      <w:r w:rsidR="00BE3E6B" w:rsidRPr="00AD3645">
        <w:rPr>
          <w:rFonts w:ascii="Arial" w:hAnsi="Arial" w:cs="Arial"/>
          <w:sz w:val="20"/>
          <w:szCs w:val="20"/>
        </w:rPr>
        <w:t>Khai thuế, nộp thuế theo tháng được áp dụng với</w:t>
      </w:r>
      <w:r w:rsidR="0095575E" w:rsidRPr="00AD3645">
        <w:rPr>
          <w:rFonts w:ascii="Arial" w:hAnsi="Arial" w:cs="Arial"/>
          <w:sz w:val="20"/>
          <w:szCs w:val="20"/>
        </w:rPr>
        <w:t xml:space="preserve"> </w:t>
      </w:r>
      <w:r w:rsidRPr="00AD3645">
        <w:rPr>
          <w:rFonts w:ascii="Arial" w:hAnsi="Arial" w:cs="Arial"/>
          <w:sz w:val="20"/>
          <w:szCs w:val="20"/>
        </w:rPr>
        <w:t>t</w:t>
      </w:r>
      <w:r w:rsidR="00BE3E6B" w:rsidRPr="00AD3645">
        <w:rPr>
          <w:rFonts w:ascii="Arial" w:hAnsi="Arial" w:cs="Arial"/>
          <w:sz w:val="20"/>
          <w:szCs w:val="20"/>
        </w:rPr>
        <w:t xml:space="preserve">ổ chức, cá nhân trả thu nhập có tổng số thuế </w:t>
      </w:r>
      <w:r w:rsidR="002B0476" w:rsidRPr="00AD3645">
        <w:rPr>
          <w:rFonts w:ascii="Arial" w:hAnsi="Arial" w:cs="Arial"/>
          <w:sz w:val="20"/>
          <w:szCs w:val="20"/>
        </w:rPr>
        <w:t>TNCN</w:t>
      </w:r>
      <w:r w:rsidR="00BE3E6B" w:rsidRPr="00AD3645">
        <w:rPr>
          <w:rFonts w:ascii="Arial" w:hAnsi="Arial" w:cs="Arial"/>
          <w:sz w:val="20"/>
          <w:szCs w:val="20"/>
        </w:rPr>
        <w:t xml:space="preserve"> đã khấu trừ hàng tháng theo từng loại tờ khai từ 50 triệu đồng trở lên (trước đây là 5 triệu đồng)</w:t>
      </w:r>
      <w:r w:rsidRPr="00AD3645">
        <w:rPr>
          <w:rFonts w:ascii="Arial" w:hAnsi="Arial" w:cs="Arial"/>
          <w:sz w:val="20"/>
          <w:szCs w:val="20"/>
        </w:rPr>
        <w:t xml:space="preserve">; (ii) </w:t>
      </w:r>
      <w:r w:rsidR="00DB20B2" w:rsidRPr="00AD3645">
        <w:rPr>
          <w:rFonts w:ascii="Arial" w:hAnsi="Arial" w:cs="Arial"/>
          <w:sz w:val="20"/>
          <w:szCs w:val="20"/>
        </w:rPr>
        <w:t>Khai thuế, nộp thuế theo quý được áp dụng với</w:t>
      </w:r>
      <w:r w:rsidR="0095575E" w:rsidRPr="00AD3645">
        <w:rPr>
          <w:rFonts w:ascii="Arial" w:hAnsi="Arial" w:cs="Arial"/>
          <w:sz w:val="20"/>
          <w:szCs w:val="20"/>
        </w:rPr>
        <w:t xml:space="preserve"> </w:t>
      </w:r>
      <w:r w:rsidRPr="00AD3645">
        <w:rPr>
          <w:rFonts w:ascii="Arial" w:hAnsi="Arial" w:cs="Arial"/>
          <w:sz w:val="20"/>
          <w:szCs w:val="20"/>
        </w:rPr>
        <w:t>t</w:t>
      </w:r>
      <w:r w:rsidR="00DB20B2" w:rsidRPr="00AD3645">
        <w:rPr>
          <w:rFonts w:ascii="Arial" w:hAnsi="Arial" w:cs="Arial"/>
          <w:sz w:val="20"/>
          <w:szCs w:val="20"/>
        </w:rPr>
        <w:t xml:space="preserve">ổ chức, cá nhân trả thu nhập có tổng số thuế </w:t>
      </w:r>
      <w:r w:rsidR="002B0476" w:rsidRPr="00AD3645">
        <w:rPr>
          <w:rFonts w:ascii="Arial" w:hAnsi="Arial" w:cs="Arial"/>
          <w:sz w:val="20"/>
          <w:szCs w:val="20"/>
        </w:rPr>
        <w:t>TNCN</w:t>
      </w:r>
      <w:r w:rsidR="00DB20B2" w:rsidRPr="00AD3645">
        <w:rPr>
          <w:rFonts w:ascii="Arial" w:hAnsi="Arial" w:cs="Arial"/>
          <w:sz w:val="20"/>
          <w:szCs w:val="20"/>
        </w:rPr>
        <w:t xml:space="preserve"> đã khấu trừ hàng tháng theo từng loại tờ khai dưới 50 triệu đồ</w:t>
      </w:r>
      <w:r w:rsidR="00B22912" w:rsidRPr="00AD3645">
        <w:rPr>
          <w:rFonts w:ascii="Arial" w:hAnsi="Arial" w:cs="Arial"/>
          <w:sz w:val="20"/>
          <w:szCs w:val="20"/>
        </w:rPr>
        <w:t>ng; C</w:t>
      </w:r>
      <w:r w:rsidR="00DB20B2" w:rsidRPr="00AD3645">
        <w:rPr>
          <w:rFonts w:ascii="Arial" w:hAnsi="Arial" w:cs="Arial"/>
          <w:sz w:val="20"/>
          <w:szCs w:val="20"/>
        </w:rPr>
        <w:t xml:space="preserve">á </w:t>
      </w:r>
      <w:r w:rsidR="00B22912" w:rsidRPr="00AD3645">
        <w:rPr>
          <w:rFonts w:ascii="Arial" w:hAnsi="Arial" w:cs="Arial"/>
          <w:sz w:val="20"/>
          <w:szCs w:val="20"/>
        </w:rPr>
        <w:t>nhân, nhóm cá nhân kinh doanh; T</w:t>
      </w:r>
      <w:r w:rsidR="00DB20B2" w:rsidRPr="00AD3645">
        <w:rPr>
          <w:rFonts w:ascii="Arial" w:hAnsi="Arial" w:cs="Arial"/>
          <w:sz w:val="20"/>
          <w:szCs w:val="20"/>
        </w:rPr>
        <w:t>hu nhập từ tiền lương, tiền công được trả từ nước ngoài hoặc do các tổ chức quốc tế, Đại sứ quán, Lãnh sự quán Việt Nam trả nhưng chưa thực hiện khấu trừ thuế.</w:t>
      </w:r>
      <w:r w:rsidRPr="00AD3645">
        <w:rPr>
          <w:rFonts w:ascii="Arial" w:hAnsi="Arial" w:cs="Arial"/>
          <w:sz w:val="20"/>
          <w:szCs w:val="20"/>
        </w:rPr>
        <w:t xml:space="preserve"> (iii) </w:t>
      </w:r>
      <w:r w:rsidR="00DB20B2" w:rsidRPr="00AD3645">
        <w:rPr>
          <w:rFonts w:ascii="Arial" w:hAnsi="Arial" w:cs="Arial"/>
          <w:sz w:val="20"/>
          <w:szCs w:val="20"/>
        </w:rPr>
        <w:t xml:space="preserve">Khai </w:t>
      </w:r>
      <w:r w:rsidR="007F6DB6" w:rsidRPr="00AD3645">
        <w:rPr>
          <w:rFonts w:ascii="Arial" w:hAnsi="Arial" w:cs="Arial"/>
          <w:sz w:val="20"/>
          <w:szCs w:val="20"/>
        </w:rPr>
        <w:t xml:space="preserve">thuế, </w:t>
      </w:r>
      <w:r w:rsidR="00DB20B2" w:rsidRPr="00AD3645">
        <w:rPr>
          <w:rFonts w:ascii="Arial" w:hAnsi="Arial" w:cs="Arial"/>
          <w:sz w:val="20"/>
          <w:szCs w:val="20"/>
        </w:rPr>
        <w:t>nộp thuế theo từng lần phát sinh áp dụng với</w:t>
      </w:r>
      <w:r w:rsidR="002B0476" w:rsidRPr="00AD3645">
        <w:rPr>
          <w:rFonts w:ascii="Arial" w:hAnsi="Arial" w:cs="Arial"/>
          <w:sz w:val="20"/>
          <w:szCs w:val="20"/>
        </w:rPr>
        <w:t xml:space="preserve"> </w:t>
      </w:r>
      <w:r w:rsidRPr="00AD3645">
        <w:rPr>
          <w:rFonts w:ascii="Arial" w:hAnsi="Arial" w:cs="Arial"/>
          <w:sz w:val="20"/>
          <w:szCs w:val="20"/>
        </w:rPr>
        <w:t>t</w:t>
      </w:r>
      <w:r w:rsidR="00DB20B2" w:rsidRPr="00AD3645">
        <w:rPr>
          <w:rFonts w:ascii="Arial" w:hAnsi="Arial" w:cs="Arial"/>
          <w:sz w:val="20"/>
          <w:szCs w:val="20"/>
        </w:rPr>
        <w:t>hu nhập từ chuyển nhượng bất động sản; thu nhập từ chuyển nhượng vốn của cá nhân cư trú;</w:t>
      </w:r>
      <w:r w:rsidR="002B0476" w:rsidRPr="00AD3645">
        <w:rPr>
          <w:rFonts w:ascii="Arial" w:hAnsi="Arial" w:cs="Arial"/>
          <w:sz w:val="20"/>
          <w:szCs w:val="20"/>
        </w:rPr>
        <w:t xml:space="preserve"> </w:t>
      </w:r>
      <w:r w:rsidR="002B0476" w:rsidRPr="00AD3645">
        <w:rPr>
          <w:rFonts w:ascii="Arial" w:eastAsia="Times New Roman" w:hAnsi="Arial" w:cs="Arial"/>
          <w:color w:val="000000"/>
          <w:sz w:val="20"/>
          <w:szCs w:val="20"/>
          <w:lang w:val="vi-VN"/>
        </w:rPr>
        <w:t>Thu nhập từ nhận thừa kế, quà tặng; Thu nhập phát sinh từ hoạt động sản xuất kinh doanh hàng hoá, dịch vụ của cá nhân, nhóm cá nhân kinh doanh được cơ quan thuế cấp hoá đơn lẻ;</w:t>
      </w:r>
      <w:r w:rsidR="002B0476" w:rsidRPr="00AD3645">
        <w:rPr>
          <w:rFonts w:ascii="Arial" w:eastAsia="Times New Roman" w:hAnsi="Arial" w:cs="Arial"/>
          <w:color w:val="000000"/>
          <w:sz w:val="20"/>
          <w:szCs w:val="20"/>
          <w:lang w:val="it-IT"/>
        </w:rPr>
        <w:t xml:space="preserve"> </w:t>
      </w:r>
      <w:r w:rsidRPr="00AD3645">
        <w:rPr>
          <w:rFonts w:ascii="Arial" w:eastAsia="Times New Roman" w:hAnsi="Arial" w:cs="Arial"/>
          <w:color w:val="000000"/>
          <w:sz w:val="20"/>
          <w:szCs w:val="20"/>
          <w:lang w:val="it-IT"/>
        </w:rPr>
        <w:t>T</w:t>
      </w:r>
      <w:r w:rsidR="002B0476" w:rsidRPr="00AD3645">
        <w:rPr>
          <w:rFonts w:ascii="Arial" w:eastAsia="Times New Roman" w:hAnsi="Arial" w:cs="Arial"/>
          <w:color w:val="000000"/>
          <w:sz w:val="20"/>
          <w:szCs w:val="20"/>
          <w:lang w:val="vi-VN"/>
        </w:rPr>
        <w:t>hu nhập phát sinh tại nước ngoài của cá nhân cư trú, trừ thu nhập từ tiền lương, tiền công;</w:t>
      </w:r>
      <w:r w:rsidR="002B0476" w:rsidRPr="00AD3645">
        <w:rPr>
          <w:rFonts w:ascii="Arial" w:eastAsia="Times New Roman" w:hAnsi="Arial" w:cs="Arial"/>
          <w:color w:val="000000"/>
          <w:sz w:val="20"/>
          <w:szCs w:val="20"/>
          <w:lang w:val="it-IT"/>
        </w:rPr>
        <w:t xml:space="preserve"> </w:t>
      </w:r>
      <w:r w:rsidR="002B0476" w:rsidRPr="00AD3645">
        <w:rPr>
          <w:rFonts w:ascii="Arial" w:eastAsia="Times New Roman" w:hAnsi="Arial" w:cs="Arial"/>
          <w:color w:val="000000"/>
          <w:sz w:val="20"/>
          <w:szCs w:val="20"/>
          <w:lang w:val="vi-VN"/>
        </w:rPr>
        <w:t>Thu nhập phát sinh tại Việt Nam nhưng nhận thu nhập tại nước ngoài của cá nhân không cư trú, trừ thu nhập từ tiền lương, tiền công</w:t>
      </w:r>
      <w:r w:rsidRPr="00AD3645">
        <w:rPr>
          <w:rFonts w:ascii="Arial" w:eastAsia="Times New Roman" w:hAnsi="Arial" w:cs="Arial"/>
          <w:color w:val="000000"/>
          <w:sz w:val="20"/>
          <w:szCs w:val="20"/>
        </w:rPr>
        <w:t xml:space="preserve">; (iv) </w:t>
      </w:r>
      <w:r w:rsidR="0095575E" w:rsidRPr="00AD3645">
        <w:rPr>
          <w:rFonts w:ascii="Arial" w:hAnsi="Arial" w:cs="Arial"/>
          <w:sz w:val="20"/>
          <w:szCs w:val="20"/>
        </w:rPr>
        <w:t>Khai thuế</w:t>
      </w:r>
      <w:r w:rsidR="007F6DB6" w:rsidRPr="00AD3645">
        <w:rPr>
          <w:rFonts w:ascii="Arial" w:hAnsi="Arial" w:cs="Arial"/>
          <w:sz w:val="20"/>
          <w:szCs w:val="20"/>
        </w:rPr>
        <w:t>, nộp thuế</w:t>
      </w:r>
      <w:r w:rsidR="0095575E" w:rsidRPr="00AD3645">
        <w:rPr>
          <w:rFonts w:ascii="Arial" w:hAnsi="Arial" w:cs="Arial"/>
          <w:sz w:val="20"/>
          <w:szCs w:val="20"/>
        </w:rPr>
        <w:t xml:space="preserve"> theo năm áp dụng với </w:t>
      </w:r>
      <w:r w:rsidRPr="00AD3645">
        <w:rPr>
          <w:rFonts w:ascii="Arial" w:hAnsi="Arial" w:cs="Arial"/>
          <w:sz w:val="20"/>
          <w:szCs w:val="20"/>
        </w:rPr>
        <w:t>c</w:t>
      </w:r>
      <w:r w:rsidR="0095575E" w:rsidRPr="00AD3645">
        <w:rPr>
          <w:rFonts w:ascii="Arial" w:hAnsi="Arial" w:cs="Arial"/>
          <w:sz w:val="20"/>
          <w:szCs w:val="20"/>
        </w:rPr>
        <w:t>á nhân kinh doanh chưa thực hiện đúng quy định của pháp luật về kế toán, hóa đơn, chứng từ, không xác định được doanh thu, chi phí và thu nhập chịu thuế.</w:t>
      </w:r>
    </w:p>
    <w:p w:rsidR="001262F3" w:rsidRPr="00AD3645" w:rsidRDefault="00607EAB" w:rsidP="00B33188">
      <w:pPr>
        <w:spacing w:before="120" w:after="0"/>
        <w:ind w:firstLine="720"/>
        <w:jc w:val="both"/>
        <w:rPr>
          <w:rFonts w:ascii="Arial" w:hAnsi="Arial" w:cs="Arial"/>
          <w:sz w:val="20"/>
          <w:szCs w:val="20"/>
        </w:rPr>
      </w:pPr>
      <w:r w:rsidRPr="00AD3645">
        <w:rPr>
          <w:rFonts w:ascii="Arial" w:hAnsi="Arial" w:cs="Arial"/>
          <w:b/>
          <w:i/>
          <w:sz w:val="20"/>
          <w:szCs w:val="20"/>
        </w:rPr>
        <w:lastRenderedPageBreak/>
        <w:t xml:space="preserve">Thứ hai, </w:t>
      </w:r>
      <w:r w:rsidRPr="00AD3645">
        <w:rPr>
          <w:rFonts w:ascii="Arial" w:hAnsi="Arial" w:cs="Arial"/>
          <w:sz w:val="20"/>
          <w:szCs w:val="20"/>
        </w:rPr>
        <w:t>g</w:t>
      </w:r>
      <w:r w:rsidR="001262F3" w:rsidRPr="00AD3645">
        <w:rPr>
          <w:rFonts w:ascii="Arial" w:hAnsi="Arial" w:cs="Arial"/>
          <w:sz w:val="20"/>
          <w:szCs w:val="20"/>
        </w:rPr>
        <w:t>iảm khối lượng quyết toán thuế</w:t>
      </w:r>
      <w:r w:rsidR="00BF160B" w:rsidRPr="00AD3645">
        <w:rPr>
          <w:rFonts w:ascii="Arial" w:hAnsi="Arial" w:cs="Arial"/>
          <w:sz w:val="20"/>
          <w:szCs w:val="20"/>
        </w:rPr>
        <w:t xml:space="preserve"> trực tiếp tại cơ quan thuế thông qua việc quy định cá nhân ủy quyền cho đơn vị chi trả thu nhâp quyết toán thuế</w:t>
      </w:r>
      <w:r w:rsidR="00A52827" w:rsidRPr="00AD3645">
        <w:rPr>
          <w:rFonts w:ascii="Arial" w:hAnsi="Arial" w:cs="Arial"/>
          <w:sz w:val="20"/>
          <w:szCs w:val="20"/>
        </w:rPr>
        <w:t>; quy định các trường hợp không phải khai quyết toán thuế theo năm</w:t>
      </w:r>
      <w:r w:rsidRPr="00AD3645">
        <w:rPr>
          <w:rFonts w:ascii="Arial" w:hAnsi="Arial" w:cs="Arial"/>
          <w:sz w:val="20"/>
          <w:szCs w:val="20"/>
        </w:rPr>
        <w:t>.</w:t>
      </w:r>
      <w:r w:rsidR="00BF160B" w:rsidRPr="00AD3645">
        <w:rPr>
          <w:rFonts w:ascii="Arial" w:hAnsi="Arial" w:cs="Arial"/>
          <w:sz w:val="20"/>
          <w:szCs w:val="20"/>
        </w:rPr>
        <w:t xml:space="preserve"> </w:t>
      </w:r>
    </w:p>
    <w:p w:rsidR="001262F3" w:rsidRPr="00AD3645" w:rsidRDefault="00607EAB" w:rsidP="00607EAB">
      <w:pPr>
        <w:spacing w:before="120" w:after="0"/>
        <w:ind w:firstLine="720"/>
        <w:jc w:val="both"/>
        <w:rPr>
          <w:rFonts w:ascii="Arial" w:hAnsi="Arial" w:cs="Arial"/>
          <w:sz w:val="20"/>
          <w:szCs w:val="20"/>
        </w:rPr>
      </w:pPr>
      <w:r w:rsidRPr="00AD3645">
        <w:rPr>
          <w:rFonts w:ascii="Arial" w:hAnsi="Arial" w:cs="Arial"/>
          <w:sz w:val="20"/>
          <w:szCs w:val="20"/>
        </w:rPr>
        <w:t>Nghị định 65 cho phép c</w:t>
      </w:r>
      <w:r w:rsidR="001262F3" w:rsidRPr="00AD3645">
        <w:rPr>
          <w:rFonts w:ascii="Arial" w:hAnsi="Arial" w:cs="Arial"/>
          <w:sz w:val="20"/>
          <w:szCs w:val="20"/>
        </w:rPr>
        <w:t xml:space="preserve">á nhân </w:t>
      </w:r>
      <w:r w:rsidR="007F41F4" w:rsidRPr="00AD3645">
        <w:rPr>
          <w:rFonts w:ascii="Arial" w:hAnsi="Arial" w:cs="Arial"/>
          <w:sz w:val="20"/>
          <w:szCs w:val="20"/>
        </w:rPr>
        <w:t xml:space="preserve">ủy quyền cho đơn vị chi trả thu nhập quyết toán thuế thay trong </w:t>
      </w:r>
      <w:r w:rsidRPr="00AD3645">
        <w:rPr>
          <w:rFonts w:ascii="Arial" w:hAnsi="Arial" w:cs="Arial"/>
          <w:sz w:val="20"/>
          <w:szCs w:val="20"/>
        </w:rPr>
        <w:t xml:space="preserve">các </w:t>
      </w:r>
      <w:r w:rsidR="007F41F4" w:rsidRPr="00AD3645">
        <w:rPr>
          <w:rFonts w:ascii="Arial" w:hAnsi="Arial" w:cs="Arial"/>
          <w:sz w:val="20"/>
          <w:szCs w:val="20"/>
        </w:rPr>
        <w:t>trường hợp</w:t>
      </w:r>
      <w:r w:rsidRPr="00AD3645">
        <w:rPr>
          <w:rFonts w:ascii="Arial" w:hAnsi="Arial" w:cs="Arial"/>
          <w:sz w:val="20"/>
          <w:szCs w:val="20"/>
        </w:rPr>
        <w:t>: (i) C</w:t>
      </w:r>
      <w:r w:rsidR="007F41F4" w:rsidRPr="00AD3645">
        <w:rPr>
          <w:rFonts w:ascii="Arial" w:hAnsi="Arial" w:cs="Arial"/>
          <w:sz w:val="20"/>
          <w:szCs w:val="20"/>
        </w:rPr>
        <w:t>á nhân chỉ có một nguồn thu nhập từ tiền lương, tiền công phát sinh tại một đơn vị</w:t>
      </w:r>
      <w:r w:rsidRPr="00AD3645">
        <w:rPr>
          <w:rFonts w:ascii="Arial" w:hAnsi="Arial" w:cs="Arial"/>
          <w:sz w:val="20"/>
          <w:szCs w:val="20"/>
        </w:rPr>
        <w:t>; (ii) C</w:t>
      </w:r>
      <w:r w:rsidR="007F41F4" w:rsidRPr="00AD3645">
        <w:rPr>
          <w:rFonts w:ascii="Arial" w:hAnsi="Arial" w:cs="Arial"/>
          <w:sz w:val="20"/>
          <w:szCs w:val="20"/>
        </w:rPr>
        <w:t>á nhân ngoài nguồn tiền lương, tiền công phát sinh tại đơn vị còn có thêm thu nhập khác bình quân tháng trong năm không quá 10 triệu đồng đã được đơn vị chi trả khấu trừ tại nguồn;</w:t>
      </w:r>
      <w:r w:rsidRPr="00AD3645">
        <w:rPr>
          <w:rFonts w:ascii="Arial" w:hAnsi="Arial" w:cs="Arial"/>
          <w:sz w:val="20"/>
          <w:szCs w:val="20"/>
        </w:rPr>
        <w:t xml:space="preserve"> (iii) </w:t>
      </w:r>
      <w:r w:rsidR="00EA22B9" w:rsidRPr="00AD3645">
        <w:rPr>
          <w:rFonts w:ascii="Arial" w:hAnsi="Arial" w:cs="Arial"/>
          <w:sz w:val="20"/>
          <w:szCs w:val="20"/>
        </w:rPr>
        <w:t>Cá nhân ngoài nguồn tiền lương, tiền công phát sinh tại đơn vị còn có thêm</w:t>
      </w:r>
      <w:r w:rsidR="007F41F4" w:rsidRPr="00AD3645">
        <w:rPr>
          <w:rFonts w:ascii="Arial" w:hAnsi="Arial" w:cs="Arial"/>
          <w:sz w:val="20"/>
          <w:szCs w:val="20"/>
        </w:rPr>
        <w:t xml:space="preserve"> thu nhập từ cho thuê nhà, cho thuê quyền sử dụng đất có doanh thu bình quân tháng trong năm không quá 20 triệu đồng</w:t>
      </w:r>
      <w:r w:rsidR="00EA22B9" w:rsidRPr="00AD3645">
        <w:rPr>
          <w:rFonts w:ascii="Arial" w:hAnsi="Arial" w:cs="Arial"/>
          <w:sz w:val="20"/>
          <w:szCs w:val="20"/>
        </w:rPr>
        <w:t xml:space="preserve"> đã nộp thuế tại nơi có nhà, quyền sử dụng đất cho thuê</w:t>
      </w:r>
      <w:r w:rsidR="007F41F4" w:rsidRPr="00AD3645">
        <w:rPr>
          <w:rFonts w:ascii="Arial" w:hAnsi="Arial" w:cs="Arial"/>
          <w:sz w:val="20"/>
          <w:szCs w:val="20"/>
        </w:rPr>
        <w:t xml:space="preserve">.  </w:t>
      </w:r>
    </w:p>
    <w:p w:rsidR="006919D0" w:rsidRPr="00AD3645" w:rsidRDefault="00607EAB" w:rsidP="00607EAB">
      <w:pPr>
        <w:spacing w:before="120" w:after="0"/>
        <w:ind w:firstLine="720"/>
        <w:jc w:val="both"/>
        <w:rPr>
          <w:rFonts w:ascii="Arial" w:hAnsi="Arial" w:cs="Arial"/>
          <w:sz w:val="20"/>
          <w:szCs w:val="20"/>
        </w:rPr>
      </w:pPr>
      <w:r w:rsidRPr="00AD3645">
        <w:rPr>
          <w:rFonts w:ascii="Arial" w:hAnsi="Arial" w:cs="Arial"/>
          <w:sz w:val="20"/>
          <w:szCs w:val="20"/>
        </w:rPr>
        <w:t>Nghị định 65 quy định c</w:t>
      </w:r>
      <w:r w:rsidR="00EA22B9" w:rsidRPr="00AD3645">
        <w:rPr>
          <w:rFonts w:ascii="Arial" w:hAnsi="Arial" w:cs="Arial"/>
          <w:sz w:val="20"/>
          <w:szCs w:val="20"/>
        </w:rPr>
        <w:t xml:space="preserve">á nhân không phải khai quyết toán thuế năm </w:t>
      </w:r>
      <w:r w:rsidR="009C07B4" w:rsidRPr="00AD3645">
        <w:rPr>
          <w:rFonts w:ascii="Arial" w:hAnsi="Arial" w:cs="Arial"/>
          <w:sz w:val="20"/>
          <w:szCs w:val="20"/>
        </w:rPr>
        <w:t>trong</w:t>
      </w:r>
      <w:r w:rsidR="00EA22B9" w:rsidRPr="00AD3645">
        <w:rPr>
          <w:rFonts w:ascii="Arial" w:hAnsi="Arial" w:cs="Arial"/>
          <w:sz w:val="20"/>
          <w:szCs w:val="20"/>
        </w:rPr>
        <w:t xml:space="preserve"> trường hợp</w:t>
      </w:r>
      <w:r w:rsidRPr="00AD3645">
        <w:rPr>
          <w:rFonts w:ascii="Arial" w:hAnsi="Arial" w:cs="Arial"/>
          <w:sz w:val="20"/>
          <w:szCs w:val="20"/>
        </w:rPr>
        <w:t>: (i) C</w:t>
      </w:r>
      <w:r w:rsidR="00BF160B" w:rsidRPr="00AD3645">
        <w:rPr>
          <w:rFonts w:ascii="Arial" w:hAnsi="Arial" w:cs="Arial"/>
          <w:sz w:val="20"/>
          <w:szCs w:val="20"/>
        </w:rPr>
        <w:t>á nhân có số thuế phải nộp nhỏ hơn số thuế đã tạm nộp hàng quý mà không có yêu cầu hoàn thuế hoặc bù trừ thuế vào kỳ sau;</w:t>
      </w:r>
      <w:r w:rsidRPr="00AD3645">
        <w:rPr>
          <w:rFonts w:ascii="Arial" w:hAnsi="Arial" w:cs="Arial"/>
          <w:sz w:val="20"/>
          <w:szCs w:val="20"/>
        </w:rPr>
        <w:t xml:space="preserve"> (ii) C</w:t>
      </w:r>
      <w:r w:rsidR="00BF160B" w:rsidRPr="00AD3645">
        <w:rPr>
          <w:rFonts w:ascii="Arial" w:hAnsi="Arial" w:cs="Arial"/>
          <w:sz w:val="20"/>
          <w:szCs w:val="20"/>
        </w:rPr>
        <w:t>á nhân, hộ kinh doanh chỉ có một ngưồn thu nhập từ kinh doanh đã nộp thuế theo quy định;</w:t>
      </w:r>
      <w:r w:rsidRPr="00AD3645">
        <w:rPr>
          <w:rFonts w:ascii="Arial" w:hAnsi="Arial" w:cs="Arial"/>
          <w:sz w:val="20"/>
          <w:szCs w:val="20"/>
        </w:rPr>
        <w:t xml:space="preserve"> (iii) </w:t>
      </w:r>
      <w:r w:rsidR="00BF160B" w:rsidRPr="00AD3645">
        <w:rPr>
          <w:rFonts w:ascii="Arial" w:hAnsi="Arial" w:cs="Arial"/>
          <w:sz w:val="20"/>
          <w:szCs w:val="20"/>
        </w:rPr>
        <w:t>Cá nhân, hộ gia đình chỉ có thu nhập từ việc cho thuê nhà, quyền sử dụng đất trực đã thực hiện nộp thuế theo kê khai tại nơi có nhà, quyền sử dụng đấ</w:t>
      </w:r>
      <w:r w:rsidRPr="00AD3645">
        <w:rPr>
          <w:rFonts w:ascii="Arial" w:hAnsi="Arial" w:cs="Arial"/>
          <w:sz w:val="20"/>
          <w:szCs w:val="20"/>
        </w:rPr>
        <w:t>t cho thuê</w:t>
      </w:r>
      <w:r w:rsidR="006919D0" w:rsidRPr="00AD3645">
        <w:rPr>
          <w:rFonts w:ascii="Arial" w:hAnsi="Arial" w:cs="Arial"/>
          <w:sz w:val="20"/>
          <w:szCs w:val="20"/>
        </w:rPr>
        <w:t>.</w:t>
      </w:r>
      <w:r w:rsidR="002F173B" w:rsidRPr="00AD3645">
        <w:rPr>
          <w:rFonts w:ascii="Arial" w:hAnsi="Arial" w:cs="Arial"/>
          <w:sz w:val="20"/>
          <w:szCs w:val="20"/>
        </w:rPr>
        <w:t>/.</w:t>
      </w:r>
    </w:p>
    <w:p w:rsidR="006919D0" w:rsidRPr="00AD3645" w:rsidRDefault="00D819F6" w:rsidP="00CB778C">
      <w:pPr>
        <w:spacing w:before="120" w:after="0"/>
        <w:ind w:firstLine="720"/>
        <w:jc w:val="both"/>
        <w:rPr>
          <w:rFonts w:ascii="Arial" w:hAnsi="Arial" w:cs="Arial"/>
          <w:i/>
          <w:sz w:val="20"/>
          <w:szCs w:val="20"/>
        </w:rPr>
      </w:pPr>
      <w:r w:rsidRPr="00AD3645">
        <w:rPr>
          <w:rFonts w:ascii="Arial" w:hAnsi="Arial" w:cs="Arial"/>
          <w:i/>
          <w:sz w:val="20"/>
          <w:szCs w:val="20"/>
        </w:rPr>
        <w:t>Phạm Ngọc Hiếu - PC</w:t>
      </w:r>
    </w:p>
    <w:p w:rsidR="00DF62A2" w:rsidRPr="00AD3645" w:rsidRDefault="008C56EC" w:rsidP="001B4DDB">
      <w:pPr>
        <w:spacing w:after="0"/>
        <w:ind w:firstLine="720"/>
        <w:jc w:val="both"/>
        <w:rPr>
          <w:rFonts w:ascii="Arial" w:hAnsi="Arial" w:cs="Arial"/>
          <w:b/>
          <w:sz w:val="20"/>
          <w:szCs w:val="20"/>
        </w:rPr>
      </w:pPr>
      <w:r w:rsidRPr="00AD3645">
        <w:rPr>
          <w:rFonts w:ascii="Arial" w:hAnsi="Arial" w:cs="Arial"/>
          <w:sz w:val="20"/>
          <w:szCs w:val="20"/>
        </w:rPr>
        <w:tab/>
      </w:r>
      <w:r w:rsidRPr="00AD3645">
        <w:rPr>
          <w:rFonts w:ascii="Arial" w:hAnsi="Arial" w:cs="Arial"/>
          <w:sz w:val="20"/>
          <w:szCs w:val="20"/>
        </w:rPr>
        <w:tab/>
      </w:r>
      <w:r w:rsidRPr="00AD3645">
        <w:rPr>
          <w:rFonts w:ascii="Arial" w:hAnsi="Arial" w:cs="Arial"/>
          <w:sz w:val="20"/>
          <w:szCs w:val="20"/>
        </w:rPr>
        <w:tab/>
      </w:r>
      <w:r w:rsidRPr="00AD3645">
        <w:rPr>
          <w:rFonts w:ascii="Arial" w:hAnsi="Arial" w:cs="Arial"/>
          <w:sz w:val="20"/>
          <w:szCs w:val="20"/>
        </w:rPr>
        <w:tab/>
      </w:r>
      <w:r w:rsidRPr="00AD3645">
        <w:rPr>
          <w:rFonts w:ascii="Arial" w:hAnsi="Arial" w:cs="Arial"/>
          <w:sz w:val="20"/>
          <w:szCs w:val="20"/>
        </w:rPr>
        <w:tab/>
      </w:r>
      <w:r w:rsidRPr="00AD3645">
        <w:rPr>
          <w:rFonts w:ascii="Arial" w:hAnsi="Arial" w:cs="Arial"/>
          <w:sz w:val="20"/>
          <w:szCs w:val="20"/>
        </w:rPr>
        <w:tab/>
      </w:r>
      <w:r w:rsidRPr="00AD3645">
        <w:rPr>
          <w:rFonts w:ascii="Arial" w:hAnsi="Arial" w:cs="Arial"/>
          <w:sz w:val="20"/>
          <w:szCs w:val="20"/>
        </w:rPr>
        <w:tab/>
      </w:r>
    </w:p>
    <w:sectPr w:rsidR="00DF62A2" w:rsidRPr="00AD3645" w:rsidSect="008F6BC6">
      <w:footerReference w:type="default" r:id="rId8"/>
      <w:pgSz w:w="11907" w:h="16840" w:code="1"/>
      <w:pgMar w:top="1134" w:right="1134" w:bottom="1134" w:left="1701" w:header="720" w:footer="8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986" w:rsidRDefault="008E2986" w:rsidP="005B67EA">
      <w:pPr>
        <w:spacing w:after="0" w:line="240" w:lineRule="auto"/>
      </w:pPr>
      <w:r>
        <w:separator/>
      </w:r>
    </w:p>
  </w:endnote>
  <w:endnote w:type="continuationSeparator" w:id="0">
    <w:p w:rsidR="008E2986" w:rsidRDefault="008E2986" w:rsidP="005B6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abi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382844"/>
      <w:docPartObj>
        <w:docPartGallery w:val="Page Numbers (Bottom of Page)"/>
        <w:docPartUnique/>
      </w:docPartObj>
    </w:sdtPr>
    <w:sdtContent>
      <w:p w:rsidR="00BF160B" w:rsidRPr="000366D4" w:rsidRDefault="009A1B26">
        <w:pPr>
          <w:pStyle w:val="Footer"/>
          <w:jc w:val="center"/>
          <w:rPr>
            <w:rFonts w:ascii="Times New Roman" w:hAnsi="Times New Roman" w:cs="Times New Roman"/>
            <w:sz w:val="24"/>
            <w:szCs w:val="24"/>
          </w:rPr>
        </w:pPr>
        <w:r w:rsidRPr="000366D4">
          <w:rPr>
            <w:rFonts w:ascii="Times New Roman" w:hAnsi="Times New Roman" w:cs="Times New Roman"/>
            <w:sz w:val="24"/>
            <w:szCs w:val="24"/>
          </w:rPr>
          <w:fldChar w:fldCharType="begin"/>
        </w:r>
        <w:r w:rsidR="00BF160B" w:rsidRPr="000366D4">
          <w:rPr>
            <w:rFonts w:ascii="Times New Roman" w:hAnsi="Times New Roman" w:cs="Times New Roman"/>
            <w:sz w:val="24"/>
            <w:szCs w:val="24"/>
          </w:rPr>
          <w:instrText xml:space="preserve"> PAGE   \* MERGEFORMAT </w:instrText>
        </w:r>
        <w:r w:rsidRPr="000366D4">
          <w:rPr>
            <w:rFonts w:ascii="Times New Roman" w:hAnsi="Times New Roman" w:cs="Times New Roman"/>
            <w:sz w:val="24"/>
            <w:szCs w:val="24"/>
          </w:rPr>
          <w:fldChar w:fldCharType="separate"/>
        </w:r>
        <w:r w:rsidR="00AD3645">
          <w:rPr>
            <w:rFonts w:ascii="Times New Roman" w:hAnsi="Times New Roman" w:cs="Times New Roman"/>
            <w:noProof/>
            <w:sz w:val="24"/>
            <w:szCs w:val="24"/>
          </w:rPr>
          <w:t>1</w:t>
        </w:r>
        <w:r w:rsidRPr="000366D4">
          <w:rPr>
            <w:rFonts w:ascii="Times New Roman" w:hAnsi="Times New Roman" w:cs="Times New Roman"/>
            <w:sz w:val="24"/>
            <w:szCs w:val="24"/>
          </w:rPr>
          <w:fldChar w:fldCharType="end"/>
        </w:r>
      </w:p>
    </w:sdtContent>
  </w:sdt>
  <w:p w:rsidR="00BF160B" w:rsidRPr="000366D4" w:rsidRDefault="00BF160B">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986" w:rsidRDefault="008E2986" w:rsidP="005B67EA">
      <w:pPr>
        <w:spacing w:after="0" w:line="240" w:lineRule="auto"/>
      </w:pPr>
      <w:r>
        <w:separator/>
      </w:r>
    </w:p>
  </w:footnote>
  <w:footnote w:type="continuationSeparator" w:id="0">
    <w:p w:rsidR="008E2986" w:rsidRDefault="008E2986" w:rsidP="005B6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64984"/>
    <w:multiLevelType w:val="hybridMultilevel"/>
    <w:tmpl w:val="F70AF2C8"/>
    <w:lvl w:ilvl="0" w:tplc="41B40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0808EC"/>
    <w:multiLevelType w:val="hybridMultilevel"/>
    <w:tmpl w:val="C5F00030"/>
    <w:lvl w:ilvl="0" w:tplc="B41E8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FELayout/>
  </w:compat>
  <w:rsids>
    <w:rsidRoot w:val="00F222D5"/>
    <w:rsid w:val="00034B16"/>
    <w:rsid w:val="00036658"/>
    <w:rsid w:val="000366D4"/>
    <w:rsid w:val="00043310"/>
    <w:rsid w:val="0005754C"/>
    <w:rsid w:val="00071D9A"/>
    <w:rsid w:val="00074A96"/>
    <w:rsid w:val="000A03A6"/>
    <w:rsid w:val="000A6C6D"/>
    <w:rsid w:val="000F5254"/>
    <w:rsid w:val="0010577F"/>
    <w:rsid w:val="00116427"/>
    <w:rsid w:val="001262F3"/>
    <w:rsid w:val="00137BD7"/>
    <w:rsid w:val="00174014"/>
    <w:rsid w:val="001B4DDB"/>
    <w:rsid w:val="001C0433"/>
    <w:rsid w:val="001E29F4"/>
    <w:rsid w:val="002037CC"/>
    <w:rsid w:val="002206FE"/>
    <w:rsid w:val="002252FB"/>
    <w:rsid w:val="0024661A"/>
    <w:rsid w:val="00257FAE"/>
    <w:rsid w:val="00265C15"/>
    <w:rsid w:val="00266547"/>
    <w:rsid w:val="00270722"/>
    <w:rsid w:val="00274910"/>
    <w:rsid w:val="00281D90"/>
    <w:rsid w:val="002B0476"/>
    <w:rsid w:val="002C24F1"/>
    <w:rsid w:val="002D00BB"/>
    <w:rsid w:val="002E36FF"/>
    <w:rsid w:val="002F173B"/>
    <w:rsid w:val="00325128"/>
    <w:rsid w:val="00353163"/>
    <w:rsid w:val="003657E4"/>
    <w:rsid w:val="00383884"/>
    <w:rsid w:val="00385116"/>
    <w:rsid w:val="003863FF"/>
    <w:rsid w:val="003B5CC1"/>
    <w:rsid w:val="003D3043"/>
    <w:rsid w:val="003E552C"/>
    <w:rsid w:val="00414BBB"/>
    <w:rsid w:val="0043214C"/>
    <w:rsid w:val="0047639C"/>
    <w:rsid w:val="004828E8"/>
    <w:rsid w:val="00483E02"/>
    <w:rsid w:val="00487073"/>
    <w:rsid w:val="004A321D"/>
    <w:rsid w:val="004B7B8C"/>
    <w:rsid w:val="004C42CD"/>
    <w:rsid w:val="004D7052"/>
    <w:rsid w:val="004E0342"/>
    <w:rsid w:val="005050BF"/>
    <w:rsid w:val="00542FB4"/>
    <w:rsid w:val="005841DE"/>
    <w:rsid w:val="005A4E81"/>
    <w:rsid w:val="005B67EA"/>
    <w:rsid w:val="00607EAB"/>
    <w:rsid w:val="00621F45"/>
    <w:rsid w:val="00643020"/>
    <w:rsid w:val="00660FB4"/>
    <w:rsid w:val="00662CBD"/>
    <w:rsid w:val="0067462D"/>
    <w:rsid w:val="00680B9A"/>
    <w:rsid w:val="006919D0"/>
    <w:rsid w:val="006A1589"/>
    <w:rsid w:val="006A23F6"/>
    <w:rsid w:val="006B0629"/>
    <w:rsid w:val="006B4575"/>
    <w:rsid w:val="006E1370"/>
    <w:rsid w:val="006F4DF7"/>
    <w:rsid w:val="00752FF0"/>
    <w:rsid w:val="00757442"/>
    <w:rsid w:val="007861B3"/>
    <w:rsid w:val="007F41F4"/>
    <w:rsid w:val="007F6DB6"/>
    <w:rsid w:val="00802992"/>
    <w:rsid w:val="00806EF5"/>
    <w:rsid w:val="00807CA2"/>
    <w:rsid w:val="008155C4"/>
    <w:rsid w:val="0082543F"/>
    <w:rsid w:val="00842234"/>
    <w:rsid w:val="008B5A0F"/>
    <w:rsid w:val="008B5F4E"/>
    <w:rsid w:val="008C56EC"/>
    <w:rsid w:val="008D7E13"/>
    <w:rsid w:val="008E0727"/>
    <w:rsid w:val="008E2986"/>
    <w:rsid w:val="008F6BC6"/>
    <w:rsid w:val="00905FEE"/>
    <w:rsid w:val="00934470"/>
    <w:rsid w:val="00941275"/>
    <w:rsid w:val="0095575E"/>
    <w:rsid w:val="00986115"/>
    <w:rsid w:val="009A1B26"/>
    <w:rsid w:val="009A3766"/>
    <w:rsid w:val="009C07B4"/>
    <w:rsid w:val="00A52827"/>
    <w:rsid w:val="00A628B8"/>
    <w:rsid w:val="00A968C1"/>
    <w:rsid w:val="00AA017D"/>
    <w:rsid w:val="00AA69AE"/>
    <w:rsid w:val="00AD3645"/>
    <w:rsid w:val="00AF1C55"/>
    <w:rsid w:val="00AF377C"/>
    <w:rsid w:val="00B20491"/>
    <w:rsid w:val="00B22912"/>
    <w:rsid w:val="00B33188"/>
    <w:rsid w:val="00B51991"/>
    <w:rsid w:val="00B55861"/>
    <w:rsid w:val="00B55956"/>
    <w:rsid w:val="00BB1282"/>
    <w:rsid w:val="00BE3E6B"/>
    <w:rsid w:val="00BF160B"/>
    <w:rsid w:val="00C07617"/>
    <w:rsid w:val="00C116BE"/>
    <w:rsid w:val="00C62F53"/>
    <w:rsid w:val="00C71EF2"/>
    <w:rsid w:val="00C96D8D"/>
    <w:rsid w:val="00CA539F"/>
    <w:rsid w:val="00CB778C"/>
    <w:rsid w:val="00CE4A80"/>
    <w:rsid w:val="00D370E8"/>
    <w:rsid w:val="00D501C3"/>
    <w:rsid w:val="00D624C9"/>
    <w:rsid w:val="00D62515"/>
    <w:rsid w:val="00D733C2"/>
    <w:rsid w:val="00D80E74"/>
    <w:rsid w:val="00D819F6"/>
    <w:rsid w:val="00D906F9"/>
    <w:rsid w:val="00DB20B2"/>
    <w:rsid w:val="00DC2666"/>
    <w:rsid w:val="00DC3DEB"/>
    <w:rsid w:val="00DE5ACC"/>
    <w:rsid w:val="00DF62A2"/>
    <w:rsid w:val="00E33D83"/>
    <w:rsid w:val="00E40D1A"/>
    <w:rsid w:val="00E55BA9"/>
    <w:rsid w:val="00E62324"/>
    <w:rsid w:val="00E757ED"/>
    <w:rsid w:val="00EA22B9"/>
    <w:rsid w:val="00EB3DD4"/>
    <w:rsid w:val="00F045A0"/>
    <w:rsid w:val="00F222D5"/>
    <w:rsid w:val="00F241A5"/>
    <w:rsid w:val="00F71137"/>
    <w:rsid w:val="00F74819"/>
    <w:rsid w:val="00F93320"/>
    <w:rsid w:val="00FB1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E81"/>
    <w:pPr>
      <w:ind w:left="720"/>
      <w:contextualSpacing/>
    </w:p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Body Text Indent Char1"/>
    <w:basedOn w:val="Normal"/>
    <w:link w:val="BodyTextIndentChar"/>
    <w:uiPriority w:val="99"/>
    <w:rsid w:val="001B4DDB"/>
    <w:pPr>
      <w:spacing w:before="120" w:after="120" w:line="240" w:lineRule="auto"/>
      <w:ind w:firstLine="720"/>
      <w:jc w:val="both"/>
    </w:pPr>
    <w:rPr>
      <w:rFonts w:ascii=".VnArabia" w:eastAsia="Times New Roman" w:hAnsi=".VnArabia" w:cs=".VnArabia"/>
      <w:sz w:val="28"/>
      <w:szCs w:val="28"/>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1B4DDB"/>
    <w:rPr>
      <w:rFonts w:ascii=".VnArabia" w:eastAsia="Times New Roman" w:hAnsi=".VnArabia" w:cs=".VnArabia"/>
      <w:sz w:val="28"/>
      <w:szCs w:val="28"/>
    </w:rPr>
  </w:style>
  <w:style w:type="character" w:styleId="Hyperlink">
    <w:name w:val="Hyperlink"/>
    <w:basedOn w:val="DefaultParagraphFont"/>
    <w:uiPriority w:val="99"/>
    <w:unhideWhenUsed/>
    <w:rsid w:val="00B20491"/>
    <w:rPr>
      <w:color w:val="0000FF" w:themeColor="hyperlink"/>
      <w:u w:val="single"/>
    </w:rPr>
  </w:style>
  <w:style w:type="paragraph" w:styleId="FootnoteText">
    <w:name w:val="footnote text"/>
    <w:basedOn w:val="Normal"/>
    <w:link w:val="FootnoteTextChar"/>
    <w:uiPriority w:val="99"/>
    <w:semiHidden/>
    <w:unhideWhenUsed/>
    <w:rsid w:val="005B67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7EA"/>
    <w:rPr>
      <w:sz w:val="20"/>
      <w:szCs w:val="20"/>
    </w:rPr>
  </w:style>
  <w:style w:type="character" w:styleId="FootnoteReference">
    <w:name w:val="footnote reference"/>
    <w:basedOn w:val="DefaultParagraphFont"/>
    <w:uiPriority w:val="99"/>
    <w:semiHidden/>
    <w:unhideWhenUsed/>
    <w:rsid w:val="005B67EA"/>
    <w:rPr>
      <w:vertAlign w:val="superscript"/>
    </w:rPr>
  </w:style>
  <w:style w:type="paragraph" w:styleId="Header">
    <w:name w:val="header"/>
    <w:basedOn w:val="Normal"/>
    <w:link w:val="HeaderChar"/>
    <w:uiPriority w:val="99"/>
    <w:semiHidden/>
    <w:unhideWhenUsed/>
    <w:rsid w:val="000366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D4"/>
  </w:style>
  <w:style w:type="paragraph" w:styleId="Footer">
    <w:name w:val="footer"/>
    <w:basedOn w:val="Normal"/>
    <w:link w:val="FooterChar"/>
    <w:uiPriority w:val="99"/>
    <w:unhideWhenUsed/>
    <w:rsid w:val="00036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D4"/>
  </w:style>
  <w:style w:type="paragraph" w:styleId="BalloonText">
    <w:name w:val="Balloon Text"/>
    <w:basedOn w:val="Normal"/>
    <w:link w:val="BalloonTextChar"/>
    <w:uiPriority w:val="99"/>
    <w:semiHidden/>
    <w:unhideWhenUsed/>
    <w:rsid w:val="00691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9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7098339">
      <w:bodyDiv w:val="1"/>
      <w:marLeft w:val="0"/>
      <w:marRight w:val="0"/>
      <w:marTop w:val="0"/>
      <w:marBottom w:val="0"/>
      <w:divBdr>
        <w:top w:val="none" w:sz="0" w:space="0" w:color="auto"/>
        <w:left w:val="none" w:sz="0" w:space="0" w:color="auto"/>
        <w:bottom w:val="none" w:sz="0" w:space="0" w:color="auto"/>
        <w:right w:val="none" w:sz="0" w:space="0" w:color="auto"/>
      </w:divBdr>
      <w:divsChild>
        <w:div w:id="407312001">
          <w:marLeft w:val="0"/>
          <w:marRight w:val="0"/>
          <w:marTop w:val="0"/>
          <w:marBottom w:val="0"/>
          <w:divBdr>
            <w:top w:val="none" w:sz="0" w:space="0" w:color="auto"/>
            <w:left w:val="none" w:sz="0" w:space="0" w:color="auto"/>
            <w:bottom w:val="none" w:sz="0" w:space="0" w:color="auto"/>
            <w:right w:val="none" w:sz="0" w:space="0" w:color="auto"/>
          </w:divBdr>
        </w:div>
        <w:div w:id="1922136009">
          <w:marLeft w:val="0"/>
          <w:marRight w:val="0"/>
          <w:marTop w:val="0"/>
          <w:marBottom w:val="0"/>
          <w:divBdr>
            <w:top w:val="none" w:sz="0" w:space="0" w:color="auto"/>
            <w:left w:val="none" w:sz="0" w:space="0" w:color="auto"/>
            <w:bottom w:val="none" w:sz="0" w:space="0" w:color="auto"/>
            <w:right w:val="none" w:sz="0" w:space="0" w:color="auto"/>
          </w:divBdr>
        </w:div>
        <w:div w:id="13115461">
          <w:marLeft w:val="0"/>
          <w:marRight w:val="0"/>
          <w:marTop w:val="0"/>
          <w:marBottom w:val="0"/>
          <w:divBdr>
            <w:top w:val="none" w:sz="0" w:space="0" w:color="auto"/>
            <w:left w:val="none" w:sz="0" w:space="0" w:color="auto"/>
            <w:bottom w:val="none" w:sz="0" w:space="0" w:color="auto"/>
            <w:right w:val="none" w:sz="0" w:space="0" w:color="auto"/>
          </w:divBdr>
        </w:div>
        <w:div w:id="31295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7E509-FDBC-41BC-A153-0BAAE1A8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cp:lastModifiedBy>
  <cp:revision>3</cp:revision>
  <cp:lastPrinted>2013-08-09T06:48:00Z</cp:lastPrinted>
  <dcterms:created xsi:type="dcterms:W3CDTF">2013-08-14T01:06:00Z</dcterms:created>
  <dcterms:modified xsi:type="dcterms:W3CDTF">2013-08-14T07:05:00Z</dcterms:modified>
</cp:coreProperties>
</file>