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DC" w:rsidRPr="006F42CA" w:rsidRDefault="00FC32DC" w:rsidP="006F42CA">
      <w:pPr>
        <w:pStyle w:val="NormalWeb"/>
        <w:spacing w:before="120" w:after="120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Kh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tài chính toàn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2008-2009 và suy thoái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sau đó đã gây tác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tình hình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trong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rõ nét là dòng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nh, gây áp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phát và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giá.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Trong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i gian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năm 2007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 năm 2011,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m phát luôn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c 2 con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.</w:t>
      </w:r>
      <w:r w:rsidRPr="006F42CA"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de-DE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 ổ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giá và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, Ngân hàng Nhà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c (NHNN) thay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i cơ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u hành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giá theo hư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ng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>ng, linh 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t,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pháp mua và bán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can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khi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p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a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u hành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giá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các công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ụ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chính sách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m áp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 lên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giá và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, duy trì chênh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ch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a lãi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 VND và USD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m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o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 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m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có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hơn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USD, khuy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khích doanh nghi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p và ngư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dân chuy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m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USD sang VND, phát hành tín phi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u NHNN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hút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,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áp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u cơ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giá.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ăng cư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ng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p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 các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, ngành trong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c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n lý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ng, ki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m soát và x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ử 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lý các hành vi vi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m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n lý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i; tri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n khai các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 pháp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>i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i,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p x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p căn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vàng,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tác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a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giá vàng lên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giá;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p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thông tin, tuyên truy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dư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nhi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u hình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nh hư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ng,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ng.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02/NQ-CP ngày 09/02/2011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pháp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ỉ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hành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- xã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2011, NHNN đã ban hành 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230/QĐ-NHNN ngày 11/2/2011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bình quân liên ngân hàng lên 20.693 VND, tăng 9,3%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18.932 VND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đó,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ẹ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±3% 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±1%; ban hành Thông tư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07/TT-NHNN ngày 24/3/2011 thu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ẹ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cho vay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(TCTD)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khách hàng vay là ngư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cư trú.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đó, NHNN ban hành hàng lo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văn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qui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lãi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huy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huy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USD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6%/năm 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2%/năm,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tăng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ử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các TCTD thêm 2% lên 6%,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doanh nghi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bán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cho các TCTD, chuy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quan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huy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– cho vay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trong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TCTD sang quan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mua bán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ử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lý các giao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pháp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do. 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pháp 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NHNN nêu trên,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đã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n, căng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ẳ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y lùi.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2011,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chính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ỉ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tăng 10,01%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cùng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năm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20.828 VND,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niêm 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(NHTM) tương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và 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cho phép,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thái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các NHTM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ậ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siêu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ỉ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10,4% giá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hơn nhi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con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18%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ra, cán cân thanh toán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dư kho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3,1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USD,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thâm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3,07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USD vào năm 2010.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tháng 8/2011, NHNN đã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tiêu ki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soát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trong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tháng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tăng không quá 1% và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c tiêu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tăng không quá 2-3%/năm trong năm 2012,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các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pháp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chính sách lãi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hài hòa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và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i, kiên 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ử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theo Ngh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95/2011/NĐ-CP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trương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đô la hóa trong 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và ki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soát tăng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ở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ở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lý, góp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i, NHNN đã ban hành Thông tư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03/TT-NHNN ngày 08/3/2012 thu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ẹ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các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. Theo đó, khách hàng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ỉ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vay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có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thu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kinh doanh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ợ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vay,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khác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ậ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a NHNN.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2012, giá USD mua vào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các NHTM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trung bình 1%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2011, chênh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chính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do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ẹ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p. Các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và cá nhân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bán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cho các NHTM,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NHNN mua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tăng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nhà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c.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Trong năm 2013, NHNN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ra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tiêu duy trì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không quá 2-3%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 ki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 soát k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ọ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ng v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 giá c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VND, t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đi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 ki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 cho các doanh nghi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 ch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ng trong k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 s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 xu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 kinh doanh.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ra, NHNN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và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ẽ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theo tín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ng, phù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các cân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vĩ mô và cán cân thanh toán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pháp tăng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nhà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c.</w:t>
      </w:r>
    </w:p>
    <w:p w:rsidR="00CB72C4" w:rsidRPr="006F42CA" w:rsidRDefault="003E16BC">
      <w:pPr>
        <w:pStyle w:val="Heading1"/>
        <w:spacing w:before="120" w:after="120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ạ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i m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ộ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 s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 xml:space="preserve">ố 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th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ờ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i đi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ể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m trong năm 2013, áp l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ự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c t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ỷ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giá tăng nh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 xml:space="preserve">ẹ 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theo di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ễ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 bi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ế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 trên th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 xml:space="preserve">ị 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trư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ờ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ng tài chính trong nư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ớ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c và qu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ố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c t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ế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, m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ộ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 s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ố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NHTM đã nâng giá USD lên k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ị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ch tr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ầ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 cho phép, th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ậ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m chí tăng giá mua b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ằ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ng giá bán lên k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ị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ch tr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ầ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 21.036 VND, giá bán USD trên th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 xml:space="preserve">ị 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trư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ờ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ng t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 xml:space="preserve">ự 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do lên t</w:t>
      </w:r>
      <w:r w:rsidRPr="006F42CA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  <w:lang w:val="ar-SA"/>
        </w:rPr>
        <w:t>ớ</w:t>
      </w:r>
      <w:r w:rsidRPr="006F42CA">
        <w:rPr>
          <w:rFonts w:ascii="Arial" w:eastAsia="Calibri" w:hAnsi="Arial" w:cs="Arial"/>
          <w:b w:val="0"/>
          <w:color w:val="000000" w:themeColor="text1"/>
          <w:sz w:val="20"/>
          <w:szCs w:val="20"/>
          <w:shd w:val="clear" w:color="auto" w:fill="FFFFFF"/>
        </w:rPr>
        <w:t>i 21.320 VND</w:t>
      </w:r>
      <w:r w:rsidRPr="006F42CA">
        <w:rPr>
          <w:rFonts w:ascii="Arial" w:eastAsia="Calibri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 d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 áp l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 lên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giá, ngày 27/6/2013, NHNN đã đi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 tăng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giá bình quân liên ngân hàng thêm 1% lên m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c 21.036 VND/USD, sau 1,5 năm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 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nh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 20.828 VND,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th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 ti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 kh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ẳ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 quy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t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lastRenderedPageBreak/>
        <w:t xml:space="preserve">tâm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giá như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 hư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ra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u năm. Sau th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 gian đó, nhu c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u USD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 các NHTM b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ắ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u 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ạ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nhi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t, gây tác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lan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ỏ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 sang th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do. Trong nh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ngày cu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 năm 2013, giá USD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i các NHTM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nh quanh m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 21.140 VND. Trên th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do, giá USD ph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ổ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bi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 21.180-21.200 VND.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CB72C4" w:rsidRPr="006F42CA" w:rsidRDefault="003E16BC">
      <w:pPr>
        <w:pStyle w:val="NormalWeb"/>
        <w:spacing w:before="120" w:after="120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ờ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chính sách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và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can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năm 2013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 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dao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cho phép, không có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nhu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ng. Chênh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chính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do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ẹ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đô la hóa (ti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ử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trong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thanh toán)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13,2%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15,8% vào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 2011.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không còn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tác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giá USD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, đây là 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quan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ọ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trong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duy trì và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ố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lòng tin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các nhà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tư.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đã góp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tích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phát, thu hút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ngoài, tăng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i. Do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nh, các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và cá nhân có thiên hư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bán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cho các NHTM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y VND, dòng ki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tăng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nh.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Lư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ng ki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 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 v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 Nam trong năm 2013 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 kho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ng 11 t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USD, 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ứ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9 trong danh sách các nư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 nh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ậ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 ki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 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 hàng đ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 th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gi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i.</w:t>
      </w:r>
    </w:p>
    <w:p w:rsidR="00CB72C4" w:rsidRPr="006F42CA" w:rsidRDefault="003E16BC">
      <w:pPr>
        <w:pStyle w:val="NormalWeb"/>
        <w:spacing w:before="120" w:after="120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</w:rPr>
        <w:t>Phát huy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trong năm 2013, NHNN đã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ra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c tiêu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năm 2014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không quá ±2%, k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ẽ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chính sách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và chính sách lãi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i, theo dõi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ẽ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ễ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và cán cân thanh toán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lãi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ử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USD và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bình quân liên ngân hàng phù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ễ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trên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, thông su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:rsidR="00CB72C4" w:rsidRPr="006F42CA" w:rsidRDefault="003E16BC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Trong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nh tín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VND tăng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ậ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m, NHNN đã n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ỏ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tư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ng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c vay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sv-SE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theo ch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trương c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a Chính ph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, t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ậ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p trung vào các lĩnh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 ưu tiên và kh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năng cân đ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ngo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a NHTM.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lãi su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 th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p hơn 4-5%/năm so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vay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 VND, các doanh nghi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p có th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p c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ậ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 ngu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 tín d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ng giá r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ẻ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, góp ph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 gi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m chi phí trong vi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 tìm ki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m th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ng m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thay th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đ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gi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m d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 s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ph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ụ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thu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ộ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 vào th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ng Trung Qu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c. Do tín d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tăng cao, giá mua bán USD đư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c duy trì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m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c cao, cùng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i tâm lý k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ọ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ng v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kh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năng NHNN s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ẽ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s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m đi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nh tăng t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giá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sau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thông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chính sách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trong năm 2014</w:t>
      </w:r>
      <w:r w:rsidRPr="006F42CA">
        <w:rPr>
          <w:rFonts w:ascii="Arial" w:hAnsi="Arial" w:cs="Arial"/>
          <w:color w:val="000000" w:themeColor="text1"/>
          <w:spacing w:val="-6"/>
          <w:sz w:val="20"/>
          <w:szCs w:val="20"/>
        </w:rPr>
        <w:t>, NHNN đã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nâng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chính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thêm 1% lên 21.246 VND/USD, có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ngày 19/6/2014. Đây là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tiên trong vòng 1 năm, và là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ứ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2 trong g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3 năm 2011-2014. Quy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thêm 1% đã góp ph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ỗ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ợ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xu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trong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tháng cu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năm, qua đó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ỗ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ợ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tăng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ở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. Sau khi đi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nh, NHNN ti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ể 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giá và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trên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giá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</w:p>
    <w:p w:rsidR="00CB72C4" w:rsidRPr="006F42CA" w:rsidRDefault="003E16BC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color="FF0000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Bư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sang năm 2015 là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năm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y bi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và nhiều thách thức trong công tác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hành chính sách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nói chung và chính sách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 nói riêng trong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đô la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ỹ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liên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lên giá do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ọ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Fed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tăng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và Trung 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ng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ờ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Nhân dân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kéo theo làn sóng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giá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các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các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tác thương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chính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t Nam.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trong nư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c,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huy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trái phi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Chính ph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ủ 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(TPCP)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lư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l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bù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thâm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ngân sách không thành công đã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y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TPCP tăng cao,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áp l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kép lên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: D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ư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ừ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thanh kho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trong ng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trong khi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tăng cao trong dài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n, qua đó gián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tiêu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t cho vay và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giá.</w:t>
      </w:r>
    </w:p>
    <w:p w:rsidR="00CB72C4" w:rsidRPr="006F42CA" w:rsidRDefault="003E16BC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pacing w:val="-4"/>
          <w:sz w:val="20"/>
          <w:szCs w:val="20"/>
          <w:u w:color="FF0000"/>
          <w:lang w:val="pt-PT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tình hình đó, NHNN đã 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ng, linh ho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trong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hành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đưa ra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pháp phù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ki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n, tình hình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i. Trên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, ngay sau khi 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NHTW Trung Quốc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 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b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ng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 xml:space="preserve"> phá giá đ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CNY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 vào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gày 11/8/2015, ngày 12/8/2015, NHNN đã linh ho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t,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p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i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nh biên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giá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a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Nam và Đô la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ỹ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tăng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+/-1% lên +/-2%.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p đó,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p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c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d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ẫ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 d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ng, xóa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ỏ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tâm lý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ọ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ng, đón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u các tác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l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i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a kh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năng Fed tăng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và bi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a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tài chính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i, ngày 19/8/2015, NHNN đã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giá bình quân liên ngân hàng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a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 Nam và USD thêm 1%,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i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biên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giá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+/-2% lên +/-3%</w:t>
      </w:r>
      <w:r w:rsidRPr="006F42CA">
        <w:rPr>
          <w:rFonts w:ascii="Arial" w:eastAsia="Times New Roman" w:hAnsi="Arial" w:cs="Arial"/>
          <w:color w:val="000000" w:themeColor="text1"/>
          <w:sz w:val="20"/>
          <w:szCs w:val="20"/>
          <w:u w:color="FF0000"/>
          <w:vertAlign w:val="superscript"/>
        </w:rPr>
        <w:footnoteReference w:id="2"/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.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cũng đã đư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truy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thông 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rõ ràng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thích rõ lý do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là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trung hòa,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các cú s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bên ngoài.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là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đã đón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ậ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thái này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t cách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lastRenderedPageBreak/>
        <w:t xml:space="preserve">hoan nghênh,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các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 xml:space="preserve">c 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tài chính</w:t>
      </w:r>
      <w:r w:rsidR="009F63CB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-</w:t>
      </w:r>
      <w:r w:rsidR="00D913C5"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 xml:space="preserve"> tiền tệ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(IMF, WB), Ngân hàng 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 xml:space="preserve">(HSBC, ANZ, Standard Chartered, Citibank…)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và đánh giá cao là ph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 xml:space="preserve">n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 “ch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ng”, “c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n thi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t”, “nhanh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y” và “k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p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i”.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pt-PT"/>
        </w:rPr>
        <w:t>giá và t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h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trư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ng ngo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i h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 xml:space="preserve">i đã nhanh chóng đi vào 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ổ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n đ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nh, tâm lý th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trư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ng đư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c gi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>i t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ar-SA"/>
        </w:rPr>
        <w:t>ỏ</w:t>
      </w:r>
      <w:r w:rsidRPr="006F42CA">
        <w:rPr>
          <w:rFonts w:ascii="Arial" w:hAnsi="Arial" w:cs="Arial"/>
          <w:color w:val="000000" w:themeColor="text1"/>
          <w:spacing w:val="-4"/>
          <w:sz w:val="20"/>
          <w:szCs w:val="20"/>
          <w:u w:color="FF0000"/>
          <w:lang w:val="pt-PT"/>
        </w:rPr>
        <w:t xml:space="preserve">a. </w:t>
      </w:r>
    </w:p>
    <w:p w:rsidR="00CB72C4" w:rsidRPr="006F42CA" w:rsidRDefault="003E16BC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Thêm vào đó, tình tr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đô la hóa trong 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đã khi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cơ, găm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USD tr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thành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thói quen trong 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. Khi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bi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ng, tâm lý găm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tăng cao, các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kinh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chưa có nhu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USD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cũng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y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mua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phòng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,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ra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u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USD, gây áp l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lên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giá.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ể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quy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ề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này, NHNN đã có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ữ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bư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đi và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pháp đư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đánh giá là sáng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ho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cơ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USD trên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ng. Trong đó đáng chú ý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là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USD qua đó tăng tính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d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ẫ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ng,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ỉ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lãi su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ấ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ti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trên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ng liên ngân hàng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phù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ế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các ngân hàng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cơ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và ban hành Thông tư 15/2015/TT-NHNN quy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 các TCTD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ỉ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bán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ỳ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cho các nhu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ngày thanh toán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3 ngày tr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lên nh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xóa b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ỏ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tình tr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 xml:space="preserve">u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o do các doanh nghi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p mua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n. K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qu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ả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là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 ổ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nh,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 trên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gi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m xu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dư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m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 bán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NHNN và ph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ánh sát hơn cung-c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th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ự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c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a n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kinh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. Các TCTD đã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cân 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đư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và g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 đây không ph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xin mua ngo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NHNN.</w:t>
      </w:r>
    </w:p>
    <w:p w:rsidR="00CB72C4" w:rsidRPr="006F42CA" w:rsidRDefault="003E16BC">
      <w:pPr>
        <w:pStyle w:val="NormalWeb"/>
        <w:spacing w:before="120" w:after="120"/>
        <w:ind w:firstLine="360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V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i vi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c đi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ề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u hành t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giá mang tính ch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 xml:space="preserve">ủ 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đ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ộ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ng và linh ho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u w:color="FF0000"/>
        </w:rPr>
        <w:t>t hơn,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giá và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ờ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trong giai đo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n này đã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ổ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nh hơn so v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i giai đo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ỷ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giá giao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ị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ch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a các NHTM di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ễ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bi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ế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linh 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 trong biên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ộ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cho phép. Thanh kho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toàn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ngân hàng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 Nam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n, lòng tin vào giá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ị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a đ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ồ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Vi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 Nam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ủ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, tình 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đô la hóa gi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m 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nh, các TCTD có xu hư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mua ròng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ừ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khách hàng và bán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cho NHNN, cán cân thanh toán c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thi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ệ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ầ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và đang th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ặ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ng dư 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ở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m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ứ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 cao. NHNN mua đư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 lư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ợ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 l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 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t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ệ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b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ổ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sung tăng d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ự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tr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 xml:space="preserve">ữ 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ngo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ạ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h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ố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i nhà nư</w:t>
      </w:r>
      <w:r w:rsidRPr="006F42CA">
        <w:rPr>
          <w:rFonts w:ascii="Arial" w:hAnsi="Arial" w:cs="Arial"/>
          <w:color w:val="000000" w:themeColor="text1"/>
          <w:sz w:val="20"/>
          <w:szCs w:val="20"/>
          <w:lang w:val="ar-SA"/>
        </w:rPr>
        <w:t>ớ</w:t>
      </w:r>
      <w:r w:rsidRPr="006F42CA">
        <w:rPr>
          <w:rFonts w:ascii="Arial" w:hAnsi="Arial" w:cs="Arial"/>
          <w:color w:val="000000" w:themeColor="text1"/>
          <w:sz w:val="20"/>
          <w:szCs w:val="20"/>
          <w:lang w:val="de-DE"/>
        </w:rPr>
        <w:t>c.</w:t>
      </w:r>
    </w:p>
    <w:p w:rsidR="00E13789" w:rsidRPr="006F42CA" w:rsidRDefault="00E13789">
      <w:pPr>
        <w:pStyle w:val="NormalWeb"/>
        <w:spacing w:before="120" w:after="120"/>
        <w:ind w:firstLine="360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6F42CA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Vũ Xuân Thanh</w:t>
      </w:r>
    </w:p>
    <w:sectPr w:rsidR="00E13789" w:rsidRPr="006F42CA" w:rsidSect="00CB72C4">
      <w:headerReference w:type="default" r:id="rId6"/>
      <w:footerReference w:type="default" r:id="rId7"/>
      <w:pgSz w:w="12240" w:h="15840"/>
      <w:pgMar w:top="1134" w:right="1134" w:bottom="1077" w:left="1701" w:header="397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57" w:rsidRDefault="00857457" w:rsidP="00CB72C4">
      <w:pPr>
        <w:spacing w:after="0" w:line="240" w:lineRule="auto"/>
      </w:pPr>
      <w:r>
        <w:separator/>
      </w:r>
    </w:p>
  </w:endnote>
  <w:endnote w:type="continuationSeparator" w:id="0">
    <w:p w:rsidR="00857457" w:rsidRDefault="00857457" w:rsidP="00CB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C4" w:rsidRDefault="00E41404">
    <w:pPr>
      <w:pStyle w:val="Footer"/>
      <w:jc w:val="right"/>
    </w:pPr>
    <w:r>
      <w:fldChar w:fldCharType="begin"/>
    </w:r>
    <w:r w:rsidR="003E16BC">
      <w:instrText xml:space="preserve"> PAGE </w:instrText>
    </w:r>
    <w:r>
      <w:fldChar w:fldCharType="separate"/>
    </w:r>
    <w:r w:rsidR="00F8024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57" w:rsidRDefault="00857457">
      <w:r>
        <w:separator/>
      </w:r>
    </w:p>
  </w:footnote>
  <w:footnote w:type="continuationSeparator" w:id="0">
    <w:p w:rsidR="00857457" w:rsidRDefault="00857457">
      <w:r>
        <w:continuationSeparator/>
      </w:r>
    </w:p>
  </w:footnote>
  <w:footnote w:type="continuationNotice" w:id="1">
    <w:p w:rsidR="00857457" w:rsidRDefault="00857457"/>
  </w:footnote>
  <w:footnote w:id="2">
    <w:p w:rsidR="00CB72C4" w:rsidRPr="009D3382" w:rsidRDefault="003E16BC">
      <w:pPr>
        <w:pStyle w:val="FootnoteText"/>
        <w:rPr>
          <w:color w:val="000000" w:themeColor="text1"/>
        </w:rPr>
      </w:pPr>
      <w:r w:rsidRPr="009D33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  <w:vertAlign w:val="superscript"/>
        </w:rPr>
        <w:footnoteRef/>
      </w:r>
      <w:r w:rsidRPr="009D3382">
        <w:rPr>
          <w:rFonts w:ascii="Times New Roman"/>
          <w:color w:val="000000" w:themeColor="text1"/>
        </w:rPr>
        <w:t xml:space="preserve"> T</w:t>
      </w:r>
      <w:r w:rsidRPr="009D3382">
        <w:rPr>
          <w:rFonts w:hAnsi="Arial Unicode MS"/>
          <w:color w:val="000000" w:themeColor="text1"/>
        </w:rPr>
        <w:t>í</w:t>
      </w:r>
      <w:r w:rsidRPr="009D3382">
        <w:rPr>
          <w:rFonts w:ascii="Times New Roman"/>
          <w:color w:val="000000" w:themeColor="text1"/>
        </w:rPr>
        <w:t>nh chung trong n</w:t>
      </w:r>
      <w:r w:rsidRPr="009D3382">
        <w:rPr>
          <w:rFonts w:hAnsi="Arial Unicode MS"/>
          <w:color w:val="000000" w:themeColor="text1"/>
        </w:rPr>
        <w:t>ă</w:t>
      </w:r>
      <w:r w:rsidRPr="009D3382">
        <w:rPr>
          <w:rFonts w:ascii="Times New Roman"/>
          <w:color w:val="000000" w:themeColor="text1"/>
        </w:rPr>
        <w:t>m 2015, NHNN th</w:t>
      </w:r>
      <w:r w:rsidRPr="009D3382">
        <w:rPr>
          <w:rFonts w:hAnsi="Arial Unicode MS"/>
          <w:color w:val="000000" w:themeColor="text1"/>
          <w:lang w:val="ar-SA"/>
        </w:rPr>
        <w:t>ự</w:t>
      </w:r>
      <w:r w:rsidRPr="009D3382">
        <w:rPr>
          <w:rFonts w:ascii="Times New Roman"/>
          <w:color w:val="000000" w:themeColor="text1"/>
        </w:rPr>
        <w:t>c hi</w:t>
      </w:r>
      <w:r w:rsidRPr="009D3382">
        <w:rPr>
          <w:rFonts w:hAnsi="Arial Unicode MS"/>
          <w:color w:val="000000" w:themeColor="text1"/>
          <w:lang w:val="ar-SA"/>
        </w:rPr>
        <w:t>ệ</w:t>
      </w:r>
      <w:r w:rsidRPr="009D3382">
        <w:rPr>
          <w:rFonts w:ascii="Times New Roman"/>
          <w:color w:val="000000" w:themeColor="text1"/>
        </w:rPr>
        <w:t xml:space="preserve">n </w:t>
      </w:r>
      <w:r w:rsidRPr="009D3382">
        <w:rPr>
          <w:rFonts w:hAnsi="Arial Unicode MS"/>
          <w:color w:val="000000" w:themeColor="text1"/>
        </w:rPr>
        <w:t>đ</w:t>
      </w:r>
      <w:r w:rsidRPr="009D3382">
        <w:rPr>
          <w:rFonts w:ascii="Times New Roman"/>
          <w:color w:val="000000" w:themeColor="text1"/>
        </w:rPr>
        <w:t>i</w:t>
      </w:r>
      <w:r w:rsidRPr="009D3382">
        <w:rPr>
          <w:rFonts w:hAnsi="Arial Unicode MS"/>
          <w:color w:val="000000" w:themeColor="text1"/>
          <w:lang w:val="ar-SA"/>
        </w:rPr>
        <w:t>ề</w:t>
      </w:r>
      <w:r w:rsidRPr="009D3382">
        <w:rPr>
          <w:rFonts w:ascii="Times New Roman"/>
          <w:color w:val="000000" w:themeColor="text1"/>
        </w:rPr>
        <w:t>u ch</w:t>
      </w:r>
      <w:r w:rsidRPr="009D3382">
        <w:rPr>
          <w:rFonts w:hAnsi="Arial Unicode MS"/>
          <w:color w:val="000000" w:themeColor="text1"/>
          <w:lang w:val="ar-SA"/>
        </w:rPr>
        <w:t>ỉ</w:t>
      </w:r>
      <w:r w:rsidRPr="009D3382">
        <w:rPr>
          <w:rFonts w:ascii="Times New Roman"/>
          <w:color w:val="000000" w:themeColor="text1"/>
        </w:rPr>
        <w:t>nh t</w:t>
      </w:r>
      <w:r w:rsidRPr="009D3382">
        <w:rPr>
          <w:rFonts w:hAnsi="Arial Unicode MS"/>
          <w:color w:val="000000" w:themeColor="text1"/>
        </w:rPr>
        <w:t>ă</w:t>
      </w:r>
      <w:r w:rsidRPr="009D3382">
        <w:rPr>
          <w:rFonts w:ascii="Times New Roman"/>
          <w:color w:val="000000" w:themeColor="text1"/>
        </w:rPr>
        <w:t>ng t</w:t>
      </w:r>
      <w:r w:rsidRPr="009D3382">
        <w:rPr>
          <w:rFonts w:hAnsi="Arial Unicode MS"/>
          <w:color w:val="000000" w:themeColor="text1"/>
          <w:lang w:val="ar-SA"/>
        </w:rPr>
        <w:t>ỷ</w:t>
      </w:r>
      <w:r w:rsidRPr="009D3382">
        <w:rPr>
          <w:rFonts w:hAnsi="Arial Unicode MS"/>
          <w:color w:val="000000" w:themeColor="text1"/>
          <w:lang w:val="ar-SA"/>
        </w:rPr>
        <w:t xml:space="preserve"> </w:t>
      </w:r>
      <w:r w:rsidRPr="009D3382">
        <w:rPr>
          <w:rFonts w:ascii="Times New Roman"/>
          <w:color w:val="000000" w:themeColor="text1"/>
        </w:rPr>
        <w:t>gi</w:t>
      </w:r>
      <w:r w:rsidRPr="009D3382">
        <w:rPr>
          <w:rFonts w:hAnsi="Arial Unicode MS"/>
          <w:color w:val="000000" w:themeColor="text1"/>
        </w:rPr>
        <w:t>á</w:t>
      </w:r>
      <w:r w:rsidRPr="009D3382">
        <w:rPr>
          <w:rFonts w:hAnsi="Arial Unicode MS"/>
          <w:color w:val="000000" w:themeColor="text1"/>
        </w:rPr>
        <w:t xml:space="preserve"> </w:t>
      </w:r>
      <w:r w:rsidRPr="009D3382">
        <w:rPr>
          <w:rFonts w:ascii="Times New Roman"/>
          <w:color w:val="000000" w:themeColor="text1"/>
        </w:rPr>
        <w:t>3% v</w:t>
      </w:r>
      <w:r w:rsidRPr="009D3382">
        <w:rPr>
          <w:rFonts w:hAnsi="Arial Unicode MS"/>
          <w:color w:val="000000" w:themeColor="text1"/>
        </w:rPr>
        <w:t>à</w:t>
      </w:r>
      <w:r w:rsidRPr="009D3382">
        <w:rPr>
          <w:rFonts w:hAnsi="Arial Unicode MS"/>
          <w:color w:val="000000" w:themeColor="text1"/>
        </w:rPr>
        <w:t xml:space="preserve"> </w:t>
      </w:r>
      <w:r w:rsidRPr="009D3382">
        <w:rPr>
          <w:rFonts w:ascii="Times New Roman"/>
          <w:color w:val="000000" w:themeColor="text1"/>
        </w:rPr>
        <w:t>n</w:t>
      </w:r>
      <w:r w:rsidRPr="009D3382">
        <w:rPr>
          <w:rFonts w:hAnsi="Arial Unicode MS"/>
          <w:color w:val="000000" w:themeColor="text1"/>
          <w:lang w:val="ar-SA"/>
        </w:rPr>
        <w:t>ớ</w:t>
      </w:r>
      <w:r w:rsidRPr="009D3382">
        <w:rPr>
          <w:rFonts w:ascii="Times New Roman"/>
          <w:color w:val="000000" w:themeColor="text1"/>
        </w:rPr>
        <w:t>i bi</w:t>
      </w:r>
      <w:r w:rsidRPr="009D3382">
        <w:rPr>
          <w:rFonts w:hAnsi="Arial Unicode MS"/>
          <w:color w:val="000000" w:themeColor="text1"/>
        </w:rPr>
        <w:t>ê</w:t>
      </w:r>
      <w:r w:rsidRPr="009D3382">
        <w:rPr>
          <w:rFonts w:ascii="Times New Roman"/>
          <w:color w:val="000000" w:themeColor="text1"/>
        </w:rPr>
        <w:t xml:space="preserve">n </w:t>
      </w:r>
      <w:r w:rsidRPr="009D3382">
        <w:rPr>
          <w:rFonts w:hAnsi="Arial Unicode MS"/>
          <w:color w:val="000000" w:themeColor="text1"/>
        </w:rPr>
        <w:t>đ</w:t>
      </w:r>
      <w:r w:rsidRPr="009D3382">
        <w:rPr>
          <w:rFonts w:hAnsi="Arial Unicode MS"/>
          <w:color w:val="000000" w:themeColor="text1"/>
          <w:lang w:val="ar-SA"/>
        </w:rPr>
        <w:t>ộ</w:t>
      </w:r>
      <w:r w:rsidRPr="009D3382">
        <w:rPr>
          <w:rFonts w:hAnsi="Arial Unicode MS"/>
          <w:color w:val="000000" w:themeColor="text1"/>
          <w:lang w:val="ar-SA"/>
        </w:rPr>
        <w:t xml:space="preserve"> </w:t>
      </w:r>
      <w:r w:rsidRPr="009D3382">
        <w:rPr>
          <w:rFonts w:ascii="Times New Roman"/>
          <w:color w:val="000000" w:themeColor="text1"/>
        </w:rPr>
        <w:t>th</w:t>
      </w:r>
      <w:r w:rsidRPr="009D3382">
        <w:rPr>
          <w:rFonts w:hAnsi="Arial Unicode MS"/>
          <w:color w:val="000000" w:themeColor="text1"/>
        </w:rPr>
        <w:t>ê</w:t>
      </w:r>
      <w:r w:rsidRPr="009D3382">
        <w:rPr>
          <w:rFonts w:ascii="Times New Roman"/>
          <w:color w:val="000000" w:themeColor="text1"/>
        </w:rPr>
        <w:t>m 2% t</w:t>
      </w:r>
      <w:r w:rsidRPr="009D3382">
        <w:rPr>
          <w:rFonts w:hAnsi="Arial Unicode MS"/>
          <w:color w:val="000000" w:themeColor="text1"/>
          <w:lang w:val="ar-SA"/>
        </w:rPr>
        <w:t>ừ</w:t>
      </w:r>
      <w:r w:rsidRPr="009D3382">
        <w:rPr>
          <w:rFonts w:hAnsi="Arial Unicode MS"/>
          <w:color w:val="000000" w:themeColor="text1"/>
          <w:lang w:val="ar-SA"/>
        </w:rPr>
        <w:t xml:space="preserve"> </w:t>
      </w:r>
      <w:r w:rsidRPr="009D3382">
        <w:rPr>
          <w:rFonts w:ascii="Times New Roman"/>
          <w:color w:val="000000" w:themeColor="text1"/>
        </w:rPr>
        <w:t>m</w:t>
      </w:r>
      <w:r w:rsidRPr="009D3382">
        <w:rPr>
          <w:rFonts w:hAnsi="Arial Unicode MS"/>
          <w:color w:val="000000" w:themeColor="text1"/>
          <w:lang w:val="ar-SA"/>
        </w:rPr>
        <w:t>ứ</w:t>
      </w:r>
      <w:r w:rsidRPr="009D3382">
        <w:rPr>
          <w:rFonts w:ascii="Times New Roman"/>
          <w:color w:val="000000" w:themeColor="text1"/>
        </w:rPr>
        <w:t>c +/-1% l</w:t>
      </w:r>
      <w:r w:rsidRPr="009D3382">
        <w:rPr>
          <w:rFonts w:hAnsi="Arial Unicode MS"/>
          <w:color w:val="000000" w:themeColor="text1"/>
        </w:rPr>
        <w:t>ê</w:t>
      </w:r>
      <w:r w:rsidRPr="009D3382">
        <w:rPr>
          <w:rFonts w:ascii="Times New Roman"/>
          <w:color w:val="000000" w:themeColor="text1"/>
        </w:rPr>
        <w:t>n +/-3%.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C4" w:rsidRDefault="00CB72C4">
    <w:pPr>
      <w:pStyle w:val="utrangChntrang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CB72C4"/>
    <w:rsid w:val="00045A7D"/>
    <w:rsid w:val="0015612C"/>
    <w:rsid w:val="00176DE0"/>
    <w:rsid w:val="003E16BC"/>
    <w:rsid w:val="00606F0B"/>
    <w:rsid w:val="006B4F3A"/>
    <w:rsid w:val="006F42CA"/>
    <w:rsid w:val="007C6230"/>
    <w:rsid w:val="00857457"/>
    <w:rsid w:val="009D3382"/>
    <w:rsid w:val="009E3B19"/>
    <w:rsid w:val="009F63CB"/>
    <w:rsid w:val="00B60612"/>
    <w:rsid w:val="00C90924"/>
    <w:rsid w:val="00CB72C4"/>
    <w:rsid w:val="00D913C5"/>
    <w:rsid w:val="00E13789"/>
    <w:rsid w:val="00E347F6"/>
    <w:rsid w:val="00E41404"/>
    <w:rsid w:val="00F47560"/>
    <w:rsid w:val="00F8024F"/>
    <w:rsid w:val="00FC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72C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1">
    <w:name w:val="heading 1"/>
    <w:next w:val="Normal"/>
    <w:rsid w:val="00CB72C4"/>
    <w:pPr>
      <w:keepNext/>
      <w:outlineLvl w:val="0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72C4"/>
    <w:rPr>
      <w:u w:val="single"/>
    </w:rPr>
  </w:style>
  <w:style w:type="paragraph" w:customStyle="1" w:styleId="utrangChntrang">
    <w:name w:val="Đầu trang &amp; Chân trang"/>
    <w:rsid w:val="00CB72C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CB72C4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rsid w:val="00CB72C4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noteText">
    <w:name w:val="footnote text"/>
    <w:rsid w:val="00CB72C4"/>
    <w:pPr>
      <w:spacing w:after="200" w:line="276" w:lineRule="auto"/>
    </w:pPr>
    <w:rPr>
      <w:rFonts w:ascii="Arial" w:eastAsia="Arial" w:hAnsi="Arial" w:cs="Arial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15</cp:revision>
  <cp:lastPrinted>2015-11-18T01:14:00Z</cp:lastPrinted>
  <dcterms:created xsi:type="dcterms:W3CDTF">2015-11-18T01:25:00Z</dcterms:created>
  <dcterms:modified xsi:type="dcterms:W3CDTF">2015-11-19T03:15:00Z</dcterms:modified>
</cp:coreProperties>
</file>