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441" w:rsidRPr="0014328F" w:rsidRDefault="00E31441" w:rsidP="0014328F">
      <w:pPr>
        <w:spacing w:after="0" w:line="240" w:lineRule="auto"/>
        <w:jc w:val="both"/>
        <w:rPr>
          <w:rFonts w:ascii="Arial" w:hAnsi="Arial" w:cs="Arial"/>
          <w:sz w:val="20"/>
          <w:szCs w:val="20"/>
        </w:rPr>
      </w:pPr>
      <w:r w:rsidRPr="0014328F">
        <w:rPr>
          <w:rFonts w:ascii="Arial" w:hAnsi="Arial" w:cs="Arial"/>
          <w:sz w:val="20"/>
          <w:szCs w:val="20"/>
        </w:rPr>
        <w:t xml:space="preserve">Thực tế cho thấy khó khăn trong hoạt động ngân hàng hiện nay không chỉ xuất phát từ những rủi ro trong hoạt động của chính ngân hàng mà nhiều khi còn do sự kiện chính trị gây ra. </w:t>
      </w:r>
      <w:r w:rsidR="0037459A" w:rsidRPr="0014328F">
        <w:rPr>
          <w:rFonts w:ascii="Arial" w:hAnsi="Arial" w:cs="Arial"/>
          <w:sz w:val="20"/>
          <w:szCs w:val="20"/>
        </w:rPr>
        <w:t xml:space="preserve">Vì vậy, một tổ chức BHTG hiệu quả </w:t>
      </w:r>
      <w:r w:rsidR="00F60AD8" w:rsidRPr="0014328F">
        <w:rPr>
          <w:rFonts w:ascii="Arial" w:hAnsi="Arial" w:cs="Arial"/>
          <w:sz w:val="20"/>
          <w:szCs w:val="20"/>
        </w:rPr>
        <w:t xml:space="preserve">sẽ </w:t>
      </w:r>
      <w:r w:rsidR="0037459A" w:rsidRPr="0014328F">
        <w:rPr>
          <w:rFonts w:ascii="Arial" w:hAnsi="Arial" w:cs="Arial"/>
          <w:sz w:val="20"/>
          <w:szCs w:val="20"/>
        </w:rPr>
        <w:t xml:space="preserve">góp phần giúp </w:t>
      </w:r>
      <w:r w:rsidR="00D50F31" w:rsidRPr="0014328F">
        <w:rPr>
          <w:rFonts w:ascii="Arial" w:hAnsi="Arial" w:cs="Arial"/>
          <w:sz w:val="20"/>
          <w:szCs w:val="20"/>
        </w:rPr>
        <w:t xml:space="preserve">giải quyết </w:t>
      </w:r>
      <w:r w:rsidR="0037459A" w:rsidRPr="0014328F">
        <w:rPr>
          <w:rFonts w:ascii="Arial" w:hAnsi="Arial" w:cs="Arial"/>
          <w:sz w:val="20"/>
          <w:szCs w:val="20"/>
        </w:rPr>
        <w:t xml:space="preserve">những khó khăn </w:t>
      </w:r>
      <w:r w:rsidR="000E64F2" w:rsidRPr="0014328F">
        <w:rPr>
          <w:rFonts w:ascii="Arial" w:hAnsi="Arial" w:cs="Arial"/>
          <w:sz w:val="20"/>
          <w:szCs w:val="20"/>
        </w:rPr>
        <w:t>của</w:t>
      </w:r>
      <w:r w:rsidR="0037459A" w:rsidRPr="0014328F">
        <w:rPr>
          <w:rFonts w:ascii="Arial" w:hAnsi="Arial" w:cs="Arial"/>
          <w:sz w:val="20"/>
          <w:szCs w:val="20"/>
        </w:rPr>
        <w:t xml:space="preserve"> hệ thống ngân hàng quốc gia </w:t>
      </w:r>
      <w:r w:rsidR="00F860DD" w:rsidRPr="0014328F">
        <w:rPr>
          <w:rFonts w:ascii="Arial" w:hAnsi="Arial" w:cs="Arial"/>
          <w:sz w:val="20"/>
          <w:szCs w:val="20"/>
        </w:rPr>
        <w:t>mà không sử dụng ngân sách nhà nước</w:t>
      </w:r>
      <w:r w:rsidR="0037459A" w:rsidRPr="0014328F">
        <w:rPr>
          <w:rFonts w:ascii="Arial" w:hAnsi="Arial" w:cs="Arial"/>
          <w:sz w:val="20"/>
          <w:szCs w:val="20"/>
        </w:rPr>
        <w:t>.</w:t>
      </w:r>
      <w:r w:rsidR="001D180E" w:rsidRPr="0014328F">
        <w:rPr>
          <w:rFonts w:ascii="Arial" w:hAnsi="Arial" w:cs="Arial"/>
          <w:sz w:val="20"/>
          <w:szCs w:val="20"/>
        </w:rPr>
        <w:t xml:space="preserve"> Dựa trên khảo sát gần đây của </w:t>
      </w:r>
      <w:r w:rsidR="006D0D37" w:rsidRPr="0014328F">
        <w:rPr>
          <w:rFonts w:ascii="Arial" w:hAnsi="Arial" w:cs="Arial"/>
          <w:sz w:val="20"/>
          <w:szCs w:val="20"/>
        </w:rPr>
        <w:t>Hiệp hội BHTG quốc tế (</w:t>
      </w:r>
      <w:r w:rsidR="001D180E" w:rsidRPr="0014328F">
        <w:rPr>
          <w:rFonts w:ascii="Arial" w:hAnsi="Arial" w:cs="Arial"/>
          <w:sz w:val="20"/>
          <w:szCs w:val="20"/>
        </w:rPr>
        <w:t>IADI</w:t>
      </w:r>
      <w:r w:rsidR="006D0D37" w:rsidRPr="0014328F">
        <w:rPr>
          <w:rFonts w:ascii="Arial" w:hAnsi="Arial" w:cs="Arial"/>
          <w:sz w:val="20"/>
          <w:szCs w:val="20"/>
        </w:rPr>
        <w:t>)</w:t>
      </w:r>
      <w:r w:rsidR="001D180E" w:rsidRPr="0014328F">
        <w:rPr>
          <w:rFonts w:ascii="Arial" w:hAnsi="Arial" w:cs="Arial"/>
          <w:sz w:val="20"/>
          <w:szCs w:val="20"/>
        </w:rPr>
        <w:t xml:space="preserve">, tỉ lệ phần trăm các tổ chức BHTG có vai trò trong xử lý </w:t>
      </w:r>
      <w:r w:rsidR="00AE6991" w:rsidRPr="0014328F">
        <w:rPr>
          <w:rFonts w:ascii="Arial" w:hAnsi="Arial" w:cs="Arial"/>
          <w:sz w:val="20"/>
          <w:szCs w:val="20"/>
        </w:rPr>
        <w:t xml:space="preserve">ngân hàng </w:t>
      </w:r>
      <w:r w:rsidR="001D180E" w:rsidRPr="0014328F">
        <w:rPr>
          <w:rFonts w:ascii="Arial" w:hAnsi="Arial" w:cs="Arial"/>
          <w:sz w:val="20"/>
          <w:szCs w:val="20"/>
        </w:rPr>
        <w:t>đã tăng từ khoảng 50% năm 2005 lên gần 65% năm 2011</w:t>
      </w:r>
      <w:r w:rsidR="00DE7603" w:rsidRPr="0014328F">
        <w:rPr>
          <w:rFonts w:ascii="Arial" w:hAnsi="Arial" w:cs="Arial"/>
          <w:sz w:val="20"/>
          <w:szCs w:val="20"/>
        </w:rPr>
        <w:t>.</w:t>
      </w:r>
      <w:r w:rsidR="00644D36" w:rsidRPr="0014328F">
        <w:rPr>
          <w:rFonts w:ascii="Arial" w:hAnsi="Arial" w:cs="Arial"/>
          <w:sz w:val="20"/>
          <w:szCs w:val="20"/>
        </w:rPr>
        <w:t xml:space="preserve"> </w:t>
      </w:r>
      <w:r w:rsidR="00DE7603" w:rsidRPr="0014328F">
        <w:rPr>
          <w:rFonts w:ascii="Arial" w:hAnsi="Arial" w:cs="Arial"/>
          <w:sz w:val="20"/>
          <w:szCs w:val="20"/>
        </w:rPr>
        <w:t>R</w:t>
      </w:r>
      <w:r w:rsidR="00644D36" w:rsidRPr="0014328F">
        <w:rPr>
          <w:rFonts w:ascii="Arial" w:hAnsi="Arial" w:cs="Arial"/>
          <w:sz w:val="20"/>
          <w:szCs w:val="20"/>
        </w:rPr>
        <w:t xml:space="preserve">iêng Mỹ, chỉ trong thời gian </w:t>
      </w:r>
      <w:r w:rsidR="00027209" w:rsidRPr="0014328F">
        <w:rPr>
          <w:rFonts w:ascii="Arial" w:eastAsia="Times New Roman" w:hAnsi="Arial" w:cs="Arial"/>
          <w:color w:val="000000"/>
          <w:sz w:val="20"/>
          <w:szCs w:val="20"/>
          <w:lang w:eastAsia="vi-VN"/>
        </w:rPr>
        <w:t>2010 – 2014,</w:t>
      </w:r>
      <w:r w:rsidR="00027209" w:rsidRPr="0014328F">
        <w:rPr>
          <w:rFonts w:ascii="Arial" w:hAnsi="Arial" w:cs="Arial"/>
          <w:sz w:val="20"/>
          <w:szCs w:val="20"/>
        </w:rPr>
        <w:t xml:space="preserve"> </w:t>
      </w:r>
      <w:r w:rsidR="00680D98" w:rsidRPr="0014328F">
        <w:rPr>
          <w:rFonts w:ascii="Arial" w:hAnsi="Arial" w:cs="Arial"/>
          <w:sz w:val="20"/>
          <w:szCs w:val="20"/>
        </w:rPr>
        <w:t>BHTG Mỹ (</w:t>
      </w:r>
      <w:r w:rsidR="00027209" w:rsidRPr="0014328F">
        <w:rPr>
          <w:rFonts w:ascii="Arial" w:hAnsi="Arial" w:cs="Arial"/>
          <w:sz w:val="20"/>
          <w:szCs w:val="20"/>
        </w:rPr>
        <w:t>FDIC</w:t>
      </w:r>
      <w:r w:rsidR="00680D98" w:rsidRPr="0014328F">
        <w:rPr>
          <w:rFonts w:ascii="Arial" w:hAnsi="Arial" w:cs="Arial"/>
          <w:sz w:val="20"/>
          <w:szCs w:val="20"/>
        </w:rPr>
        <w:t>)</w:t>
      </w:r>
      <w:r w:rsidR="00027209" w:rsidRPr="0014328F">
        <w:rPr>
          <w:rFonts w:ascii="Arial" w:hAnsi="Arial" w:cs="Arial"/>
          <w:sz w:val="20"/>
          <w:szCs w:val="20"/>
        </w:rPr>
        <w:t xml:space="preserve"> đã xử lý </w:t>
      </w:r>
      <w:r w:rsidR="00027209" w:rsidRPr="0014328F">
        <w:rPr>
          <w:rFonts w:ascii="Arial" w:eastAsia="Times New Roman" w:hAnsi="Arial" w:cs="Arial"/>
          <w:color w:val="000000"/>
          <w:sz w:val="20"/>
          <w:szCs w:val="20"/>
          <w:lang w:eastAsia="vi-VN"/>
        </w:rPr>
        <w:t>342 tổ chức tham gia BHTG bị đổ vỡ</w:t>
      </w:r>
      <w:r w:rsidR="00027209" w:rsidRPr="0014328F">
        <w:rPr>
          <w:rFonts w:ascii="Arial" w:hAnsi="Arial" w:cs="Arial"/>
          <w:sz w:val="20"/>
          <w:szCs w:val="20"/>
        </w:rPr>
        <w:t xml:space="preserve"> với </w:t>
      </w:r>
      <w:r w:rsidR="00DA56FC" w:rsidRPr="0014328F">
        <w:rPr>
          <w:rFonts w:ascii="Arial" w:hAnsi="Arial" w:cs="Arial"/>
          <w:sz w:val="20"/>
          <w:szCs w:val="20"/>
        </w:rPr>
        <w:t>t</w:t>
      </w:r>
      <w:r w:rsidR="00027209" w:rsidRPr="0014328F">
        <w:rPr>
          <w:rFonts w:ascii="Arial" w:eastAsia="Times New Roman" w:hAnsi="Arial" w:cs="Arial"/>
          <w:color w:val="000000"/>
          <w:sz w:val="20"/>
          <w:szCs w:val="20"/>
          <w:lang w:eastAsia="vi-VN"/>
        </w:rPr>
        <w:t>ổn thất ước tính sau khi xử lý là 29.310.206 nghìn USD</w:t>
      </w:r>
      <w:r w:rsidR="00027209" w:rsidRPr="0014328F">
        <w:rPr>
          <w:rFonts w:ascii="Arial" w:hAnsi="Arial" w:cs="Arial"/>
          <w:sz w:val="20"/>
          <w:szCs w:val="20"/>
        </w:rPr>
        <w:t xml:space="preserve"> </w:t>
      </w:r>
      <w:r w:rsidR="003925B5" w:rsidRPr="0014328F">
        <w:rPr>
          <w:rFonts w:ascii="Arial" w:hAnsi="Arial" w:cs="Arial"/>
          <w:sz w:val="20"/>
          <w:szCs w:val="20"/>
        </w:rPr>
        <w:t xml:space="preserve">mà </w:t>
      </w:r>
      <w:r w:rsidR="00027209" w:rsidRPr="0014328F">
        <w:rPr>
          <w:rFonts w:ascii="Arial" w:hAnsi="Arial" w:cs="Arial"/>
          <w:sz w:val="20"/>
          <w:szCs w:val="20"/>
        </w:rPr>
        <w:t>không sử dụng ngân sách nhà nước. Điều này cho thấ</w:t>
      </w:r>
      <w:r w:rsidR="00575AEA" w:rsidRPr="0014328F">
        <w:rPr>
          <w:rFonts w:ascii="Arial" w:hAnsi="Arial" w:cs="Arial"/>
          <w:sz w:val="20"/>
          <w:szCs w:val="20"/>
        </w:rPr>
        <w:t>y vai trò</w:t>
      </w:r>
      <w:r w:rsidR="00027209" w:rsidRPr="0014328F">
        <w:rPr>
          <w:rFonts w:ascii="Arial" w:hAnsi="Arial" w:cs="Arial"/>
          <w:sz w:val="20"/>
          <w:szCs w:val="20"/>
        </w:rPr>
        <w:t xml:space="preserve"> quan trọng </w:t>
      </w:r>
      <w:r w:rsidR="003925B5" w:rsidRPr="0014328F">
        <w:rPr>
          <w:rFonts w:ascii="Arial" w:hAnsi="Arial" w:cs="Arial"/>
          <w:sz w:val="20"/>
          <w:szCs w:val="20"/>
        </w:rPr>
        <w:t xml:space="preserve">của </w:t>
      </w:r>
      <w:r w:rsidR="00BB18D8" w:rsidRPr="0014328F">
        <w:rPr>
          <w:rFonts w:ascii="Arial" w:hAnsi="Arial" w:cs="Arial"/>
          <w:sz w:val="20"/>
          <w:szCs w:val="20"/>
        </w:rPr>
        <w:t>công cụ</w:t>
      </w:r>
      <w:r w:rsidR="00027209" w:rsidRPr="0014328F">
        <w:rPr>
          <w:rFonts w:ascii="Arial" w:hAnsi="Arial" w:cs="Arial"/>
          <w:sz w:val="20"/>
          <w:szCs w:val="20"/>
        </w:rPr>
        <w:t xml:space="preserve"> BHTG hiệu quả trong mạng lưới an toàn tài chính quốc gia. </w:t>
      </w:r>
    </w:p>
    <w:p w:rsidR="00E31441" w:rsidRPr="0014328F" w:rsidRDefault="00E15A4C" w:rsidP="0014328F">
      <w:pPr>
        <w:spacing w:after="0" w:line="240" w:lineRule="auto"/>
        <w:jc w:val="both"/>
        <w:rPr>
          <w:rFonts w:ascii="Arial" w:hAnsi="Arial" w:cs="Arial"/>
          <w:sz w:val="20"/>
          <w:szCs w:val="20"/>
        </w:rPr>
      </w:pPr>
      <w:r w:rsidRPr="0014328F">
        <w:rPr>
          <w:rFonts w:ascii="Arial" w:eastAsia="Times New Roman" w:hAnsi="Arial" w:cs="Arial"/>
          <w:color w:val="000000"/>
          <w:sz w:val="20"/>
          <w:szCs w:val="20"/>
          <w:lang w:eastAsia="vi-VN"/>
        </w:rPr>
        <w:t>Việc xử lý ngân hàng đổ vỡ bao gồm ba lựa chọn cơ bản: Thanh lý tài sản và chi trả bồi thường cho người gửi tiền (thông thường là bao gồm cả việc đóng cửa ngân hàng), các giao dịch mua bán nợ và nghiệp vụ hỗ trợ tài chính</w:t>
      </w:r>
      <w:r w:rsidR="005F3DC4" w:rsidRPr="0014328F">
        <w:rPr>
          <w:rFonts w:ascii="Arial" w:eastAsia="Times New Roman" w:hAnsi="Arial" w:cs="Arial"/>
          <w:color w:val="000000"/>
          <w:sz w:val="20"/>
          <w:szCs w:val="20"/>
          <w:lang w:eastAsia="vi-VN"/>
        </w:rPr>
        <w:t>.</w:t>
      </w:r>
      <w:r w:rsidR="005F3DC4" w:rsidRPr="0014328F">
        <w:rPr>
          <w:rFonts w:ascii="Arial" w:hAnsi="Arial" w:cs="Arial"/>
          <w:sz w:val="20"/>
          <w:szCs w:val="20"/>
        </w:rPr>
        <w:t xml:space="preserve"> </w:t>
      </w:r>
      <w:r w:rsidR="00E31441" w:rsidRPr="0014328F">
        <w:rPr>
          <w:rFonts w:ascii="Arial" w:hAnsi="Arial" w:cs="Arial"/>
          <w:sz w:val="20"/>
          <w:szCs w:val="20"/>
        </w:rPr>
        <w:t xml:space="preserve">Trong đó, công cụ </w:t>
      </w:r>
      <w:r w:rsidR="00B87960" w:rsidRPr="0014328F">
        <w:rPr>
          <w:rFonts w:ascii="Arial" w:hAnsi="Arial" w:cs="Arial"/>
          <w:sz w:val="20"/>
          <w:szCs w:val="20"/>
        </w:rPr>
        <w:t>hỗ trợ tài chính</w:t>
      </w:r>
      <w:r w:rsidR="00E72340" w:rsidRPr="0014328F">
        <w:rPr>
          <w:rFonts w:ascii="Arial" w:hAnsi="Arial" w:cs="Arial"/>
          <w:sz w:val="20"/>
          <w:szCs w:val="20"/>
        </w:rPr>
        <w:t xml:space="preserve"> (HTTC)</w:t>
      </w:r>
      <w:r w:rsidR="00E31441" w:rsidRPr="0014328F">
        <w:rPr>
          <w:rFonts w:ascii="Arial" w:hAnsi="Arial" w:cs="Arial"/>
          <w:sz w:val="20"/>
          <w:szCs w:val="20"/>
        </w:rPr>
        <w:t xml:space="preserve"> cho ngân hàng có vấn đề là một trong các giải pháp được </w:t>
      </w:r>
      <w:r w:rsidR="00517468" w:rsidRPr="0014328F">
        <w:rPr>
          <w:rFonts w:ascii="Arial" w:hAnsi="Arial" w:cs="Arial"/>
          <w:sz w:val="20"/>
          <w:szCs w:val="20"/>
        </w:rPr>
        <w:t xml:space="preserve">nhiều tổ chức </w:t>
      </w:r>
      <w:r w:rsidR="00BD77A4" w:rsidRPr="0014328F">
        <w:rPr>
          <w:rFonts w:ascii="Arial" w:hAnsi="Arial" w:cs="Arial"/>
          <w:sz w:val="20"/>
          <w:szCs w:val="20"/>
        </w:rPr>
        <w:t>BHTG</w:t>
      </w:r>
      <w:r w:rsidR="00E31441" w:rsidRPr="0014328F">
        <w:rPr>
          <w:rFonts w:ascii="Arial" w:hAnsi="Arial" w:cs="Arial"/>
          <w:sz w:val="20"/>
          <w:szCs w:val="20"/>
        </w:rPr>
        <w:t xml:space="preserve"> lựa chọn</w:t>
      </w:r>
      <w:r w:rsidR="00B320DA" w:rsidRPr="0014328F">
        <w:rPr>
          <w:rFonts w:ascii="Arial" w:hAnsi="Arial" w:cs="Arial"/>
          <w:sz w:val="20"/>
          <w:szCs w:val="20"/>
        </w:rPr>
        <w:t>,</w:t>
      </w:r>
      <w:r w:rsidR="00E31441" w:rsidRPr="0014328F">
        <w:rPr>
          <w:rFonts w:ascii="Arial" w:hAnsi="Arial" w:cs="Arial"/>
          <w:sz w:val="20"/>
          <w:szCs w:val="20"/>
        </w:rPr>
        <w:t xml:space="preserve"> được đánh giá là đã và đang mang lại những hiệu quả to lớn. Giải pháp này không những giúp hạn chế đổ vỡ ngân hàng mà còn giúp cải tổ và khôi phục hoạt động kinh doanh của ngân hàng mất khả năng thanh toán, đồng thời duy trì niềm tin của người gửi tiền vào hệ thống. </w:t>
      </w:r>
      <w:r w:rsidR="005B21ED" w:rsidRPr="0014328F">
        <w:rPr>
          <w:rFonts w:ascii="Arial" w:hAnsi="Arial" w:cs="Arial"/>
          <w:sz w:val="20"/>
          <w:szCs w:val="20"/>
        </w:rPr>
        <w:t xml:space="preserve">Ba Lan và Mỹ là 2 trong số các quốc gia </w:t>
      </w:r>
      <w:r w:rsidR="00596D31" w:rsidRPr="0014328F">
        <w:rPr>
          <w:rFonts w:ascii="Arial" w:hAnsi="Arial" w:cs="Arial"/>
          <w:sz w:val="20"/>
          <w:szCs w:val="20"/>
        </w:rPr>
        <w:t xml:space="preserve">đã </w:t>
      </w:r>
      <w:r w:rsidR="005B21ED" w:rsidRPr="0014328F">
        <w:rPr>
          <w:rFonts w:ascii="Arial" w:hAnsi="Arial" w:cs="Arial"/>
          <w:sz w:val="20"/>
          <w:szCs w:val="20"/>
        </w:rPr>
        <w:t xml:space="preserve">áp dụng thành công HTTC. </w:t>
      </w:r>
      <w:r w:rsidR="00E31441" w:rsidRPr="0014328F">
        <w:rPr>
          <w:rFonts w:ascii="Arial" w:hAnsi="Arial" w:cs="Arial"/>
          <w:sz w:val="20"/>
          <w:szCs w:val="20"/>
        </w:rPr>
        <w:t xml:space="preserve"> </w:t>
      </w:r>
    </w:p>
    <w:p w:rsidR="00671CF5" w:rsidRPr="0014328F" w:rsidRDefault="00E31441" w:rsidP="0014328F">
      <w:pPr>
        <w:spacing w:after="0" w:line="240" w:lineRule="auto"/>
        <w:jc w:val="both"/>
        <w:rPr>
          <w:rFonts w:ascii="Arial" w:hAnsi="Arial" w:cs="Arial"/>
          <w:sz w:val="20"/>
          <w:szCs w:val="20"/>
        </w:rPr>
      </w:pPr>
      <w:r w:rsidRPr="0014328F">
        <w:rPr>
          <w:rFonts w:ascii="Arial" w:hAnsi="Arial" w:cs="Arial"/>
          <w:i/>
          <w:sz w:val="20"/>
          <w:szCs w:val="20"/>
        </w:rPr>
        <w:t>Ba Lan</w:t>
      </w:r>
      <w:r w:rsidR="007E666F" w:rsidRPr="0014328F">
        <w:rPr>
          <w:rFonts w:ascii="Arial" w:hAnsi="Arial" w:cs="Arial"/>
          <w:i/>
          <w:sz w:val="20"/>
          <w:szCs w:val="20"/>
        </w:rPr>
        <w:t>,</w:t>
      </w:r>
      <w:r w:rsidR="00671CF5" w:rsidRPr="0014328F">
        <w:rPr>
          <w:rFonts w:ascii="Arial" w:hAnsi="Arial" w:cs="Arial"/>
          <w:sz w:val="20"/>
          <w:szCs w:val="20"/>
        </w:rPr>
        <w:t xml:space="preserve"> quốc gia có hệ thống BHTG công khai thực hiện thành công hoạt động </w:t>
      </w:r>
      <w:r w:rsidR="00E72340" w:rsidRPr="0014328F">
        <w:rPr>
          <w:rFonts w:ascii="Arial" w:hAnsi="Arial" w:cs="Arial"/>
          <w:sz w:val="20"/>
          <w:szCs w:val="20"/>
        </w:rPr>
        <w:t>HTTC</w:t>
      </w:r>
      <w:r w:rsidR="00641D78" w:rsidRPr="0014328F">
        <w:rPr>
          <w:rFonts w:ascii="Arial" w:hAnsi="Arial" w:cs="Arial"/>
          <w:sz w:val="20"/>
          <w:szCs w:val="20"/>
        </w:rPr>
        <w:t xml:space="preserve">. Tổ chức BHTG Ba Lan được gọi là </w:t>
      </w:r>
      <w:r w:rsidR="00671CF5" w:rsidRPr="0014328F">
        <w:rPr>
          <w:rFonts w:ascii="Arial" w:hAnsi="Arial" w:cs="Arial"/>
          <w:sz w:val="20"/>
          <w:szCs w:val="20"/>
        </w:rPr>
        <w:t>Quỹ bảo đảm ngân hàng Ba Lan (BFG)</w:t>
      </w:r>
      <w:r w:rsidR="00A474E6" w:rsidRPr="0014328F">
        <w:rPr>
          <w:rFonts w:ascii="Arial" w:hAnsi="Arial" w:cs="Arial"/>
          <w:sz w:val="20"/>
          <w:szCs w:val="20"/>
        </w:rPr>
        <w:t>,</w:t>
      </w:r>
      <w:r w:rsidR="00671CF5" w:rsidRPr="0014328F">
        <w:rPr>
          <w:rFonts w:ascii="Arial" w:hAnsi="Arial" w:cs="Arial"/>
          <w:sz w:val="20"/>
          <w:szCs w:val="20"/>
        </w:rPr>
        <w:t xml:space="preserve"> triển khai nghiệp vụ </w:t>
      </w:r>
      <w:r w:rsidR="00C843C8" w:rsidRPr="0014328F">
        <w:rPr>
          <w:rFonts w:ascii="Arial" w:hAnsi="Arial" w:cs="Arial"/>
          <w:sz w:val="20"/>
          <w:szCs w:val="20"/>
        </w:rPr>
        <w:t>HTTC</w:t>
      </w:r>
      <w:r w:rsidR="00671CF5" w:rsidRPr="0014328F">
        <w:rPr>
          <w:rFonts w:ascii="Arial" w:hAnsi="Arial" w:cs="Arial"/>
          <w:sz w:val="20"/>
          <w:szCs w:val="20"/>
        </w:rPr>
        <w:t xml:space="preserve"> ngay khi mới thành lập và chủ yếu được thực hiện theo hình thức cho vay có hoàn trả với các điều kiện vay ưu đãi. </w:t>
      </w:r>
      <w:r w:rsidR="00932C2F" w:rsidRPr="0014328F">
        <w:rPr>
          <w:rFonts w:ascii="Arial" w:eastAsia="Arial" w:hAnsi="Arial" w:cs="Arial"/>
          <w:sz w:val="20"/>
          <w:szCs w:val="20"/>
        </w:rPr>
        <w:t xml:space="preserve">Hoạt động HTTC của </w:t>
      </w:r>
      <w:r w:rsidR="00932C2F" w:rsidRPr="0014328F">
        <w:rPr>
          <w:rFonts w:ascii="Arial" w:hAnsi="Arial" w:cs="Arial"/>
          <w:sz w:val="20"/>
          <w:szCs w:val="20"/>
        </w:rPr>
        <w:t>BFG</w:t>
      </w:r>
      <w:r w:rsidR="00932C2F" w:rsidRPr="0014328F">
        <w:rPr>
          <w:rFonts w:ascii="Arial" w:eastAsia="Arial" w:hAnsi="Arial" w:cs="Arial"/>
          <w:sz w:val="20"/>
          <w:szCs w:val="20"/>
        </w:rPr>
        <w:t xml:space="preserve"> được thực hiện thông qua Quỹ hỗ trợ (AF) với mục đích hỗ trợ cho việc cơ cấu lại các ngân hàng có nguy cơ mất khả năng thanh toán, đồng thời bảo vệ người gửi tiền, giảm thiểu tổn thất tiềm tàng của những ngân hàng này</w:t>
      </w:r>
      <w:r w:rsidR="00932C2F" w:rsidRPr="0014328F">
        <w:rPr>
          <w:rFonts w:ascii="Arial" w:hAnsi="Arial" w:cs="Arial"/>
          <w:sz w:val="20"/>
          <w:szCs w:val="20"/>
        </w:rPr>
        <w:t>.</w:t>
      </w:r>
    </w:p>
    <w:p w:rsidR="00E31441" w:rsidRPr="0014328F" w:rsidRDefault="00706762" w:rsidP="0014328F">
      <w:pPr>
        <w:spacing w:after="0" w:line="240" w:lineRule="auto"/>
        <w:jc w:val="both"/>
        <w:rPr>
          <w:rFonts w:ascii="Arial" w:hAnsi="Arial" w:cs="Arial"/>
          <w:sz w:val="20"/>
          <w:szCs w:val="20"/>
        </w:rPr>
      </w:pPr>
      <w:r w:rsidRPr="0014328F">
        <w:rPr>
          <w:rFonts w:ascii="Arial" w:hAnsi="Arial" w:cs="Arial"/>
          <w:sz w:val="20"/>
          <w:szCs w:val="20"/>
        </w:rPr>
        <w:t>K</w:t>
      </w:r>
      <w:r w:rsidR="00E31441" w:rsidRPr="0014328F">
        <w:rPr>
          <w:rFonts w:ascii="Arial" w:hAnsi="Arial" w:cs="Arial"/>
          <w:sz w:val="20"/>
          <w:szCs w:val="20"/>
        </w:rPr>
        <w:t xml:space="preserve">ết quả hoạt động cho thấy, số tiền cho vay </w:t>
      </w:r>
      <w:r w:rsidR="00534A1F" w:rsidRPr="0014328F">
        <w:rPr>
          <w:rFonts w:ascii="Arial" w:hAnsi="Arial" w:cs="Arial"/>
          <w:sz w:val="20"/>
          <w:szCs w:val="20"/>
        </w:rPr>
        <w:t xml:space="preserve">từ BFG </w:t>
      </w:r>
      <w:r w:rsidR="00E31441" w:rsidRPr="0014328F">
        <w:rPr>
          <w:rFonts w:ascii="Arial" w:hAnsi="Arial" w:cs="Arial"/>
          <w:sz w:val="20"/>
          <w:szCs w:val="20"/>
        </w:rPr>
        <w:t xml:space="preserve">ngày càng tăng qua các năm, chỉ tính riêng đến năm 2001 đã có 73 khoản vay với tổng số tiền 1.816,5 triệu ZLN, chiếm 88,5% tổng nguồn vốn của </w:t>
      </w:r>
      <w:r w:rsidR="00C17C2D" w:rsidRPr="0014328F">
        <w:rPr>
          <w:rFonts w:ascii="Arial" w:hAnsi="Arial" w:cs="Arial"/>
          <w:sz w:val="20"/>
          <w:szCs w:val="20"/>
        </w:rPr>
        <w:t>AF</w:t>
      </w:r>
      <w:r w:rsidR="00331C8D" w:rsidRPr="0014328F">
        <w:rPr>
          <w:rFonts w:ascii="Arial" w:hAnsi="Arial" w:cs="Arial"/>
          <w:sz w:val="20"/>
          <w:szCs w:val="20"/>
        </w:rPr>
        <w:t>.</w:t>
      </w:r>
      <w:r w:rsidR="00E31441" w:rsidRPr="0014328F">
        <w:rPr>
          <w:rFonts w:ascii="Arial" w:hAnsi="Arial" w:cs="Arial"/>
          <w:sz w:val="20"/>
          <w:szCs w:val="20"/>
        </w:rPr>
        <w:t xml:space="preserve"> </w:t>
      </w:r>
      <w:r w:rsidR="00331C8D" w:rsidRPr="0014328F">
        <w:rPr>
          <w:rFonts w:ascii="Arial" w:hAnsi="Arial" w:cs="Arial"/>
          <w:sz w:val="20"/>
          <w:szCs w:val="20"/>
        </w:rPr>
        <w:t>T</w:t>
      </w:r>
      <w:r w:rsidR="00E31441" w:rsidRPr="0014328F">
        <w:rPr>
          <w:rFonts w:ascii="Arial" w:hAnsi="Arial" w:cs="Arial"/>
          <w:sz w:val="20"/>
          <w:szCs w:val="20"/>
        </w:rPr>
        <w:t>rong đó</w:t>
      </w:r>
      <w:r w:rsidR="00B97D7F" w:rsidRPr="0014328F">
        <w:rPr>
          <w:rFonts w:ascii="Arial" w:hAnsi="Arial" w:cs="Arial"/>
          <w:sz w:val="20"/>
          <w:szCs w:val="20"/>
        </w:rPr>
        <w:t>,</w:t>
      </w:r>
      <w:r w:rsidR="00E31441" w:rsidRPr="0014328F">
        <w:rPr>
          <w:rFonts w:ascii="Arial" w:hAnsi="Arial" w:cs="Arial"/>
          <w:sz w:val="20"/>
          <w:szCs w:val="20"/>
        </w:rPr>
        <w:t xml:space="preserve"> 34 khoản vay đã được cấp cho các ngân hàng tự tiến hành chấn chỉnh hoạt động</w:t>
      </w:r>
      <w:r w:rsidR="00B97D7F" w:rsidRPr="0014328F">
        <w:rPr>
          <w:rFonts w:ascii="Arial" w:hAnsi="Arial" w:cs="Arial"/>
          <w:sz w:val="20"/>
          <w:szCs w:val="20"/>
        </w:rPr>
        <w:t>;</w:t>
      </w:r>
      <w:r w:rsidR="00E31441" w:rsidRPr="0014328F">
        <w:rPr>
          <w:rFonts w:ascii="Arial" w:hAnsi="Arial" w:cs="Arial"/>
          <w:sz w:val="20"/>
          <w:szCs w:val="20"/>
        </w:rPr>
        <w:t xml:space="preserve"> 39 khoản vay đã được cấp cho các ngân hàng có tình trạng kinh doanh tốt để tiến hành sáp nhập với các ngân hàng có nguy cơ mất khả năng thanh toán.</w:t>
      </w:r>
    </w:p>
    <w:p w:rsidR="00E31441" w:rsidRPr="0014328F" w:rsidRDefault="00E31441" w:rsidP="0014328F">
      <w:pPr>
        <w:tabs>
          <w:tab w:val="num" w:pos="0"/>
        </w:tabs>
        <w:spacing w:after="0" w:line="240" w:lineRule="auto"/>
        <w:jc w:val="both"/>
        <w:rPr>
          <w:rFonts w:ascii="Arial" w:hAnsi="Arial" w:cs="Arial"/>
          <w:sz w:val="20"/>
          <w:szCs w:val="20"/>
        </w:rPr>
      </w:pPr>
      <w:r w:rsidRPr="0014328F">
        <w:rPr>
          <w:rFonts w:ascii="Arial" w:hAnsi="Arial" w:cs="Arial"/>
          <w:sz w:val="20"/>
          <w:szCs w:val="20"/>
        </w:rPr>
        <w:t>Hoạt động HTTC của BFG đã bổ sung cho hoạt động BHTG vì đã hạn chế tình trạng phá sản của các ngân hàng. Hơn 19 ngàn người thoát khỏi thất nghiệp, 523 ngân hàng đã tránh được tình trạng bị phá sản nhờ được BFG cung cấp HTTC (BFG, 2001, tr.8).</w:t>
      </w:r>
    </w:p>
    <w:p w:rsidR="00182872" w:rsidRPr="0014328F" w:rsidRDefault="00E31441" w:rsidP="0014328F">
      <w:pPr>
        <w:tabs>
          <w:tab w:val="num" w:pos="0"/>
        </w:tabs>
        <w:spacing w:after="0" w:line="240" w:lineRule="auto"/>
        <w:jc w:val="both"/>
        <w:rPr>
          <w:rFonts w:ascii="Arial" w:hAnsi="Arial" w:cs="Arial"/>
          <w:sz w:val="20"/>
          <w:szCs w:val="20"/>
        </w:rPr>
      </w:pPr>
      <w:r w:rsidRPr="0014328F">
        <w:rPr>
          <w:rFonts w:ascii="Arial" w:hAnsi="Arial" w:cs="Arial"/>
          <w:i/>
          <w:sz w:val="20"/>
          <w:szCs w:val="20"/>
        </w:rPr>
        <w:t>Tại Mỹ</w:t>
      </w:r>
      <w:r w:rsidRPr="0014328F">
        <w:rPr>
          <w:rFonts w:ascii="Arial" w:hAnsi="Arial" w:cs="Arial"/>
          <w:sz w:val="20"/>
          <w:szCs w:val="20"/>
        </w:rPr>
        <w:t xml:space="preserve">, </w:t>
      </w:r>
      <w:r w:rsidR="00182872" w:rsidRPr="0014328F">
        <w:rPr>
          <w:rFonts w:ascii="Arial" w:hAnsi="Arial" w:cs="Arial"/>
          <w:sz w:val="20"/>
          <w:szCs w:val="20"/>
        </w:rPr>
        <w:t>FDIC cung cấp HTTC cho các ngân hàng hoặc tổ chức tiết kiệm được bảo hiểm có nguy cơ mất khả năng thanh toán hoặc cấp cho các tổ chức mạnh mua lại tổ chức bị mất khả năng thanh toán qua giao dịch hỗ trợ ngân hàng mở (OBA).</w:t>
      </w:r>
    </w:p>
    <w:p w:rsidR="00E31441" w:rsidRPr="0014328F" w:rsidRDefault="00D212C9" w:rsidP="0014328F">
      <w:pPr>
        <w:tabs>
          <w:tab w:val="num" w:pos="0"/>
        </w:tabs>
        <w:spacing w:after="0" w:line="240" w:lineRule="auto"/>
        <w:jc w:val="both"/>
        <w:rPr>
          <w:rFonts w:ascii="Arial" w:hAnsi="Arial" w:cs="Arial"/>
          <w:sz w:val="20"/>
          <w:szCs w:val="20"/>
        </w:rPr>
      </w:pPr>
      <w:r w:rsidRPr="0014328F">
        <w:rPr>
          <w:rFonts w:ascii="Arial" w:hAnsi="Arial" w:cs="Arial"/>
          <w:sz w:val="20"/>
          <w:szCs w:val="20"/>
        </w:rPr>
        <w:t>Theo thống kê, t</w:t>
      </w:r>
      <w:r w:rsidRPr="0014328F">
        <w:rPr>
          <w:rFonts w:ascii="Arial" w:eastAsia="Arial" w:hAnsi="Arial" w:cs="Arial"/>
          <w:sz w:val="20"/>
          <w:szCs w:val="20"/>
        </w:rPr>
        <w:t>rong giai đoạn 1982-1991 ở Mỹ có hơn 1.400 ngân hàng lâm vào tình trạng nguy kịch, có thể dẫn đến đóng cửa</w:t>
      </w:r>
      <w:r w:rsidR="00320F78" w:rsidRPr="0014328F">
        <w:rPr>
          <w:rFonts w:ascii="Arial" w:eastAsia="Arial" w:hAnsi="Arial" w:cs="Arial"/>
          <w:sz w:val="20"/>
          <w:szCs w:val="20"/>
        </w:rPr>
        <w:t>.</w:t>
      </w:r>
      <w:r w:rsidRPr="0014328F">
        <w:rPr>
          <w:rFonts w:ascii="Arial" w:eastAsia="Arial" w:hAnsi="Arial" w:cs="Arial"/>
          <w:sz w:val="20"/>
          <w:szCs w:val="20"/>
        </w:rPr>
        <w:t xml:space="preserve"> </w:t>
      </w:r>
      <w:r w:rsidR="00320F78" w:rsidRPr="0014328F">
        <w:rPr>
          <w:rFonts w:ascii="Arial" w:eastAsia="Arial" w:hAnsi="Arial" w:cs="Arial"/>
          <w:sz w:val="20"/>
          <w:szCs w:val="20"/>
        </w:rPr>
        <w:t>N</w:t>
      </w:r>
      <w:r w:rsidRPr="0014328F">
        <w:rPr>
          <w:rFonts w:ascii="Arial" w:eastAsia="Arial" w:hAnsi="Arial" w:cs="Arial"/>
          <w:sz w:val="20"/>
          <w:szCs w:val="20"/>
        </w:rPr>
        <w:t xml:space="preserve">hờ </w:t>
      </w:r>
      <w:r w:rsidR="005C68AF" w:rsidRPr="0014328F">
        <w:rPr>
          <w:rFonts w:ascii="Arial" w:eastAsia="Arial" w:hAnsi="Arial" w:cs="Arial"/>
          <w:sz w:val="20"/>
          <w:szCs w:val="20"/>
        </w:rPr>
        <w:t>HTTC</w:t>
      </w:r>
      <w:r w:rsidRPr="0014328F">
        <w:rPr>
          <w:rFonts w:ascii="Arial" w:eastAsia="Arial" w:hAnsi="Arial" w:cs="Arial"/>
          <w:sz w:val="20"/>
          <w:szCs w:val="20"/>
        </w:rPr>
        <w:t xml:space="preserve"> của FDIC, 131 ngân hàng trong số các ngân hàng đó đã vượt qua được khó khăn và duy trì được hoạt động. </w:t>
      </w:r>
      <w:r w:rsidR="00E31441" w:rsidRPr="0014328F">
        <w:rPr>
          <w:rFonts w:ascii="Arial" w:hAnsi="Arial" w:cs="Arial"/>
          <w:sz w:val="20"/>
          <w:szCs w:val="20"/>
        </w:rPr>
        <w:t xml:space="preserve">Trong giai đoạn từ 1980 tới 1992, FDIC đã cung cấp HTTC (OBA) cho 133 tổ chức trong tổng số 1617 tổ chức bị gặp khó khăn, tương đương với 8,2% trong tổng số. </w:t>
      </w:r>
      <w:r w:rsidR="0018170C" w:rsidRPr="0014328F">
        <w:rPr>
          <w:rFonts w:ascii="Arial" w:hAnsi="Arial" w:cs="Arial"/>
          <w:sz w:val="20"/>
          <w:szCs w:val="20"/>
        </w:rPr>
        <w:t xml:space="preserve">Năm </w:t>
      </w:r>
      <w:r w:rsidR="00E31441" w:rsidRPr="0014328F">
        <w:rPr>
          <w:rFonts w:ascii="Arial" w:hAnsi="Arial" w:cs="Arial"/>
          <w:sz w:val="20"/>
          <w:szCs w:val="20"/>
        </w:rPr>
        <w:t xml:space="preserve">1987-1988 là thời gian có nhiều giao dịch OBA được thực hiện nhất, chiếm tới 75% tổng số giao dịch. </w:t>
      </w:r>
    </w:p>
    <w:p w:rsidR="00E31441" w:rsidRPr="0014328F" w:rsidRDefault="00E31441" w:rsidP="0014328F">
      <w:pPr>
        <w:spacing w:after="0" w:line="240" w:lineRule="auto"/>
        <w:jc w:val="both"/>
        <w:rPr>
          <w:rFonts w:ascii="Arial" w:hAnsi="Arial" w:cs="Arial"/>
          <w:sz w:val="20"/>
          <w:szCs w:val="20"/>
        </w:rPr>
      </w:pPr>
      <w:r w:rsidRPr="0014328F">
        <w:rPr>
          <w:rFonts w:ascii="Arial" w:hAnsi="Arial" w:cs="Arial"/>
          <w:i/>
          <w:sz w:val="20"/>
          <w:szCs w:val="20"/>
        </w:rPr>
        <w:t>Thực tiễn Việt Nam</w:t>
      </w:r>
      <w:r w:rsidRPr="0014328F">
        <w:rPr>
          <w:rFonts w:ascii="Arial" w:hAnsi="Arial" w:cs="Arial"/>
          <w:sz w:val="20"/>
          <w:szCs w:val="20"/>
        </w:rPr>
        <w:t xml:space="preserve">, </w:t>
      </w:r>
      <w:r w:rsidR="00437FC0" w:rsidRPr="0014328F">
        <w:rPr>
          <w:rFonts w:ascii="Arial" w:hAnsi="Arial" w:cs="Arial"/>
          <w:sz w:val="20"/>
          <w:szCs w:val="20"/>
        </w:rPr>
        <w:t xml:space="preserve">trong giai đoạn triển khai thí </w:t>
      </w:r>
      <w:r w:rsidR="00862514" w:rsidRPr="0014328F">
        <w:rPr>
          <w:rFonts w:ascii="Arial" w:hAnsi="Arial" w:cs="Arial"/>
          <w:sz w:val="20"/>
          <w:szCs w:val="20"/>
        </w:rPr>
        <w:t>điểm</w:t>
      </w:r>
      <w:r w:rsidR="001E1A0B" w:rsidRPr="0014328F">
        <w:rPr>
          <w:rFonts w:ascii="Arial" w:hAnsi="Arial" w:cs="Arial"/>
          <w:sz w:val="20"/>
          <w:szCs w:val="20"/>
        </w:rPr>
        <w:t xml:space="preserve"> trước đây</w:t>
      </w:r>
      <w:r w:rsidR="00437FC0" w:rsidRPr="0014328F">
        <w:rPr>
          <w:rFonts w:ascii="Arial" w:hAnsi="Arial" w:cs="Arial"/>
          <w:sz w:val="20"/>
          <w:szCs w:val="20"/>
        </w:rPr>
        <w:t xml:space="preserve">, BHTG VN đã cho vay hỗ trợ </w:t>
      </w:r>
      <w:r w:rsidRPr="0014328F">
        <w:rPr>
          <w:rFonts w:ascii="Arial" w:hAnsi="Arial" w:cs="Arial"/>
          <w:sz w:val="20"/>
          <w:szCs w:val="20"/>
        </w:rPr>
        <w:t>cho</w:t>
      </w:r>
      <w:r w:rsidR="008F6EDB" w:rsidRPr="0014328F">
        <w:rPr>
          <w:rFonts w:ascii="Arial" w:hAnsi="Arial" w:cs="Arial"/>
          <w:sz w:val="20"/>
          <w:szCs w:val="20"/>
        </w:rPr>
        <w:t xml:space="preserve"> 05 </w:t>
      </w:r>
      <w:r w:rsidRPr="0014328F">
        <w:rPr>
          <w:rFonts w:ascii="Arial" w:hAnsi="Arial" w:cs="Arial"/>
          <w:sz w:val="20"/>
          <w:szCs w:val="20"/>
        </w:rPr>
        <w:t>tổ chức TGBHTG thoát khỏi nguy cơ bị đổ vỡ</w:t>
      </w:r>
      <w:r w:rsidR="00750337" w:rsidRPr="0014328F">
        <w:rPr>
          <w:rFonts w:ascii="Arial" w:hAnsi="Arial" w:cs="Arial"/>
          <w:sz w:val="20"/>
          <w:szCs w:val="20"/>
        </w:rPr>
        <w:t xml:space="preserve"> với tổng số tiền xấp xỉ 7 tỷ đồng</w:t>
      </w:r>
      <w:r w:rsidRPr="0014328F">
        <w:rPr>
          <w:rFonts w:ascii="Arial" w:hAnsi="Arial" w:cs="Arial"/>
          <w:sz w:val="20"/>
          <w:szCs w:val="20"/>
        </w:rPr>
        <w:t>. Trong đó điển hình như việc BHTGVN cho vay hỗ trợ</w:t>
      </w:r>
      <w:r w:rsidRPr="0014328F">
        <w:rPr>
          <w:rFonts w:ascii="Arial" w:eastAsia="Arial" w:hAnsi="Arial" w:cs="Arial"/>
          <w:sz w:val="20"/>
          <w:szCs w:val="20"/>
        </w:rPr>
        <w:t xml:space="preserve"> QTD</w:t>
      </w:r>
      <w:r w:rsidRPr="0014328F">
        <w:rPr>
          <w:rFonts w:ascii="Arial" w:hAnsi="Arial" w:cs="Arial"/>
          <w:sz w:val="20"/>
          <w:szCs w:val="20"/>
        </w:rPr>
        <w:t xml:space="preserve"> Dương Liễu. Cuối năm 2007, thời điểm dự trữ nông sản lớn nhất trong năm của bà con, nên nhu cầu rút tiền và vay vốn của dân là rất lớn. Thêm vào đó, do ảnh hưởng lớn của các yếu tố vĩ mô như lạm phát, giá nguyên vật liệu đầu vào tăng cao khiến cho QTD không dự báo đủ nguồn tiền mặt phục vụ nhu cầu rút tiền của người gửi tiền. Áp lực rút tiền của người dân đã đẩy QTD lâm vào tình trạng mất khả năng chi trả tạm thời, tình hình rất có thể sẽ rất xấu nếu không được bơm tiền kịp thời. Đúng thời điểm đó BHTGVN đã quyết định cho Quỹ vay hỗ trợ 1,5 tỷ đồng, số tiền đã thực sự là cứu cánh để</w:t>
      </w:r>
      <w:r w:rsidR="00D11EA8" w:rsidRPr="0014328F">
        <w:rPr>
          <w:rFonts w:ascii="Arial" w:hAnsi="Arial" w:cs="Arial"/>
          <w:sz w:val="20"/>
          <w:szCs w:val="20"/>
        </w:rPr>
        <w:t xml:space="preserve"> Q</w:t>
      </w:r>
      <w:r w:rsidRPr="0014328F">
        <w:rPr>
          <w:rFonts w:ascii="Arial" w:hAnsi="Arial" w:cs="Arial"/>
          <w:sz w:val="20"/>
          <w:szCs w:val="20"/>
        </w:rPr>
        <w:t xml:space="preserve">uỹ ổn định được tình hình ngay sau đó. </w:t>
      </w:r>
    </w:p>
    <w:p w:rsidR="00E31441" w:rsidRPr="0014328F" w:rsidRDefault="00E31441" w:rsidP="0014328F">
      <w:pPr>
        <w:spacing w:after="0" w:line="240" w:lineRule="auto"/>
        <w:jc w:val="both"/>
        <w:rPr>
          <w:rFonts w:ascii="Arial" w:eastAsia="Arial" w:hAnsi="Arial" w:cs="Arial"/>
          <w:sz w:val="20"/>
          <w:szCs w:val="20"/>
        </w:rPr>
      </w:pPr>
      <w:r w:rsidRPr="0014328F">
        <w:rPr>
          <w:rFonts w:ascii="Arial" w:eastAsia="Arial" w:hAnsi="Arial" w:cs="Arial"/>
          <w:sz w:val="20"/>
          <w:szCs w:val="20"/>
        </w:rPr>
        <w:t>Một quỹ khác mà BHTGVN hỗ trợ điển hình là QTD Phương Tú</w:t>
      </w:r>
      <w:r w:rsidR="00637945" w:rsidRPr="0014328F">
        <w:rPr>
          <w:rFonts w:ascii="Arial" w:eastAsia="Arial" w:hAnsi="Arial" w:cs="Arial"/>
          <w:sz w:val="20"/>
          <w:szCs w:val="20"/>
        </w:rPr>
        <w:t>.</w:t>
      </w:r>
      <w:r w:rsidRPr="0014328F">
        <w:rPr>
          <w:rFonts w:ascii="Arial" w:eastAsia="Arial" w:hAnsi="Arial" w:cs="Arial"/>
          <w:sz w:val="20"/>
          <w:szCs w:val="20"/>
        </w:rPr>
        <w:t xml:space="preserve"> BHTGVN đã cho Quỹ vay 1 tỷ đồng vào năm 2009. Số tiền thực tế là không lớn nhưng có thể nói đủ liều lượng để giúp QTD khôi phục lại tình hình tại thời điểm đó. Trong tình hình như vậy, nếu không được tiếp vốn, khả năng đổ vỡ  của QTD là khó tránh khỏi, gây thiệt hại lớn đối với các thành viên góp vốn, người gửi tiền, ảnh hưởng sâu sắc đến an toàn hệ thống và sự ổn định về kinh tế, chính trị - xã hội trên địa bàn. BHTGVN cũng sẽ phải đối mặt với trách nhiệm chi trả bảo hiể</w:t>
      </w:r>
      <w:r w:rsidR="0028769A" w:rsidRPr="0014328F">
        <w:rPr>
          <w:rFonts w:ascii="Arial" w:eastAsia="Arial" w:hAnsi="Arial" w:cs="Arial"/>
          <w:sz w:val="20"/>
          <w:szCs w:val="20"/>
        </w:rPr>
        <w:t xml:space="preserve">m với số tiền lên tới </w:t>
      </w:r>
      <w:r w:rsidRPr="0014328F">
        <w:rPr>
          <w:rFonts w:ascii="Arial" w:eastAsia="Arial" w:hAnsi="Arial" w:cs="Arial"/>
          <w:sz w:val="20"/>
          <w:szCs w:val="20"/>
        </w:rPr>
        <w:t xml:space="preserve">8.663 triệu đồng </w:t>
      </w:r>
      <w:r w:rsidR="0028769A" w:rsidRPr="0014328F">
        <w:rPr>
          <w:rFonts w:ascii="Arial" w:eastAsia="Arial" w:hAnsi="Arial" w:cs="Arial"/>
          <w:sz w:val="20"/>
          <w:szCs w:val="20"/>
        </w:rPr>
        <w:t xml:space="preserve">cho 465 người gửi tiền thuộc đối </w:t>
      </w:r>
      <w:r w:rsidRPr="0014328F">
        <w:rPr>
          <w:rFonts w:ascii="Arial" w:eastAsia="Arial" w:hAnsi="Arial" w:cs="Arial"/>
          <w:sz w:val="20"/>
          <w:szCs w:val="20"/>
        </w:rPr>
        <w:t>tượng bảo hiểm tạ</w:t>
      </w:r>
      <w:r w:rsidR="006E20BD" w:rsidRPr="0014328F">
        <w:rPr>
          <w:rFonts w:ascii="Arial" w:eastAsia="Arial" w:hAnsi="Arial" w:cs="Arial"/>
          <w:sz w:val="20"/>
          <w:szCs w:val="20"/>
        </w:rPr>
        <w:t>i Quỹ này</w:t>
      </w:r>
      <w:r w:rsidRPr="0014328F">
        <w:rPr>
          <w:rFonts w:ascii="Arial" w:eastAsia="Arial" w:hAnsi="Arial" w:cs="Arial"/>
          <w:sz w:val="20"/>
          <w:szCs w:val="20"/>
        </w:rPr>
        <w:t xml:space="preserve">. </w:t>
      </w:r>
    </w:p>
    <w:p w:rsidR="00E31441" w:rsidRPr="0014328F" w:rsidRDefault="00E31441" w:rsidP="0014328F">
      <w:pPr>
        <w:spacing w:after="0" w:line="240" w:lineRule="auto"/>
        <w:jc w:val="both"/>
        <w:rPr>
          <w:rFonts w:ascii="Arial" w:hAnsi="Arial" w:cs="Arial"/>
          <w:sz w:val="20"/>
          <w:szCs w:val="20"/>
        </w:rPr>
      </w:pPr>
      <w:r w:rsidRPr="0014328F">
        <w:rPr>
          <w:rFonts w:ascii="Arial" w:hAnsi="Arial" w:cs="Arial"/>
          <w:sz w:val="20"/>
          <w:szCs w:val="20"/>
        </w:rPr>
        <w:t>Như vậy, công tác HTTC tại BHTGVN trong thời gian qua đã thực sự phát huy được tác dụng</w:t>
      </w:r>
      <w:r w:rsidR="00AD56F3" w:rsidRPr="0014328F">
        <w:rPr>
          <w:rFonts w:ascii="Arial" w:hAnsi="Arial" w:cs="Arial"/>
          <w:sz w:val="20"/>
          <w:szCs w:val="20"/>
        </w:rPr>
        <w:t>,</w:t>
      </w:r>
      <w:r w:rsidRPr="0014328F">
        <w:rPr>
          <w:rFonts w:ascii="Arial" w:hAnsi="Arial" w:cs="Arial"/>
          <w:sz w:val="20"/>
          <w:szCs w:val="20"/>
        </w:rPr>
        <w:t xml:space="preserve"> như: ngăn ngừa ĐBRTG xảy ra, ngăn ngừa đổ bể ngân hàng, hỗ trợ được khó khăn của các tổ chức đang có nguy cơ mất khả năng thanh khoản tạm thời. Các khoản HTTC cũng đã được thu hồi rất tốt trong thời gian qua, điều này cho thấy công cụ HTTC của BHTGVN ít nhiều đã phát huy </w:t>
      </w:r>
      <w:r w:rsidR="00A91339" w:rsidRPr="0014328F">
        <w:rPr>
          <w:rFonts w:ascii="Arial" w:hAnsi="Arial" w:cs="Arial"/>
          <w:sz w:val="20"/>
          <w:szCs w:val="20"/>
        </w:rPr>
        <w:t>vai trò của</w:t>
      </w:r>
      <w:r w:rsidRPr="0014328F">
        <w:rPr>
          <w:rFonts w:ascii="Arial" w:hAnsi="Arial" w:cs="Arial"/>
          <w:sz w:val="20"/>
          <w:szCs w:val="20"/>
        </w:rPr>
        <w:t xml:space="preserve"> chính sách BHTG trong khôi phục hoạt động kinh doanh của </w:t>
      </w:r>
      <w:r w:rsidR="003505C5" w:rsidRPr="0014328F">
        <w:rPr>
          <w:rFonts w:ascii="Arial" w:hAnsi="Arial" w:cs="Arial"/>
          <w:sz w:val="20"/>
          <w:szCs w:val="20"/>
        </w:rPr>
        <w:t>Qũy tín dụng</w:t>
      </w:r>
      <w:r w:rsidRPr="0014328F">
        <w:rPr>
          <w:rFonts w:ascii="Arial" w:hAnsi="Arial" w:cs="Arial"/>
          <w:sz w:val="20"/>
          <w:szCs w:val="20"/>
        </w:rPr>
        <w:t xml:space="preserve"> mất khả năng thanh toán, duy trì niềm tin của người gửi tiền vào hệ thống ngân hàng.</w:t>
      </w:r>
    </w:p>
    <w:p w:rsidR="00E31441" w:rsidRPr="0014328F" w:rsidRDefault="0033083E" w:rsidP="0014328F">
      <w:pPr>
        <w:spacing w:after="0" w:line="240" w:lineRule="auto"/>
        <w:jc w:val="both"/>
        <w:rPr>
          <w:rFonts w:ascii="Arial" w:hAnsi="Arial" w:cs="Arial"/>
          <w:sz w:val="20"/>
          <w:szCs w:val="20"/>
        </w:rPr>
      </w:pPr>
      <w:r w:rsidRPr="0014328F">
        <w:rPr>
          <w:rFonts w:ascii="Arial" w:hAnsi="Arial" w:cs="Arial"/>
          <w:sz w:val="20"/>
          <w:szCs w:val="20"/>
        </w:rPr>
        <w:t xml:space="preserve">Thực tế công tác HTTC tại các quốc gia </w:t>
      </w:r>
      <w:r w:rsidR="00656936" w:rsidRPr="0014328F">
        <w:rPr>
          <w:rFonts w:ascii="Arial" w:hAnsi="Arial" w:cs="Arial"/>
          <w:sz w:val="20"/>
          <w:szCs w:val="20"/>
        </w:rPr>
        <w:t>cho thấy</w:t>
      </w:r>
      <w:r w:rsidR="00E31441" w:rsidRPr="0014328F">
        <w:rPr>
          <w:rFonts w:ascii="Arial" w:hAnsi="Arial" w:cs="Arial"/>
          <w:sz w:val="20"/>
          <w:szCs w:val="20"/>
        </w:rPr>
        <w:t xml:space="preserve">, để đạt được hiệu quả tối đa cho mục tiêu cuối cùng của chính sách BHTG là củng cố lòng tin của người gửi tiền vào hệ thống ngân hàng, góp phần đảm </w:t>
      </w:r>
      <w:r w:rsidR="00E31441" w:rsidRPr="0014328F">
        <w:rPr>
          <w:rFonts w:ascii="Arial" w:hAnsi="Arial" w:cs="Arial"/>
          <w:sz w:val="20"/>
          <w:szCs w:val="20"/>
        </w:rPr>
        <w:lastRenderedPageBreak/>
        <w:t>bảo tính an toàn</w:t>
      </w:r>
      <w:r w:rsidR="0002663A" w:rsidRPr="0014328F">
        <w:rPr>
          <w:rFonts w:ascii="Arial" w:hAnsi="Arial" w:cs="Arial"/>
          <w:sz w:val="20"/>
          <w:szCs w:val="20"/>
        </w:rPr>
        <w:t>,</w:t>
      </w:r>
      <w:r w:rsidR="00E31441" w:rsidRPr="0014328F">
        <w:rPr>
          <w:rFonts w:ascii="Arial" w:hAnsi="Arial" w:cs="Arial"/>
          <w:sz w:val="20"/>
          <w:szCs w:val="20"/>
        </w:rPr>
        <w:t xml:space="preserve"> lành mạnh của hệ thố</w:t>
      </w:r>
      <w:r w:rsidR="00F10937" w:rsidRPr="0014328F">
        <w:rPr>
          <w:rFonts w:ascii="Arial" w:hAnsi="Arial" w:cs="Arial"/>
          <w:sz w:val="20"/>
          <w:szCs w:val="20"/>
        </w:rPr>
        <w:t>ng, m</w:t>
      </w:r>
      <w:r w:rsidR="005115EA" w:rsidRPr="0014328F">
        <w:rPr>
          <w:rFonts w:ascii="Arial" w:hAnsi="Arial" w:cs="Arial"/>
          <w:sz w:val="20"/>
          <w:szCs w:val="20"/>
        </w:rPr>
        <w:t xml:space="preserve">ột </w:t>
      </w:r>
      <w:r w:rsidR="00540B55" w:rsidRPr="0014328F">
        <w:rPr>
          <w:rFonts w:ascii="Arial" w:hAnsi="Arial" w:cs="Arial"/>
          <w:sz w:val="20"/>
          <w:szCs w:val="20"/>
        </w:rPr>
        <w:t xml:space="preserve">số nội dung </w:t>
      </w:r>
      <w:r w:rsidR="003E5A86" w:rsidRPr="0014328F">
        <w:rPr>
          <w:rFonts w:ascii="Arial" w:hAnsi="Arial" w:cs="Arial"/>
          <w:sz w:val="20"/>
          <w:szCs w:val="20"/>
        </w:rPr>
        <w:t xml:space="preserve">sau đây </w:t>
      </w:r>
      <w:r w:rsidR="00540B55" w:rsidRPr="0014328F">
        <w:rPr>
          <w:rFonts w:ascii="Arial" w:hAnsi="Arial" w:cs="Arial"/>
          <w:sz w:val="20"/>
          <w:szCs w:val="20"/>
        </w:rPr>
        <w:t>cần được nhận thức rộng rãi</w:t>
      </w:r>
      <w:r w:rsidR="003E5A86" w:rsidRPr="0014328F">
        <w:rPr>
          <w:rFonts w:ascii="Arial" w:hAnsi="Arial" w:cs="Arial"/>
          <w:sz w:val="20"/>
          <w:szCs w:val="20"/>
        </w:rPr>
        <w:t xml:space="preserve"> và thể chế hóa</w:t>
      </w:r>
      <w:r w:rsidR="00AA7398" w:rsidRPr="0014328F">
        <w:rPr>
          <w:rFonts w:ascii="Arial" w:hAnsi="Arial" w:cs="Arial"/>
          <w:sz w:val="20"/>
          <w:szCs w:val="20"/>
        </w:rPr>
        <w:t>:</w:t>
      </w:r>
    </w:p>
    <w:p w:rsidR="002366B6" w:rsidRPr="0014328F" w:rsidRDefault="002366B6" w:rsidP="0014328F">
      <w:pPr>
        <w:pStyle w:val="ListParagraph"/>
        <w:numPr>
          <w:ilvl w:val="0"/>
          <w:numId w:val="2"/>
        </w:numPr>
        <w:tabs>
          <w:tab w:val="left" w:pos="284"/>
        </w:tabs>
        <w:spacing w:after="0" w:line="240" w:lineRule="auto"/>
        <w:ind w:left="0" w:firstLine="0"/>
        <w:contextualSpacing w:val="0"/>
        <w:jc w:val="both"/>
        <w:rPr>
          <w:rFonts w:ascii="Arial" w:hAnsi="Arial" w:cs="Arial"/>
          <w:sz w:val="20"/>
          <w:szCs w:val="20"/>
        </w:rPr>
      </w:pPr>
      <w:r w:rsidRPr="0014328F">
        <w:rPr>
          <w:rFonts w:ascii="Arial" w:hAnsi="Arial" w:cs="Arial"/>
          <w:sz w:val="20"/>
          <w:szCs w:val="20"/>
        </w:rPr>
        <w:t>Mở cửa nền kinh tế và h</w:t>
      </w:r>
      <w:r w:rsidR="009D5080" w:rsidRPr="0014328F">
        <w:rPr>
          <w:rFonts w:ascii="Arial" w:hAnsi="Arial" w:cs="Arial"/>
          <w:sz w:val="20"/>
          <w:szCs w:val="20"/>
        </w:rPr>
        <w:t>ội</w:t>
      </w:r>
      <w:r w:rsidRPr="0014328F">
        <w:rPr>
          <w:rFonts w:ascii="Arial" w:hAnsi="Arial" w:cs="Arial"/>
          <w:sz w:val="20"/>
          <w:szCs w:val="20"/>
        </w:rPr>
        <w:t xml:space="preserve"> nhập kinh tế quốc tế sâu rộng mang lại nhiều cơ hội cho phát triển. Mặc dầu v</w:t>
      </w:r>
      <w:r w:rsidR="009D5080" w:rsidRPr="0014328F">
        <w:rPr>
          <w:rFonts w:ascii="Arial" w:hAnsi="Arial" w:cs="Arial"/>
          <w:sz w:val="20"/>
          <w:szCs w:val="20"/>
        </w:rPr>
        <w:t>ậ</w:t>
      </w:r>
      <w:r w:rsidRPr="0014328F">
        <w:rPr>
          <w:rFonts w:ascii="Arial" w:hAnsi="Arial" w:cs="Arial"/>
          <w:sz w:val="20"/>
          <w:szCs w:val="20"/>
        </w:rPr>
        <w:t xml:space="preserve">y, rủi ro cũng xảy ra ở mức độ cao hơn và phức tạp hơn. Đột biến rút tiền gửi do Brexit của Anh cho thấy nguyên nhân của khó khăn ngân hàng ngày càng trở nên phức tạp. Vì vậy, cần có sự phối hợp tối đa các nguồn lực để giải quyết khó khăn trong kinh doanh ngân hàng với chi phí thấp nhất và hiệu quả cao nhất có thể. </w:t>
      </w:r>
    </w:p>
    <w:p w:rsidR="00E31441" w:rsidRPr="0014328F" w:rsidRDefault="00E31441" w:rsidP="0014328F">
      <w:pPr>
        <w:pStyle w:val="ListParagraph"/>
        <w:numPr>
          <w:ilvl w:val="0"/>
          <w:numId w:val="2"/>
        </w:numPr>
        <w:tabs>
          <w:tab w:val="left" w:pos="284"/>
        </w:tabs>
        <w:spacing w:after="0" w:line="240" w:lineRule="auto"/>
        <w:ind w:left="0" w:firstLine="0"/>
        <w:contextualSpacing w:val="0"/>
        <w:jc w:val="both"/>
        <w:rPr>
          <w:rFonts w:ascii="Arial" w:hAnsi="Arial" w:cs="Arial"/>
          <w:sz w:val="20"/>
          <w:szCs w:val="20"/>
        </w:rPr>
      </w:pPr>
      <w:r w:rsidRPr="0014328F">
        <w:rPr>
          <w:rFonts w:ascii="Arial" w:hAnsi="Arial" w:cs="Arial"/>
          <w:sz w:val="20"/>
          <w:szCs w:val="20"/>
        </w:rPr>
        <w:t>Công cụ BHTG đóng góp tích cực trong việc</w:t>
      </w:r>
      <w:r w:rsidRPr="0014328F">
        <w:rPr>
          <w:rFonts w:ascii="Arial" w:hAnsi="Arial" w:cs="Arial"/>
          <w:color w:val="000000"/>
          <w:sz w:val="20"/>
          <w:szCs w:val="20"/>
          <w:shd w:val="clear" w:color="auto" w:fill="FFFFFF"/>
        </w:rPr>
        <w:t xml:space="preserve"> </w:t>
      </w:r>
      <w:r w:rsidRPr="0014328F">
        <w:rPr>
          <w:rFonts w:ascii="Arial" w:hAnsi="Arial" w:cs="Arial"/>
          <w:sz w:val="20"/>
          <w:szCs w:val="20"/>
        </w:rPr>
        <w:t xml:space="preserve">duy trì sự ổn định của hệ thống các tổ chức tín dụng, bảo đảm sự phát triển an toàn, lành mạnh của hoạt động ngân hàng, song </w:t>
      </w:r>
      <w:r w:rsidR="002D32A5" w:rsidRPr="0014328F">
        <w:rPr>
          <w:rFonts w:ascii="Arial" w:hAnsi="Arial" w:cs="Arial"/>
          <w:sz w:val="20"/>
          <w:szCs w:val="20"/>
        </w:rPr>
        <w:t>hiệu quả của chính sách BHTG phụ</w:t>
      </w:r>
      <w:r w:rsidRPr="0014328F">
        <w:rPr>
          <w:rFonts w:ascii="Arial" w:hAnsi="Arial" w:cs="Arial"/>
          <w:sz w:val="20"/>
          <w:szCs w:val="20"/>
        </w:rPr>
        <w:t xml:space="preserve"> thuộc vào tính đầy đủ của các chức năng trao quyền cho tổ chức BHTG</w:t>
      </w:r>
      <w:r w:rsidR="009F06FC" w:rsidRPr="0014328F">
        <w:rPr>
          <w:rFonts w:ascii="Arial" w:hAnsi="Arial" w:cs="Arial"/>
          <w:sz w:val="20"/>
          <w:szCs w:val="20"/>
        </w:rPr>
        <w:t>.</w:t>
      </w:r>
      <w:r w:rsidRPr="0014328F">
        <w:rPr>
          <w:rFonts w:ascii="Arial" w:hAnsi="Arial" w:cs="Arial"/>
          <w:sz w:val="20"/>
          <w:szCs w:val="20"/>
        </w:rPr>
        <w:t xml:space="preserve"> </w:t>
      </w:r>
      <w:r w:rsidR="009F06FC" w:rsidRPr="0014328F">
        <w:rPr>
          <w:rFonts w:ascii="Arial" w:hAnsi="Arial" w:cs="Arial"/>
          <w:sz w:val="20"/>
          <w:szCs w:val="20"/>
        </w:rPr>
        <w:t>H</w:t>
      </w:r>
      <w:r w:rsidRPr="0014328F">
        <w:rPr>
          <w:rFonts w:ascii="Arial" w:hAnsi="Arial" w:cs="Arial"/>
          <w:sz w:val="20"/>
          <w:szCs w:val="20"/>
        </w:rPr>
        <w:t>àm ý</w:t>
      </w:r>
      <w:r w:rsidR="00357B0F" w:rsidRPr="0014328F">
        <w:rPr>
          <w:rFonts w:ascii="Arial" w:hAnsi="Arial" w:cs="Arial"/>
          <w:sz w:val="20"/>
          <w:szCs w:val="20"/>
        </w:rPr>
        <w:t>,</w:t>
      </w:r>
      <w:r w:rsidRPr="0014328F">
        <w:rPr>
          <w:rFonts w:ascii="Arial" w:hAnsi="Arial" w:cs="Arial"/>
          <w:sz w:val="20"/>
          <w:szCs w:val="20"/>
        </w:rPr>
        <w:t xml:space="preserve"> sử dụng </w:t>
      </w:r>
      <w:r w:rsidR="009F06FC" w:rsidRPr="0014328F">
        <w:rPr>
          <w:rFonts w:ascii="Arial" w:hAnsi="Arial" w:cs="Arial"/>
          <w:sz w:val="20"/>
          <w:szCs w:val="20"/>
        </w:rPr>
        <w:t xml:space="preserve">đồng bộ </w:t>
      </w:r>
      <w:r w:rsidRPr="0014328F">
        <w:rPr>
          <w:rFonts w:ascii="Arial" w:hAnsi="Arial" w:cs="Arial"/>
          <w:sz w:val="20"/>
          <w:szCs w:val="20"/>
        </w:rPr>
        <w:t xml:space="preserve">nghiệp vụ </w:t>
      </w:r>
      <w:r w:rsidR="005C68AF" w:rsidRPr="0014328F">
        <w:rPr>
          <w:rFonts w:ascii="Arial" w:hAnsi="Arial" w:cs="Arial"/>
          <w:sz w:val="20"/>
          <w:szCs w:val="20"/>
        </w:rPr>
        <w:t>HTTC</w:t>
      </w:r>
      <w:r w:rsidRPr="0014328F">
        <w:rPr>
          <w:rFonts w:ascii="Arial" w:hAnsi="Arial" w:cs="Arial"/>
          <w:sz w:val="20"/>
          <w:szCs w:val="20"/>
        </w:rPr>
        <w:t>, ngân hàng bắc cầu, nghiệp vụ kiểm tra, giám sát mới giải quyết được khó khăn của ngân hàng</w:t>
      </w:r>
      <w:r w:rsidR="009E4001" w:rsidRPr="0014328F">
        <w:rPr>
          <w:rFonts w:ascii="Arial" w:hAnsi="Arial" w:cs="Arial"/>
          <w:sz w:val="20"/>
          <w:szCs w:val="20"/>
        </w:rPr>
        <w:t xml:space="preserve"> một cách hiệu quả và hạn chế tối đa chi phí phát sinh</w:t>
      </w:r>
      <w:r w:rsidRPr="0014328F">
        <w:rPr>
          <w:rFonts w:ascii="Arial" w:hAnsi="Arial" w:cs="Arial"/>
          <w:sz w:val="20"/>
          <w:szCs w:val="20"/>
        </w:rPr>
        <w:t>.</w:t>
      </w:r>
    </w:p>
    <w:p w:rsidR="00AA0536" w:rsidRPr="0014328F" w:rsidRDefault="00381CDF" w:rsidP="0014328F">
      <w:pPr>
        <w:pStyle w:val="ListParagraph"/>
        <w:numPr>
          <w:ilvl w:val="0"/>
          <w:numId w:val="2"/>
        </w:numPr>
        <w:tabs>
          <w:tab w:val="left" w:pos="284"/>
        </w:tabs>
        <w:spacing w:after="0" w:line="240" w:lineRule="auto"/>
        <w:ind w:left="0" w:firstLine="0"/>
        <w:contextualSpacing w:val="0"/>
        <w:jc w:val="both"/>
        <w:rPr>
          <w:rFonts w:ascii="Arial" w:hAnsi="Arial" w:cs="Arial"/>
          <w:sz w:val="20"/>
          <w:szCs w:val="20"/>
        </w:rPr>
      </w:pPr>
      <w:r w:rsidRPr="0014328F">
        <w:rPr>
          <w:rFonts w:ascii="Arial" w:hAnsi="Arial" w:cs="Arial"/>
          <w:sz w:val="20"/>
          <w:szCs w:val="20"/>
        </w:rPr>
        <w:t>Nghiệp vụ</w:t>
      </w:r>
      <w:r w:rsidR="00AA0536" w:rsidRPr="0014328F">
        <w:rPr>
          <w:rFonts w:ascii="Arial" w:hAnsi="Arial" w:cs="Arial"/>
          <w:sz w:val="20"/>
          <w:szCs w:val="20"/>
        </w:rPr>
        <w:t xml:space="preserve"> HTTC cần được nghiên cứu để triển khai chính thức trong khuôn khổ chính sách BHTG ở Việt Nam. Kinh nghiệm của </w:t>
      </w:r>
      <w:r w:rsidR="003F1E5A" w:rsidRPr="0014328F">
        <w:rPr>
          <w:rFonts w:ascii="Arial" w:hAnsi="Arial" w:cs="Arial"/>
          <w:sz w:val="20"/>
          <w:szCs w:val="20"/>
        </w:rPr>
        <w:t xml:space="preserve">Ba Lan và </w:t>
      </w:r>
      <w:r w:rsidR="00AA0536" w:rsidRPr="0014328F">
        <w:rPr>
          <w:rFonts w:ascii="Arial" w:hAnsi="Arial" w:cs="Arial"/>
          <w:sz w:val="20"/>
          <w:szCs w:val="20"/>
        </w:rPr>
        <w:t>Mỹ</w:t>
      </w:r>
      <w:r w:rsidR="003F1E5A" w:rsidRPr="0014328F">
        <w:rPr>
          <w:rFonts w:ascii="Arial" w:hAnsi="Arial" w:cs="Arial"/>
          <w:sz w:val="20"/>
          <w:szCs w:val="20"/>
        </w:rPr>
        <w:t xml:space="preserve"> </w:t>
      </w:r>
      <w:r w:rsidR="00AA0536" w:rsidRPr="0014328F">
        <w:rPr>
          <w:rFonts w:ascii="Arial" w:hAnsi="Arial" w:cs="Arial"/>
          <w:sz w:val="20"/>
          <w:szCs w:val="20"/>
        </w:rPr>
        <w:t xml:space="preserve">về HTTC cần được tham khảo và vận dụng linh hoạt. </w:t>
      </w:r>
      <w:r w:rsidR="00EF445F" w:rsidRPr="0014328F">
        <w:rPr>
          <w:rFonts w:ascii="Arial" w:hAnsi="Arial" w:cs="Arial"/>
          <w:sz w:val="20"/>
          <w:szCs w:val="20"/>
        </w:rPr>
        <w:t>Q</w:t>
      </w:r>
      <w:r w:rsidR="00AA0536" w:rsidRPr="0014328F">
        <w:rPr>
          <w:rFonts w:ascii="Arial" w:hAnsi="Arial" w:cs="Arial"/>
          <w:sz w:val="20"/>
          <w:szCs w:val="20"/>
        </w:rPr>
        <w:t xml:space="preserve">ui định kiểm soát rủi ro trong thực thi HTTC, như trích lập dự phòng xử lý </w:t>
      </w:r>
      <w:r w:rsidR="00EF445F" w:rsidRPr="0014328F">
        <w:rPr>
          <w:rFonts w:ascii="Arial" w:hAnsi="Arial" w:cs="Arial"/>
          <w:sz w:val="20"/>
          <w:szCs w:val="20"/>
        </w:rPr>
        <w:t xml:space="preserve">nợ </w:t>
      </w:r>
      <w:r w:rsidR="00AA0536" w:rsidRPr="0014328F">
        <w:rPr>
          <w:rFonts w:ascii="Arial" w:hAnsi="Arial" w:cs="Arial"/>
          <w:sz w:val="20"/>
          <w:szCs w:val="20"/>
        </w:rPr>
        <w:t xml:space="preserve">xấu, qui định miễn trừ trách nhiệm công vụ trong tình huống đặc biệt,… cần được thể chế hóa. </w:t>
      </w:r>
    </w:p>
    <w:p w:rsidR="00955E50" w:rsidRPr="0014328F" w:rsidRDefault="00955E50" w:rsidP="0014328F">
      <w:pPr>
        <w:pStyle w:val="ListParagraph"/>
        <w:spacing w:after="0" w:line="240" w:lineRule="auto"/>
        <w:ind w:left="0"/>
        <w:contextualSpacing w:val="0"/>
        <w:rPr>
          <w:rFonts w:ascii="Arial" w:hAnsi="Arial" w:cs="Arial"/>
          <w:i/>
          <w:sz w:val="20"/>
          <w:szCs w:val="20"/>
        </w:rPr>
      </w:pPr>
      <w:r w:rsidRPr="0014328F">
        <w:rPr>
          <w:rFonts w:ascii="Arial" w:hAnsi="Arial" w:cs="Arial"/>
          <w:i/>
          <w:sz w:val="20"/>
          <w:szCs w:val="20"/>
        </w:rPr>
        <w:t xml:space="preserve">TS. Nguyễn Thị Kim Oanh </w:t>
      </w:r>
    </w:p>
    <w:p w:rsidR="00955E50" w:rsidRPr="0014328F" w:rsidRDefault="00955E50" w:rsidP="0014328F">
      <w:pPr>
        <w:spacing w:after="0" w:line="240" w:lineRule="auto"/>
        <w:rPr>
          <w:rFonts w:ascii="Arial" w:hAnsi="Arial" w:cs="Arial"/>
          <w:i/>
          <w:sz w:val="20"/>
          <w:szCs w:val="20"/>
        </w:rPr>
      </w:pPr>
      <w:r w:rsidRPr="0014328F">
        <w:rPr>
          <w:rFonts w:ascii="Arial" w:hAnsi="Arial" w:cs="Arial"/>
          <w:i/>
          <w:sz w:val="20"/>
          <w:szCs w:val="20"/>
        </w:rPr>
        <w:t>Lê Thị Hồng Hạnh</w:t>
      </w:r>
    </w:p>
    <w:p w:rsidR="00955E50" w:rsidRPr="0014328F" w:rsidRDefault="00596FB3" w:rsidP="0014328F">
      <w:pPr>
        <w:pStyle w:val="ListParagraph"/>
        <w:spacing w:after="0" w:line="240" w:lineRule="auto"/>
        <w:ind w:left="0"/>
        <w:contextualSpacing w:val="0"/>
        <w:rPr>
          <w:rFonts w:ascii="Arial" w:hAnsi="Arial" w:cs="Arial"/>
          <w:i/>
          <w:sz w:val="20"/>
          <w:szCs w:val="20"/>
        </w:rPr>
      </w:pPr>
      <w:r w:rsidRPr="0014328F">
        <w:rPr>
          <w:rFonts w:ascii="Arial" w:hAnsi="Arial" w:cs="Arial"/>
          <w:i/>
          <w:sz w:val="20"/>
          <w:szCs w:val="20"/>
        </w:rPr>
        <w:t xml:space="preserve">    </w:t>
      </w:r>
      <w:r w:rsidR="00955E50" w:rsidRPr="0014328F">
        <w:rPr>
          <w:rFonts w:ascii="Arial" w:hAnsi="Arial" w:cs="Arial"/>
          <w:i/>
          <w:sz w:val="20"/>
          <w:szCs w:val="20"/>
        </w:rPr>
        <w:t xml:space="preserve">BHTGVN Chi nhánh tại TP. Hà Nội </w:t>
      </w:r>
    </w:p>
    <w:p w:rsidR="00E31441" w:rsidRPr="0014328F" w:rsidRDefault="00E31441" w:rsidP="0014328F">
      <w:pPr>
        <w:pStyle w:val="ListParagraph"/>
        <w:widowControl w:val="0"/>
        <w:autoSpaceDE w:val="0"/>
        <w:autoSpaceDN w:val="0"/>
        <w:adjustRightInd w:val="0"/>
        <w:spacing w:after="0" w:line="240" w:lineRule="auto"/>
        <w:ind w:left="0"/>
        <w:contextualSpacing w:val="0"/>
        <w:jc w:val="both"/>
        <w:rPr>
          <w:rFonts w:ascii="Arial" w:hAnsi="Arial" w:cs="Arial"/>
          <w:b/>
          <w:i/>
          <w:sz w:val="20"/>
          <w:szCs w:val="20"/>
        </w:rPr>
      </w:pPr>
      <w:r w:rsidRPr="0014328F">
        <w:rPr>
          <w:rFonts w:ascii="Arial" w:hAnsi="Arial" w:cs="Arial"/>
          <w:b/>
          <w:i/>
          <w:sz w:val="20"/>
          <w:szCs w:val="20"/>
        </w:rPr>
        <w:t>Tài liệu tham khảo:</w:t>
      </w:r>
    </w:p>
    <w:p w:rsidR="00E31441" w:rsidRPr="004A2CBC" w:rsidRDefault="00E31441" w:rsidP="004A2CBC">
      <w:pPr>
        <w:pStyle w:val="ListParagraph"/>
        <w:widowControl w:val="0"/>
        <w:numPr>
          <w:ilvl w:val="0"/>
          <w:numId w:val="3"/>
        </w:numPr>
        <w:tabs>
          <w:tab w:val="left" w:pos="284"/>
        </w:tabs>
        <w:autoSpaceDE w:val="0"/>
        <w:autoSpaceDN w:val="0"/>
        <w:adjustRightInd w:val="0"/>
        <w:spacing w:after="0" w:line="240" w:lineRule="auto"/>
        <w:ind w:left="0" w:firstLine="0"/>
        <w:contextualSpacing w:val="0"/>
        <w:jc w:val="both"/>
        <w:rPr>
          <w:rFonts w:ascii="Arial" w:eastAsia="Arial" w:hAnsi="Arial" w:cs="Arial"/>
          <w:i/>
          <w:sz w:val="20"/>
          <w:szCs w:val="20"/>
        </w:rPr>
      </w:pPr>
      <w:r w:rsidRPr="004A2CBC">
        <w:rPr>
          <w:rFonts w:ascii="Arial" w:eastAsia="Arial" w:hAnsi="Arial" w:cs="Arial"/>
          <w:i/>
          <w:sz w:val="20"/>
          <w:szCs w:val="20"/>
        </w:rPr>
        <w:t>FDIC (1998)</w:t>
      </w:r>
      <w:r w:rsidRPr="004A2CBC">
        <w:rPr>
          <w:rFonts w:ascii="Arial" w:eastAsia="Arial" w:hAnsi="Arial" w:cs="Arial"/>
          <w:i/>
          <w:iCs/>
          <w:sz w:val="20"/>
          <w:szCs w:val="20"/>
        </w:rPr>
        <w:t>, A brief history of deposit insurance in the United States</w:t>
      </w:r>
    </w:p>
    <w:p w:rsidR="00E31441" w:rsidRPr="004A2CBC" w:rsidRDefault="00E31441" w:rsidP="004A2CBC">
      <w:pPr>
        <w:pStyle w:val="ListParagraph"/>
        <w:numPr>
          <w:ilvl w:val="0"/>
          <w:numId w:val="3"/>
        </w:numPr>
        <w:tabs>
          <w:tab w:val="left" w:pos="284"/>
        </w:tabs>
        <w:spacing w:after="0" w:line="240" w:lineRule="auto"/>
        <w:ind w:left="0" w:firstLine="0"/>
        <w:contextualSpacing w:val="0"/>
        <w:jc w:val="both"/>
        <w:rPr>
          <w:rFonts w:ascii="Arial" w:hAnsi="Arial" w:cs="Arial"/>
          <w:i/>
          <w:sz w:val="20"/>
          <w:szCs w:val="20"/>
        </w:rPr>
      </w:pPr>
      <w:r w:rsidRPr="004A2CBC">
        <w:rPr>
          <w:rFonts w:ascii="Arial" w:hAnsi="Arial" w:cs="Arial"/>
          <w:i/>
          <w:sz w:val="20"/>
          <w:szCs w:val="20"/>
        </w:rPr>
        <w:t xml:space="preserve">BFG (2001), </w:t>
      </w:r>
      <w:r w:rsidRPr="004A2CBC">
        <w:rPr>
          <w:rFonts w:ascii="Arial" w:hAnsi="Arial" w:cs="Arial"/>
          <w:i/>
          <w:iCs/>
          <w:sz w:val="20"/>
          <w:szCs w:val="20"/>
        </w:rPr>
        <w:t xml:space="preserve">The bank Guarantee Fund’s operations </w:t>
      </w:r>
      <w:r w:rsidRPr="004A2CBC">
        <w:rPr>
          <w:rFonts w:ascii="Arial" w:hAnsi="Arial" w:cs="Arial"/>
          <w:i/>
          <w:sz w:val="20"/>
          <w:szCs w:val="20"/>
        </w:rPr>
        <w:t>(1995-2001)</w:t>
      </w:r>
      <w:r w:rsidRPr="004A2CBC">
        <w:rPr>
          <w:rFonts w:ascii="Arial" w:hAnsi="Arial" w:cs="Arial"/>
          <w:i/>
          <w:sz w:val="20"/>
          <w:szCs w:val="20"/>
          <w:lang w:val="en-US"/>
        </w:rPr>
        <w:t>.</w:t>
      </w:r>
    </w:p>
    <w:p w:rsidR="00BC56A3" w:rsidRPr="004A2CBC" w:rsidRDefault="00BC56A3" w:rsidP="004A2CBC">
      <w:pPr>
        <w:pStyle w:val="ListParagraph"/>
        <w:numPr>
          <w:ilvl w:val="0"/>
          <w:numId w:val="3"/>
        </w:numPr>
        <w:tabs>
          <w:tab w:val="left" w:pos="284"/>
        </w:tabs>
        <w:spacing w:after="0" w:line="240" w:lineRule="auto"/>
        <w:ind w:left="0" w:firstLine="0"/>
        <w:contextualSpacing w:val="0"/>
        <w:jc w:val="both"/>
        <w:rPr>
          <w:rFonts w:ascii="Arial" w:hAnsi="Arial" w:cs="Arial"/>
          <w:i/>
          <w:sz w:val="20"/>
          <w:szCs w:val="20"/>
        </w:rPr>
      </w:pPr>
      <w:r w:rsidRPr="004A2CBC">
        <w:rPr>
          <w:rFonts w:ascii="Arial" w:hAnsi="Arial" w:cs="Arial"/>
          <w:i/>
          <w:sz w:val="20"/>
          <w:szCs w:val="20"/>
          <w:shd w:val="clear" w:color="auto" w:fill="FFFFFF"/>
        </w:rPr>
        <w:t xml:space="preserve">IADI, Bộ các Nguyên tắc cơ bản phát triển hệ thống BHTG hiệu quả. </w:t>
      </w:r>
    </w:p>
    <w:p w:rsidR="00BC56A3" w:rsidRPr="004A2CBC" w:rsidRDefault="00BC56A3" w:rsidP="004A2CBC">
      <w:pPr>
        <w:pStyle w:val="ListParagraph"/>
        <w:numPr>
          <w:ilvl w:val="0"/>
          <w:numId w:val="3"/>
        </w:numPr>
        <w:tabs>
          <w:tab w:val="left" w:pos="284"/>
        </w:tabs>
        <w:spacing w:after="0" w:line="240" w:lineRule="auto"/>
        <w:ind w:left="0" w:firstLine="0"/>
        <w:contextualSpacing w:val="0"/>
        <w:jc w:val="both"/>
        <w:rPr>
          <w:rFonts w:ascii="Arial" w:hAnsi="Arial" w:cs="Arial"/>
          <w:i/>
          <w:sz w:val="20"/>
          <w:szCs w:val="20"/>
        </w:rPr>
      </w:pPr>
      <w:r w:rsidRPr="004A2CBC">
        <w:rPr>
          <w:rFonts w:ascii="Arial" w:hAnsi="Arial" w:cs="Arial"/>
          <w:i/>
          <w:sz w:val="20"/>
          <w:szCs w:val="20"/>
          <w:shd w:val="clear" w:color="auto" w:fill="FFFFFF"/>
          <w:lang w:val="en-US"/>
        </w:rPr>
        <w:t>Báo cáo BHTGVN</w:t>
      </w:r>
    </w:p>
    <w:p w:rsidR="0001623F" w:rsidRPr="0014328F" w:rsidRDefault="003F178A" w:rsidP="004A2CBC">
      <w:pPr>
        <w:pStyle w:val="ListParagraph"/>
        <w:numPr>
          <w:ilvl w:val="0"/>
          <w:numId w:val="3"/>
        </w:numPr>
        <w:tabs>
          <w:tab w:val="left" w:pos="284"/>
        </w:tabs>
        <w:spacing w:after="0" w:line="240" w:lineRule="auto"/>
        <w:ind w:left="0" w:firstLine="0"/>
        <w:contextualSpacing w:val="0"/>
        <w:jc w:val="both"/>
        <w:rPr>
          <w:rFonts w:ascii="Arial" w:hAnsi="Arial" w:cs="Arial"/>
          <w:i/>
          <w:sz w:val="20"/>
          <w:szCs w:val="20"/>
        </w:rPr>
      </w:pPr>
      <w:hyperlink r:id="rId7" w:history="1">
        <w:r w:rsidR="0001623F" w:rsidRPr="0014328F">
          <w:rPr>
            <w:rStyle w:val="Hyperlink"/>
            <w:rFonts w:ascii="Arial" w:hAnsi="Arial" w:cs="Arial"/>
            <w:i/>
            <w:color w:val="auto"/>
            <w:sz w:val="20"/>
            <w:szCs w:val="20"/>
            <w:lang w:val="en-US"/>
          </w:rPr>
          <w:t>http://www.fdic.gov</w:t>
        </w:r>
      </w:hyperlink>
      <w:r w:rsidR="0001623F" w:rsidRPr="0014328F">
        <w:rPr>
          <w:rFonts w:ascii="Arial" w:hAnsi="Arial" w:cs="Arial"/>
          <w:i/>
          <w:sz w:val="20"/>
          <w:szCs w:val="20"/>
          <w:lang w:val="en-US"/>
        </w:rPr>
        <w:t xml:space="preserve"> </w:t>
      </w:r>
    </w:p>
    <w:p w:rsidR="0072378E" w:rsidRPr="0014328F" w:rsidRDefault="003F178A" w:rsidP="004A2CBC">
      <w:pPr>
        <w:pStyle w:val="ListParagraph"/>
        <w:numPr>
          <w:ilvl w:val="0"/>
          <w:numId w:val="3"/>
        </w:numPr>
        <w:tabs>
          <w:tab w:val="left" w:pos="284"/>
        </w:tabs>
        <w:spacing w:after="0" w:line="240" w:lineRule="auto"/>
        <w:ind w:left="0" w:firstLine="0"/>
        <w:contextualSpacing w:val="0"/>
        <w:jc w:val="both"/>
        <w:rPr>
          <w:rFonts w:ascii="Arial" w:hAnsi="Arial" w:cs="Arial"/>
          <w:sz w:val="20"/>
          <w:szCs w:val="20"/>
        </w:rPr>
      </w:pPr>
      <w:hyperlink r:id="rId8" w:anchor="axzz4CF74hz00" w:history="1">
        <w:r w:rsidR="00BC56A3" w:rsidRPr="0014328F">
          <w:rPr>
            <w:rStyle w:val="Hyperlink"/>
            <w:rFonts w:ascii="Arial" w:hAnsi="Arial" w:cs="Arial"/>
            <w:i/>
            <w:color w:val="auto"/>
            <w:sz w:val="20"/>
            <w:szCs w:val="20"/>
            <w:shd w:val="clear" w:color="auto" w:fill="FFFFFF"/>
          </w:rPr>
          <w:t>https://next.ft.com/content/c1f5c006-388e-11e6-9a05-82a9b15a8ee7#axzz4CF74hz00</w:t>
        </w:r>
      </w:hyperlink>
      <w:r w:rsidR="00483D01" w:rsidRPr="0014328F">
        <w:rPr>
          <w:rFonts w:ascii="Arial" w:hAnsi="Arial" w:cs="Arial"/>
          <w:sz w:val="20"/>
          <w:szCs w:val="20"/>
        </w:rPr>
        <w:t xml:space="preserve"> </w:t>
      </w:r>
    </w:p>
    <w:sectPr w:rsidR="0072378E" w:rsidRPr="0014328F" w:rsidSect="00D61064">
      <w:footerReference w:type="default" r:id="rId9"/>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558" w:rsidRDefault="00245558" w:rsidP="00070346">
      <w:pPr>
        <w:spacing w:after="0" w:line="240" w:lineRule="auto"/>
      </w:pPr>
      <w:r>
        <w:separator/>
      </w:r>
    </w:p>
  </w:endnote>
  <w:endnote w:type="continuationSeparator" w:id="1">
    <w:p w:rsidR="00245558" w:rsidRDefault="00245558" w:rsidP="000703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CDE" w:rsidRPr="004061F1" w:rsidRDefault="00245558" w:rsidP="004061F1">
    <w:pPr>
      <w:pStyle w:val="Footer"/>
      <w:rPr>
        <w:lang w:val="en-US"/>
      </w:rPr>
    </w:pPr>
  </w:p>
  <w:p w:rsidR="001E3CDE" w:rsidRDefault="002455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558" w:rsidRDefault="00245558" w:rsidP="00070346">
      <w:pPr>
        <w:spacing w:after="0" w:line="240" w:lineRule="auto"/>
      </w:pPr>
      <w:r>
        <w:separator/>
      </w:r>
    </w:p>
  </w:footnote>
  <w:footnote w:type="continuationSeparator" w:id="1">
    <w:p w:rsidR="00245558" w:rsidRDefault="00245558" w:rsidP="000703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81A84"/>
    <w:multiLevelType w:val="hybridMultilevel"/>
    <w:tmpl w:val="CABC3A7E"/>
    <w:lvl w:ilvl="0" w:tplc="042A000F">
      <w:start w:val="1"/>
      <w:numFmt w:val="decimal"/>
      <w:lvlText w:val="%1."/>
      <w:lvlJc w:val="left"/>
      <w:pPr>
        <w:ind w:left="720" w:hanging="360"/>
      </w:pPr>
      <w:rPr>
        <w:rFonts w:hint="default"/>
      </w:rPr>
    </w:lvl>
    <w:lvl w:ilvl="1" w:tplc="042A0003" w:tentative="1">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E600ECD"/>
    <w:multiLevelType w:val="hybridMultilevel"/>
    <w:tmpl w:val="7A269AD2"/>
    <w:lvl w:ilvl="0" w:tplc="F206642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525422F7"/>
    <w:multiLevelType w:val="hybridMultilevel"/>
    <w:tmpl w:val="FD4290FC"/>
    <w:lvl w:ilvl="0" w:tplc="045CC158">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31441"/>
    <w:rsid w:val="000005E8"/>
    <w:rsid w:val="00006198"/>
    <w:rsid w:val="0001623F"/>
    <w:rsid w:val="0002663A"/>
    <w:rsid w:val="00027209"/>
    <w:rsid w:val="00040530"/>
    <w:rsid w:val="000526B7"/>
    <w:rsid w:val="000531AF"/>
    <w:rsid w:val="00065A7C"/>
    <w:rsid w:val="00070346"/>
    <w:rsid w:val="00074199"/>
    <w:rsid w:val="00086C91"/>
    <w:rsid w:val="000935F5"/>
    <w:rsid w:val="000B5AC7"/>
    <w:rsid w:val="000C6A35"/>
    <w:rsid w:val="000E64F2"/>
    <w:rsid w:val="00102409"/>
    <w:rsid w:val="001033AF"/>
    <w:rsid w:val="00115AB0"/>
    <w:rsid w:val="00131AC9"/>
    <w:rsid w:val="0014328F"/>
    <w:rsid w:val="00160B6D"/>
    <w:rsid w:val="00163411"/>
    <w:rsid w:val="00172A4C"/>
    <w:rsid w:val="0018170C"/>
    <w:rsid w:val="00182872"/>
    <w:rsid w:val="00190307"/>
    <w:rsid w:val="001A0F3F"/>
    <w:rsid w:val="001A6FC6"/>
    <w:rsid w:val="001B04FB"/>
    <w:rsid w:val="001D180E"/>
    <w:rsid w:val="001E1A0B"/>
    <w:rsid w:val="00222F84"/>
    <w:rsid w:val="00227B13"/>
    <w:rsid w:val="002366B6"/>
    <w:rsid w:val="00245558"/>
    <w:rsid w:val="0025289E"/>
    <w:rsid w:val="00264EE3"/>
    <w:rsid w:val="00266657"/>
    <w:rsid w:val="0028769A"/>
    <w:rsid w:val="00287D67"/>
    <w:rsid w:val="00296B59"/>
    <w:rsid w:val="002977FD"/>
    <w:rsid w:val="002A4790"/>
    <w:rsid w:val="002C1F4C"/>
    <w:rsid w:val="002D32A5"/>
    <w:rsid w:val="0030162F"/>
    <w:rsid w:val="00302641"/>
    <w:rsid w:val="003166D2"/>
    <w:rsid w:val="00320F78"/>
    <w:rsid w:val="003303F2"/>
    <w:rsid w:val="0033083E"/>
    <w:rsid w:val="00331C8D"/>
    <w:rsid w:val="00332656"/>
    <w:rsid w:val="003505C5"/>
    <w:rsid w:val="003532B1"/>
    <w:rsid w:val="003536A3"/>
    <w:rsid w:val="00357B0F"/>
    <w:rsid w:val="0037459A"/>
    <w:rsid w:val="00381CDF"/>
    <w:rsid w:val="003925B5"/>
    <w:rsid w:val="003C6490"/>
    <w:rsid w:val="003D2C66"/>
    <w:rsid w:val="003E5A86"/>
    <w:rsid w:val="003E7CA9"/>
    <w:rsid w:val="003F178A"/>
    <w:rsid w:val="003F1E5A"/>
    <w:rsid w:val="004061F1"/>
    <w:rsid w:val="00413991"/>
    <w:rsid w:val="00417651"/>
    <w:rsid w:val="004218C1"/>
    <w:rsid w:val="004367DF"/>
    <w:rsid w:val="00437FC0"/>
    <w:rsid w:val="00444DB0"/>
    <w:rsid w:val="0045329D"/>
    <w:rsid w:val="00466EBE"/>
    <w:rsid w:val="00483D01"/>
    <w:rsid w:val="00490F65"/>
    <w:rsid w:val="004926CB"/>
    <w:rsid w:val="004A0D73"/>
    <w:rsid w:val="004A2CBC"/>
    <w:rsid w:val="004A5D7C"/>
    <w:rsid w:val="004B5702"/>
    <w:rsid w:val="004C6EFD"/>
    <w:rsid w:val="004D2358"/>
    <w:rsid w:val="005016B3"/>
    <w:rsid w:val="005115EA"/>
    <w:rsid w:val="00517468"/>
    <w:rsid w:val="00534A1F"/>
    <w:rsid w:val="00540B55"/>
    <w:rsid w:val="00572035"/>
    <w:rsid w:val="00572581"/>
    <w:rsid w:val="00575AEA"/>
    <w:rsid w:val="00596D31"/>
    <w:rsid w:val="00596FB3"/>
    <w:rsid w:val="005A20CD"/>
    <w:rsid w:val="005B21ED"/>
    <w:rsid w:val="005B6857"/>
    <w:rsid w:val="005C68AF"/>
    <w:rsid w:val="005D1F6F"/>
    <w:rsid w:val="005F0091"/>
    <w:rsid w:val="005F3DC4"/>
    <w:rsid w:val="005F7E3F"/>
    <w:rsid w:val="00617845"/>
    <w:rsid w:val="00624690"/>
    <w:rsid w:val="00626221"/>
    <w:rsid w:val="00630B4C"/>
    <w:rsid w:val="00635A3D"/>
    <w:rsid w:val="00636E10"/>
    <w:rsid w:val="00637945"/>
    <w:rsid w:val="00641D78"/>
    <w:rsid w:val="00644D36"/>
    <w:rsid w:val="00647A1E"/>
    <w:rsid w:val="00656936"/>
    <w:rsid w:val="0067031A"/>
    <w:rsid w:val="00671CF5"/>
    <w:rsid w:val="00680D98"/>
    <w:rsid w:val="006B1A43"/>
    <w:rsid w:val="006C092D"/>
    <w:rsid w:val="006D0872"/>
    <w:rsid w:val="006D0D37"/>
    <w:rsid w:val="006D5D78"/>
    <w:rsid w:val="006E20BD"/>
    <w:rsid w:val="00706762"/>
    <w:rsid w:val="00716565"/>
    <w:rsid w:val="007310E3"/>
    <w:rsid w:val="00731E58"/>
    <w:rsid w:val="007469F6"/>
    <w:rsid w:val="0074715D"/>
    <w:rsid w:val="00750337"/>
    <w:rsid w:val="00752BE7"/>
    <w:rsid w:val="007560BD"/>
    <w:rsid w:val="00757E9F"/>
    <w:rsid w:val="007670EC"/>
    <w:rsid w:val="00783721"/>
    <w:rsid w:val="0079425F"/>
    <w:rsid w:val="007950EC"/>
    <w:rsid w:val="007A3587"/>
    <w:rsid w:val="007D6D58"/>
    <w:rsid w:val="007E666F"/>
    <w:rsid w:val="007F49A8"/>
    <w:rsid w:val="00803B66"/>
    <w:rsid w:val="00862514"/>
    <w:rsid w:val="00881764"/>
    <w:rsid w:val="008A6C00"/>
    <w:rsid w:val="008B6B59"/>
    <w:rsid w:val="008C58F0"/>
    <w:rsid w:val="008D3134"/>
    <w:rsid w:val="008D634A"/>
    <w:rsid w:val="008E7ADC"/>
    <w:rsid w:val="008F6EDB"/>
    <w:rsid w:val="00915E17"/>
    <w:rsid w:val="00923342"/>
    <w:rsid w:val="00932C2F"/>
    <w:rsid w:val="00954ADD"/>
    <w:rsid w:val="00955E50"/>
    <w:rsid w:val="009642B3"/>
    <w:rsid w:val="009774EF"/>
    <w:rsid w:val="00980113"/>
    <w:rsid w:val="009A1BED"/>
    <w:rsid w:val="009B3F2E"/>
    <w:rsid w:val="009B5638"/>
    <w:rsid w:val="009D3C00"/>
    <w:rsid w:val="009D5080"/>
    <w:rsid w:val="009E4001"/>
    <w:rsid w:val="009F06FC"/>
    <w:rsid w:val="00A474E6"/>
    <w:rsid w:val="00A64FC7"/>
    <w:rsid w:val="00A674CF"/>
    <w:rsid w:val="00A71630"/>
    <w:rsid w:val="00A74C5C"/>
    <w:rsid w:val="00A91339"/>
    <w:rsid w:val="00A91E0A"/>
    <w:rsid w:val="00A9202A"/>
    <w:rsid w:val="00A93258"/>
    <w:rsid w:val="00AA0536"/>
    <w:rsid w:val="00AA7398"/>
    <w:rsid w:val="00AB5313"/>
    <w:rsid w:val="00AC37B9"/>
    <w:rsid w:val="00AD3675"/>
    <w:rsid w:val="00AD56F3"/>
    <w:rsid w:val="00AD5C54"/>
    <w:rsid w:val="00AE2BD9"/>
    <w:rsid w:val="00AE6991"/>
    <w:rsid w:val="00AF1F5C"/>
    <w:rsid w:val="00AF490A"/>
    <w:rsid w:val="00B320DA"/>
    <w:rsid w:val="00B60854"/>
    <w:rsid w:val="00B87960"/>
    <w:rsid w:val="00B97D7F"/>
    <w:rsid w:val="00BA4E42"/>
    <w:rsid w:val="00BB18D8"/>
    <w:rsid w:val="00BC0729"/>
    <w:rsid w:val="00BC56A3"/>
    <w:rsid w:val="00BD77A4"/>
    <w:rsid w:val="00BE67AE"/>
    <w:rsid w:val="00C17C2D"/>
    <w:rsid w:val="00C459CB"/>
    <w:rsid w:val="00C47C3C"/>
    <w:rsid w:val="00C65EF8"/>
    <w:rsid w:val="00C67E44"/>
    <w:rsid w:val="00C71165"/>
    <w:rsid w:val="00C843C8"/>
    <w:rsid w:val="00CB1B6B"/>
    <w:rsid w:val="00CB50D3"/>
    <w:rsid w:val="00CE02A1"/>
    <w:rsid w:val="00CF0D95"/>
    <w:rsid w:val="00D01F06"/>
    <w:rsid w:val="00D11EA8"/>
    <w:rsid w:val="00D212C9"/>
    <w:rsid w:val="00D26111"/>
    <w:rsid w:val="00D270C7"/>
    <w:rsid w:val="00D508B2"/>
    <w:rsid w:val="00D50F31"/>
    <w:rsid w:val="00D5661F"/>
    <w:rsid w:val="00D61064"/>
    <w:rsid w:val="00D62BE6"/>
    <w:rsid w:val="00DA56FC"/>
    <w:rsid w:val="00DB114F"/>
    <w:rsid w:val="00DB359D"/>
    <w:rsid w:val="00DD4923"/>
    <w:rsid w:val="00DE7603"/>
    <w:rsid w:val="00DF111C"/>
    <w:rsid w:val="00E15A4C"/>
    <w:rsid w:val="00E31441"/>
    <w:rsid w:val="00E365F2"/>
    <w:rsid w:val="00E36D14"/>
    <w:rsid w:val="00E54419"/>
    <w:rsid w:val="00E64DBF"/>
    <w:rsid w:val="00E72340"/>
    <w:rsid w:val="00E73DAA"/>
    <w:rsid w:val="00E9197C"/>
    <w:rsid w:val="00E95184"/>
    <w:rsid w:val="00EA7E8A"/>
    <w:rsid w:val="00EC04FB"/>
    <w:rsid w:val="00EE6107"/>
    <w:rsid w:val="00EF2F8A"/>
    <w:rsid w:val="00EF445F"/>
    <w:rsid w:val="00F02D05"/>
    <w:rsid w:val="00F10937"/>
    <w:rsid w:val="00F35162"/>
    <w:rsid w:val="00F40776"/>
    <w:rsid w:val="00F420DA"/>
    <w:rsid w:val="00F60AD8"/>
    <w:rsid w:val="00F71842"/>
    <w:rsid w:val="00F860DD"/>
    <w:rsid w:val="00FB4CA0"/>
    <w:rsid w:val="00FE27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4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441"/>
    <w:pPr>
      <w:ind w:left="720"/>
      <w:contextualSpacing/>
    </w:pPr>
  </w:style>
  <w:style w:type="paragraph" w:styleId="Footer">
    <w:name w:val="footer"/>
    <w:basedOn w:val="Normal"/>
    <w:link w:val="FooterChar"/>
    <w:uiPriority w:val="99"/>
    <w:unhideWhenUsed/>
    <w:rsid w:val="00E314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441"/>
  </w:style>
  <w:style w:type="character" w:customStyle="1" w:styleId="summarydetail">
    <w:name w:val="summarydetail"/>
    <w:basedOn w:val="DefaultParagraphFont"/>
    <w:rsid w:val="00E31441"/>
  </w:style>
  <w:style w:type="character" w:styleId="Emphasis">
    <w:name w:val="Emphasis"/>
    <w:basedOn w:val="DefaultParagraphFont"/>
    <w:uiPriority w:val="20"/>
    <w:qFormat/>
    <w:rsid w:val="00E31441"/>
    <w:rPr>
      <w:i/>
      <w:iCs/>
    </w:rPr>
  </w:style>
  <w:style w:type="character" w:styleId="Hyperlink">
    <w:name w:val="Hyperlink"/>
    <w:basedOn w:val="DefaultParagraphFont"/>
    <w:uiPriority w:val="99"/>
    <w:unhideWhenUsed/>
    <w:rsid w:val="00E31441"/>
    <w:rPr>
      <w:color w:val="0000FF" w:themeColor="hyperlink"/>
      <w:u w:val="single"/>
    </w:rPr>
  </w:style>
  <w:style w:type="paragraph" w:styleId="NormalWeb">
    <w:name w:val="Normal (Web)"/>
    <w:basedOn w:val="Normal"/>
    <w:rsid w:val="00D5661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4061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61F1"/>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next.ft.com/content/c1f5c006-388e-11e6-9a05-82a9b15a8ee7" TargetMode="External"/><Relationship Id="rId3" Type="http://schemas.openxmlformats.org/officeDocument/2006/relationships/settings" Target="settings.xml"/><Relationship Id="rId7" Type="http://schemas.openxmlformats.org/officeDocument/2006/relationships/hyperlink" Target="http://www.fdi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le-thi-hong.hanh</dc:creator>
  <cp:lastModifiedBy>dung</cp:lastModifiedBy>
  <cp:revision>5</cp:revision>
  <cp:lastPrinted>2016-07-12T09:16:00Z</cp:lastPrinted>
  <dcterms:created xsi:type="dcterms:W3CDTF">2016-08-02T09:26:00Z</dcterms:created>
  <dcterms:modified xsi:type="dcterms:W3CDTF">2016-08-02T09:41:00Z</dcterms:modified>
</cp:coreProperties>
</file>