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429" w:rsidRDefault="002A3AE2" w:rsidP="00052429">
      <w:pPr>
        <w:spacing w:after="0" w:line="240" w:lineRule="auto"/>
        <w:jc w:val="both"/>
        <w:outlineLvl w:val="0"/>
        <w:rPr>
          <w:rFonts w:ascii="Arial" w:hAnsi="Arial" w:cs="Arial"/>
          <w:sz w:val="20"/>
          <w:szCs w:val="20"/>
        </w:rPr>
      </w:pPr>
      <w:r w:rsidRPr="00052429">
        <w:rPr>
          <w:rFonts w:ascii="Arial" w:hAnsi="Arial" w:cs="Arial"/>
          <w:sz w:val="20"/>
          <w:szCs w:val="20"/>
        </w:rPr>
        <w:t xml:space="preserve">Trước đây, công tác chi trả được </w:t>
      </w:r>
      <w:r w:rsidR="009F241E" w:rsidRPr="00052429">
        <w:rPr>
          <w:rFonts w:ascii="Arial" w:hAnsi="Arial" w:cs="Arial"/>
          <w:sz w:val="20"/>
          <w:szCs w:val="20"/>
        </w:rPr>
        <w:t>khuyến nghị tại</w:t>
      </w:r>
      <w:r w:rsidRPr="00052429">
        <w:rPr>
          <w:rFonts w:ascii="Arial" w:hAnsi="Arial" w:cs="Arial"/>
          <w:sz w:val="20"/>
          <w:szCs w:val="20"/>
        </w:rPr>
        <w:t xml:space="preserve"> nguyên tắc số 17</w:t>
      </w:r>
      <w:r w:rsidR="006C2ED9" w:rsidRPr="00052429">
        <w:rPr>
          <w:rFonts w:ascii="Arial" w:hAnsi="Arial" w:cs="Arial"/>
          <w:sz w:val="20"/>
          <w:szCs w:val="20"/>
        </w:rPr>
        <w:t xml:space="preserve"> trong tài liệu </w:t>
      </w:r>
      <w:r w:rsidR="006C2ED9" w:rsidRPr="00052429">
        <w:rPr>
          <w:rFonts w:ascii="Arial" w:hAnsi="Arial" w:cs="Arial"/>
          <w:i/>
          <w:sz w:val="20"/>
          <w:szCs w:val="20"/>
        </w:rPr>
        <w:t>“Các nguyên tắc cơ bản phát triển hệ thống bảo hiểm tiền gửi hiệu quả”</w:t>
      </w:r>
      <w:r w:rsidR="006C2ED9" w:rsidRPr="00052429">
        <w:rPr>
          <w:rFonts w:ascii="Arial" w:hAnsi="Arial" w:cs="Arial"/>
          <w:sz w:val="20"/>
          <w:szCs w:val="20"/>
        </w:rPr>
        <w:t xml:space="preserve"> </w:t>
      </w:r>
      <w:r w:rsidR="002B7643" w:rsidRPr="00052429">
        <w:rPr>
          <w:rFonts w:ascii="Arial" w:hAnsi="Arial" w:cs="Arial"/>
          <w:sz w:val="20"/>
          <w:szCs w:val="20"/>
        </w:rPr>
        <w:t xml:space="preserve">do </w:t>
      </w:r>
      <w:r w:rsidR="006C2ED9" w:rsidRPr="00052429">
        <w:rPr>
          <w:rFonts w:ascii="Arial" w:hAnsi="Arial" w:cs="Arial"/>
          <w:sz w:val="20"/>
          <w:szCs w:val="20"/>
        </w:rPr>
        <w:t>Hiệp hộ</w:t>
      </w:r>
      <w:r w:rsidR="00052429" w:rsidRPr="00052429">
        <w:rPr>
          <w:rFonts w:ascii="Arial" w:hAnsi="Arial" w:cs="Arial"/>
          <w:sz w:val="20"/>
          <w:szCs w:val="20"/>
        </w:rPr>
        <w:t>i B</w:t>
      </w:r>
      <w:r w:rsidR="006C2ED9" w:rsidRPr="00052429">
        <w:rPr>
          <w:rFonts w:ascii="Arial" w:hAnsi="Arial" w:cs="Arial"/>
          <w:sz w:val="20"/>
          <w:szCs w:val="20"/>
        </w:rPr>
        <w:t xml:space="preserve">ảo hiểm tiền gửi quốc tế (IADI) phối hợp cùng </w:t>
      </w:r>
      <w:r w:rsidR="00052429" w:rsidRPr="00052429">
        <w:rPr>
          <w:rFonts w:ascii="Arial" w:hAnsi="Arial" w:cs="Arial"/>
          <w:sz w:val="20"/>
          <w:szCs w:val="20"/>
        </w:rPr>
        <w:t>Ủ</w:t>
      </w:r>
      <w:r w:rsidR="006C2ED9" w:rsidRPr="00052429">
        <w:rPr>
          <w:rFonts w:ascii="Arial" w:hAnsi="Arial" w:cs="Arial"/>
          <w:sz w:val="20"/>
          <w:szCs w:val="20"/>
        </w:rPr>
        <w:t xml:space="preserve">y ban Basel về giám sát ngân hàng nghiên cứu và ấn hành. </w:t>
      </w:r>
      <w:r w:rsidR="007C494A" w:rsidRPr="00052429">
        <w:rPr>
          <w:rFonts w:ascii="Arial" w:hAnsi="Arial" w:cs="Arial"/>
          <w:sz w:val="20"/>
          <w:szCs w:val="20"/>
        </w:rPr>
        <w:t>Ngoài ra</w:t>
      </w:r>
      <w:r w:rsidR="006C2ED9" w:rsidRPr="00052429">
        <w:rPr>
          <w:rFonts w:ascii="Arial" w:hAnsi="Arial" w:cs="Arial"/>
          <w:sz w:val="20"/>
          <w:szCs w:val="20"/>
        </w:rPr>
        <w:t>, để đánh giá mức độ tuân thủ các nguyên tắc cơ bản</w:t>
      </w:r>
      <w:r w:rsidR="00052429" w:rsidRPr="00052429">
        <w:rPr>
          <w:rFonts w:ascii="Arial" w:hAnsi="Arial" w:cs="Arial"/>
          <w:sz w:val="20"/>
          <w:szCs w:val="20"/>
        </w:rPr>
        <w:t>,</w:t>
      </w:r>
      <w:r w:rsidR="002B7643" w:rsidRPr="00052429">
        <w:rPr>
          <w:rFonts w:ascii="Arial" w:hAnsi="Arial" w:cs="Arial"/>
          <w:sz w:val="20"/>
          <w:szCs w:val="20"/>
        </w:rPr>
        <w:t xml:space="preserve"> IADI cũng công bố </w:t>
      </w:r>
      <w:r w:rsidR="006C2ED9" w:rsidRPr="00052429">
        <w:rPr>
          <w:rFonts w:ascii="Arial" w:hAnsi="Arial" w:cs="Arial"/>
          <w:i/>
          <w:sz w:val="20"/>
          <w:szCs w:val="20"/>
        </w:rPr>
        <w:t xml:space="preserve">Tài liệu hướng dẫn Phương pháp đánh giá mức độ tuân thủ các nguyên tắc cơ bản phát triển hệ thống bảo hiểm tiền gửi hiệu quả </w:t>
      </w:r>
      <w:r w:rsidR="006C2ED9" w:rsidRPr="00052429">
        <w:rPr>
          <w:rFonts w:ascii="Arial" w:hAnsi="Arial" w:cs="Arial"/>
          <w:sz w:val="20"/>
          <w:szCs w:val="20"/>
        </w:rPr>
        <w:t xml:space="preserve">vào tháng 12/2010. </w:t>
      </w:r>
      <w:r w:rsidR="00B82A96" w:rsidRPr="00052429">
        <w:rPr>
          <w:rFonts w:ascii="Arial" w:hAnsi="Arial" w:cs="Arial"/>
          <w:sz w:val="20"/>
          <w:szCs w:val="20"/>
        </w:rPr>
        <w:t xml:space="preserve">Các nguyên tắc cơ bản và phương pháp đánh giá tuân thủ </w:t>
      </w:r>
      <w:r w:rsidR="006C2ED9" w:rsidRPr="00052429">
        <w:rPr>
          <w:rFonts w:ascii="Arial" w:hAnsi="Arial" w:cs="Arial"/>
          <w:sz w:val="20"/>
          <w:szCs w:val="20"/>
        </w:rPr>
        <w:t>được xem là công cụ hữu ích đối với các quốc gia trong quá trình triển khai, đánh giá lại ho</w:t>
      </w:r>
      <w:r w:rsidR="000A13D8" w:rsidRPr="00052429">
        <w:rPr>
          <w:rFonts w:ascii="Arial" w:hAnsi="Arial" w:cs="Arial"/>
          <w:sz w:val="20"/>
          <w:szCs w:val="20"/>
        </w:rPr>
        <w:t>ặ</w:t>
      </w:r>
      <w:r w:rsidR="006C2ED9" w:rsidRPr="00052429">
        <w:rPr>
          <w:rFonts w:ascii="Arial" w:hAnsi="Arial" w:cs="Arial"/>
          <w:sz w:val="20"/>
          <w:szCs w:val="20"/>
        </w:rPr>
        <w:t>c chủ động cải cách hệ thống BHTG.</w:t>
      </w:r>
      <w:r w:rsidR="000A13D8" w:rsidRPr="00052429">
        <w:rPr>
          <w:rFonts w:ascii="Arial" w:hAnsi="Arial" w:cs="Arial"/>
          <w:sz w:val="20"/>
          <w:szCs w:val="20"/>
        </w:rPr>
        <w:t xml:space="preserve"> </w:t>
      </w:r>
      <w:r w:rsidR="00B82A96" w:rsidRPr="00052429">
        <w:rPr>
          <w:rFonts w:ascii="Arial" w:hAnsi="Arial" w:cs="Arial"/>
          <w:sz w:val="20"/>
          <w:szCs w:val="20"/>
        </w:rPr>
        <w:t xml:space="preserve">Tại Việt Nam, đây cũng là một trong những </w:t>
      </w:r>
      <w:r w:rsidR="00202E61" w:rsidRPr="00052429">
        <w:rPr>
          <w:rFonts w:ascii="Arial" w:hAnsi="Arial" w:cs="Arial"/>
          <w:sz w:val="20"/>
          <w:szCs w:val="20"/>
        </w:rPr>
        <w:t xml:space="preserve">tài liệu </w:t>
      </w:r>
      <w:r w:rsidR="00F87CF7" w:rsidRPr="00052429">
        <w:rPr>
          <w:rFonts w:ascii="Arial" w:hAnsi="Arial" w:cs="Arial"/>
          <w:sz w:val="20"/>
          <w:szCs w:val="20"/>
        </w:rPr>
        <w:t>được</w:t>
      </w:r>
      <w:r w:rsidR="007D7103" w:rsidRPr="00052429">
        <w:rPr>
          <w:rFonts w:ascii="Arial" w:hAnsi="Arial" w:cs="Arial"/>
          <w:sz w:val="20"/>
          <w:szCs w:val="20"/>
        </w:rPr>
        <w:t xml:space="preserve"> BHTGVN nghiên cứu</w:t>
      </w:r>
      <w:r w:rsidR="00F87CF7" w:rsidRPr="00052429">
        <w:rPr>
          <w:rFonts w:ascii="Arial" w:hAnsi="Arial" w:cs="Arial"/>
          <w:sz w:val="20"/>
          <w:szCs w:val="20"/>
        </w:rPr>
        <w:t xml:space="preserve">, tham khảo khi </w:t>
      </w:r>
      <w:r w:rsidR="007D7103" w:rsidRPr="00052429">
        <w:rPr>
          <w:rFonts w:ascii="Arial" w:hAnsi="Arial" w:cs="Arial"/>
          <w:sz w:val="20"/>
          <w:szCs w:val="20"/>
        </w:rPr>
        <w:t>xây dựng chiến lược phát triển.</w:t>
      </w:r>
    </w:p>
    <w:p w:rsidR="00052429" w:rsidRPr="00052429" w:rsidRDefault="00052429" w:rsidP="00052429">
      <w:pPr>
        <w:spacing w:after="0" w:line="240" w:lineRule="auto"/>
        <w:jc w:val="both"/>
        <w:outlineLvl w:val="0"/>
        <w:rPr>
          <w:rFonts w:ascii="Arial" w:hAnsi="Arial" w:cs="Arial"/>
          <w:b/>
          <w:sz w:val="20"/>
          <w:szCs w:val="20"/>
        </w:rPr>
      </w:pPr>
    </w:p>
    <w:p w:rsidR="00052429" w:rsidRDefault="003D263A" w:rsidP="00052429">
      <w:pPr>
        <w:spacing w:after="0" w:line="240" w:lineRule="auto"/>
        <w:jc w:val="both"/>
        <w:outlineLvl w:val="0"/>
        <w:rPr>
          <w:rFonts w:ascii="Arial" w:hAnsi="Arial" w:cs="Arial"/>
          <w:i/>
          <w:sz w:val="20"/>
          <w:szCs w:val="20"/>
        </w:rPr>
      </w:pPr>
      <w:r w:rsidRPr="00052429">
        <w:rPr>
          <w:rFonts w:ascii="Arial" w:hAnsi="Arial" w:cs="Arial"/>
          <w:sz w:val="20"/>
          <w:szCs w:val="20"/>
        </w:rPr>
        <w:t>Đến</w:t>
      </w:r>
      <w:r w:rsidR="008B20C6" w:rsidRPr="00052429">
        <w:rPr>
          <w:rFonts w:ascii="Arial" w:hAnsi="Arial" w:cs="Arial"/>
          <w:sz w:val="20"/>
          <w:szCs w:val="20"/>
        </w:rPr>
        <w:t xml:space="preserve"> nay, do</w:t>
      </w:r>
      <w:r w:rsidR="00B017CA" w:rsidRPr="00052429">
        <w:rPr>
          <w:rFonts w:ascii="Arial" w:hAnsi="Arial" w:cs="Arial"/>
          <w:sz w:val="20"/>
          <w:szCs w:val="20"/>
        </w:rPr>
        <w:t xml:space="preserve"> những thay đổi trong thực tiễn và những bài học kinh nghiệm trong thời kỳ khủng hoảng (2007 – 2009), tài liệu tham vấn “</w:t>
      </w:r>
      <w:r w:rsidR="00B017CA" w:rsidRPr="00052429">
        <w:rPr>
          <w:rFonts w:ascii="Arial" w:hAnsi="Arial" w:cs="Arial"/>
          <w:i/>
          <w:sz w:val="20"/>
          <w:szCs w:val="20"/>
        </w:rPr>
        <w:t xml:space="preserve">Các nguyên tắc cơ bản phát triển hệ thống bảo hiểm tiền gửi hiệu quả” </w:t>
      </w:r>
      <w:r w:rsidR="00B017CA" w:rsidRPr="00052429">
        <w:rPr>
          <w:rFonts w:ascii="Arial" w:hAnsi="Arial" w:cs="Arial"/>
          <w:sz w:val="20"/>
          <w:szCs w:val="20"/>
        </w:rPr>
        <w:t xml:space="preserve">đã được nghiên cứu và ban hành bản sửa đổi vào tháng 11/2014. </w:t>
      </w:r>
      <w:r w:rsidR="00783024" w:rsidRPr="00052429">
        <w:rPr>
          <w:rFonts w:ascii="Arial" w:hAnsi="Arial" w:cs="Arial"/>
          <w:sz w:val="20"/>
          <w:szCs w:val="20"/>
        </w:rPr>
        <w:t xml:space="preserve">Gần đây nhất, </w:t>
      </w:r>
      <w:r w:rsidR="00783024" w:rsidRPr="00052429">
        <w:rPr>
          <w:rFonts w:ascii="Arial" w:hAnsi="Arial" w:cs="Arial"/>
          <w:i/>
          <w:sz w:val="20"/>
          <w:szCs w:val="20"/>
        </w:rPr>
        <w:t xml:space="preserve">Cẩm nang </w:t>
      </w:r>
      <w:r w:rsidR="00F87CF7" w:rsidRPr="00052429">
        <w:rPr>
          <w:rFonts w:ascii="Arial" w:hAnsi="Arial" w:cs="Arial"/>
          <w:i/>
          <w:sz w:val="20"/>
          <w:szCs w:val="20"/>
        </w:rPr>
        <w:t>đánh giá mức độ</w:t>
      </w:r>
      <w:r w:rsidR="00783024" w:rsidRPr="00052429">
        <w:rPr>
          <w:rFonts w:ascii="Arial" w:hAnsi="Arial" w:cs="Arial"/>
          <w:i/>
          <w:sz w:val="20"/>
          <w:szCs w:val="20"/>
        </w:rPr>
        <w:t xml:space="preserve"> tuân thủ các nguyên tắc cơ bản phát triển hệ thống bảo hiểm tiền gửi hiệu quả </w:t>
      </w:r>
      <w:r w:rsidR="001A69AD" w:rsidRPr="00052429">
        <w:rPr>
          <w:rFonts w:ascii="Arial" w:hAnsi="Arial" w:cs="Arial"/>
          <w:sz w:val="20"/>
          <w:szCs w:val="20"/>
        </w:rPr>
        <w:t>cũng</w:t>
      </w:r>
      <w:r w:rsidR="00783024" w:rsidRPr="00052429">
        <w:rPr>
          <w:rFonts w:ascii="Arial" w:hAnsi="Arial" w:cs="Arial"/>
          <w:sz w:val="20"/>
          <w:szCs w:val="20"/>
        </w:rPr>
        <w:t xml:space="preserve"> được hoàn thành và công bố vào tháng 3/2016. </w:t>
      </w:r>
      <w:r w:rsidR="00257A14" w:rsidRPr="00052429">
        <w:rPr>
          <w:rFonts w:ascii="Arial" w:hAnsi="Arial" w:cs="Arial"/>
          <w:sz w:val="20"/>
          <w:szCs w:val="20"/>
        </w:rPr>
        <w:t xml:space="preserve">So với phiên bản cũ, nguyên tắc hoàn trả cho người gửi tiền được bảo hiểm được tích hợp thêm các hướng dẫn hoàn thiện của IADI với nhiều nội dung sửa đổi theo hướng chặt chẽ hơn và tăng cường quyền hạn cho tổ chức BHTG. </w:t>
      </w:r>
      <w:r w:rsidR="001A69AD" w:rsidRPr="00052429">
        <w:rPr>
          <w:rFonts w:ascii="Arial" w:hAnsi="Arial" w:cs="Arial"/>
          <w:sz w:val="20"/>
          <w:szCs w:val="20"/>
        </w:rPr>
        <w:t xml:space="preserve">Trong phiên bản mới này khuyến nghị liên quan tới hoàn trả cho người gửi tiền nằm ở nguyên tắc số 15. </w:t>
      </w:r>
      <w:r w:rsidR="00B017CA" w:rsidRPr="00052429">
        <w:rPr>
          <w:rFonts w:ascii="Arial" w:hAnsi="Arial" w:cs="Arial"/>
          <w:spacing w:val="-4"/>
          <w:sz w:val="20"/>
          <w:szCs w:val="20"/>
        </w:rPr>
        <w:t>Nội dung cụ thể như sau:</w:t>
      </w:r>
      <w:r w:rsidR="00052429" w:rsidRPr="00052429">
        <w:rPr>
          <w:rFonts w:ascii="Arial" w:hAnsi="Arial" w:cs="Arial"/>
          <w:spacing w:val="-4"/>
          <w:sz w:val="20"/>
          <w:szCs w:val="20"/>
        </w:rPr>
        <w:t xml:space="preserve"> </w:t>
      </w:r>
      <w:r w:rsidR="00B017CA" w:rsidRPr="00052429">
        <w:rPr>
          <w:rFonts w:ascii="Arial" w:hAnsi="Arial" w:cs="Arial"/>
          <w:sz w:val="20"/>
          <w:szCs w:val="20"/>
        </w:rPr>
        <w:t>“</w:t>
      </w:r>
      <w:r w:rsidR="00B017CA" w:rsidRPr="00052429">
        <w:rPr>
          <w:rFonts w:ascii="Arial" w:hAnsi="Arial" w:cs="Arial"/>
          <w:i/>
          <w:sz w:val="20"/>
          <w:szCs w:val="20"/>
        </w:rPr>
        <w:t>Hệ thống bảo hiểm tiền gửi cần hoàn trả tiền gửi được bảo hiểm cho người gửi tiền một cách nhanh chóng nhằm đóng góp vào sự ổn định tài chính. Cần khởi động quá trình chi trả cho người gửi tiền thuộc đối tượng bảo hiểm một cách rõ ràng và minh bạch.”</w:t>
      </w:r>
    </w:p>
    <w:p w:rsidR="00052429" w:rsidRPr="00052429" w:rsidRDefault="00052429" w:rsidP="00052429">
      <w:pPr>
        <w:spacing w:after="0" w:line="240" w:lineRule="auto"/>
        <w:jc w:val="both"/>
        <w:outlineLvl w:val="0"/>
        <w:rPr>
          <w:rFonts w:ascii="Arial" w:hAnsi="Arial" w:cs="Arial"/>
          <w:sz w:val="20"/>
          <w:szCs w:val="20"/>
        </w:rPr>
      </w:pPr>
    </w:p>
    <w:p w:rsidR="00052429" w:rsidRDefault="006725D4" w:rsidP="00052429">
      <w:pPr>
        <w:spacing w:after="0" w:line="240" w:lineRule="auto"/>
        <w:jc w:val="both"/>
        <w:outlineLvl w:val="0"/>
        <w:rPr>
          <w:rFonts w:ascii="Arial" w:hAnsi="Arial" w:cs="Arial"/>
          <w:sz w:val="20"/>
          <w:szCs w:val="20"/>
        </w:rPr>
      </w:pPr>
      <w:r w:rsidRPr="00052429">
        <w:rPr>
          <w:rFonts w:ascii="Arial" w:hAnsi="Arial" w:cs="Arial"/>
          <w:sz w:val="20"/>
          <w:szCs w:val="20"/>
        </w:rPr>
        <w:t>Bộ</w:t>
      </w:r>
      <w:r w:rsidR="00F10AD1" w:rsidRPr="00052429">
        <w:rPr>
          <w:rFonts w:ascii="Arial" w:hAnsi="Arial" w:cs="Arial"/>
          <w:sz w:val="20"/>
          <w:szCs w:val="20"/>
        </w:rPr>
        <w:t xml:space="preserve"> tiêu chuẩn mới </w:t>
      </w:r>
      <w:r w:rsidRPr="00052429">
        <w:rPr>
          <w:rFonts w:ascii="Arial" w:hAnsi="Arial" w:cs="Arial"/>
          <w:sz w:val="20"/>
          <w:szCs w:val="20"/>
        </w:rPr>
        <w:t xml:space="preserve">cũng </w:t>
      </w:r>
      <w:r w:rsidR="00F10AD1" w:rsidRPr="00052429">
        <w:rPr>
          <w:rFonts w:ascii="Arial" w:hAnsi="Arial" w:cs="Arial"/>
          <w:sz w:val="20"/>
          <w:szCs w:val="20"/>
        </w:rPr>
        <w:t>chỉ rõ 10 tiêu chuẩn cơ bản của nguyên tắc này với 03 thành tố cốt lõi gồm</w:t>
      </w:r>
      <w:r w:rsidR="00B017CA" w:rsidRPr="00052429">
        <w:rPr>
          <w:rFonts w:ascii="Arial" w:hAnsi="Arial" w:cs="Arial"/>
          <w:sz w:val="20"/>
          <w:szCs w:val="20"/>
        </w:rPr>
        <w:t>:</w:t>
      </w:r>
    </w:p>
    <w:p w:rsidR="00052429" w:rsidRPr="00052429" w:rsidRDefault="00052429" w:rsidP="00052429">
      <w:pPr>
        <w:spacing w:after="0" w:line="240" w:lineRule="auto"/>
        <w:jc w:val="both"/>
        <w:outlineLvl w:val="0"/>
        <w:rPr>
          <w:rFonts w:ascii="Arial" w:hAnsi="Arial" w:cs="Arial"/>
          <w:sz w:val="20"/>
          <w:szCs w:val="20"/>
        </w:rPr>
      </w:pPr>
    </w:p>
    <w:p w:rsidR="00052429" w:rsidRDefault="008A7EC4" w:rsidP="00052429">
      <w:pPr>
        <w:spacing w:after="0" w:line="240" w:lineRule="auto"/>
        <w:jc w:val="both"/>
        <w:outlineLvl w:val="0"/>
        <w:rPr>
          <w:rFonts w:ascii="Arial" w:hAnsi="Arial" w:cs="Arial"/>
          <w:noProof/>
          <w:sz w:val="20"/>
          <w:szCs w:val="20"/>
          <w:lang w:eastAsia="vi-VN"/>
        </w:rPr>
      </w:pPr>
      <w:r w:rsidRPr="00052429">
        <w:rPr>
          <w:rFonts w:ascii="Arial" w:hAnsi="Arial" w:cs="Arial"/>
          <w:b/>
          <w:i/>
          <w:sz w:val="20"/>
          <w:szCs w:val="20"/>
        </w:rPr>
        <w:t>Thứ nhất:</w:t>
      </w:r>
      <w:r w:rsidRPr="00052429">
        <w:rPr>
          <w:rFonts w:ascii="Arial" w:hAnsi="Arial" w:cs="Arial"/>
          <w:sz w:val="20"/>
          <w:szCs w:val="20"/>
        </w:rPr>
        <w:t xml:space="preserve"> </w:t>
      </w:r>
      <w:r w:rsidR="00B017CA" w:rsidRPr="00052429">
        <w:rPr>
          <w:rFonts w:ascii="Arial" w:hAnsi="Arial" w:cs="Arial"/>
          <w:sz w:val="20"/>
          <w:szCs w:val="20"/>
        </w:rPr>
        <w:t>“</w:t>
      </w:r>
      <w:r w:rsidR="00B017CA" w:rsidRPr="00052429">
        <w:rPr>
          <w:rFonts w:ascii="Arial" w:hAnsi="Arial" w:cs="Arial"/>
          <w:i/>
          <w:sz w:val="20"/>
          <w:szCs w:val="20"/>
        </w:rPr>
        <w:t xml:space="preserve">Tổ chức BHTG có khả năng hoàn trả </w:t>
      </w:r>
      <w:r w:rsidR="00B017CA" w:rsidRPr="00052429">
        <w:rPr>
          <w:rFonts w:ascii="Arial" w:hAnsi="Arial" w:cs="Arial"/>
          <w:i/>
          <w:spacing w:val="-2"/>
          <w:sz w:val="20"/>
          <w:szCs w:val="20"/>
        </w:rPr>
        <w:t>cho hầu hết người gửi tiền được bảo hiểm trong vòng 7 ngày làm việc. Nếu hiện tạ</w:t>
      </w:r>
      <w:r w:rsidR="002E6D77" w:rsidRPr="00052429">
        <w:rPr>
          <w:rFonts w:ascii="Arial" w:hAnsi="Arial" w:cs="Arial"/>
          <w:i/>
          <w:spacing w:val="-2"/>
          <w:sz w:val="20"/>
          <w:szCs w:val="20"/>
        </w:rPr>
        <w:t xml:space="preserve">i </w:t>
      </w:r>
      <w:r w:rsidR="00B017CA" w:rsidRPr="00052429">
        <w:rPr>
          <w:rFonts w:ascii="Arial" w:hAnsi="Arial" w:cs="Arial"/>
          <w:i/>
          <w:spacing w:val="-2"/>
          <w:sz w:val="20"/>
          <w:szCs w:val="20"/>
        </w:rPr>
        <w:t xml:space="preserve">tổ chức BHTG chưa thể thực hiện mục tiêu này, tổ chức BHTG cần có một kế hoạch tại chỗ đáng tin cậy để thực hiện mục tiêu tương tự.” </w:t>
      </w:r>
      <w:r w:rsidR="00B017CA" w:rsidRPr="00052429">
        <w:rPr>
          <w:rFonts w:ascii="Arial" w:hAnsi="Arial" w:cs="Arial"/>
          <w:noProof/>
          <w:sz w:val="20"/>
          <w:szCs w:val="20"/>
          <w:lang w:eastAsia="vi-VN"/>
        </w:rPr>
        <w:t xml:space="preserve">Có thể thấy, nguyên tắc cơ bản cũ </w:t>
      </w:r>
      <w:r w:rsidR="007C4C6E" w:rsidRPr="00052429">
        <w:rPr>
          <w:rFonts w:ascii="Arial" w:hAnsi="Arial" w:cs="Arial"/>
          <w:noProof/>
          <w:sz w:val="20"/>
          <w:szCs w:val="20"/>
          <w:lang w:eastAsia="vi-VN"/>
        </w:rPr>
        <w:t>cũng yêu cầu “</w:t>
      </w:r>
      <w:r w:rsidR="007C4C6E" w:rsidRPr="00052429">
        <w:rPr>
          <w:rFonts w:ascii="Arial" w:hAnsi="Arial" w:cs="Arial"/>
          <w:i/>
          <w:noProof/>
          <w:sz w:val="20"/>
          <w:szCs w:val="20"/>
          <w:lang w:eastAsia="vi-VN"/>
        </w:rPr>
        <w:t>Hệ thống bảo hiểm tiền gửi cần cho phép người gửi tiền tiếp cận ngay lập tức tài khoản được bảo hiểm của họ</w:t>
      </w:r>
      <w:r w:rsidR="007C4C6E" w:rsidRPr="00052429">
        <w:rPr>
          <w:rFonts w:ascii="Arial" w:hAnsi="Arial" w:cs="Arial"/>
          <w:noProof/>
          <w:sz w:val="20"/>
          <w:szCs w:val="20"/>
          <w:lang w:eastAsia="vi-VN"/>
        </w:rPr>
        <w:t>”</w:t>
      </w:r>
      <w:r w:rsidR="00B45629" w:rsidRPr="00052429">
        <w:rPr>
          <w:rFonts w:ascii="Arial" w:hAnsi="Arial" w:cs="Arial"/>
          <w:noProof/>
          <w:sz w:val="20"/>
          <w:szCs w:val="20"/>
          <w:lang w:eastAsia="vi-VN"/>
        </w:rPr>
        <w:t xml:space="preserve">, </w:t>
      </w:r>
      <w:r w:rsidR="007C4C6E" w:rsidRPr="00052429">
        <w:rPr>
          <w:rFonts w:ascii="Arial" w:hAnsi="Arial" w:cs="Arial"/>
          <w:noProof/>
          <w:sz w:val="20"/>
          <w:szCs w:val="20"/>
          <w:lang w:eastAsia="vi-VN"/>
        </w:rPr>
        <w:t>tuy nhiên</w:t>
      </w:r>
      <w:r w:rsidR="003B522E" w:rsidRPr="00052429">
        <w:rPr>
          <w:rFonts w:ascii="Arial" w:hAnsi="Arial" w:cs="Arial"/>
          <w:noProof/>
          <w:sz w:val="20"/>
          <w:szCs w:val="20"/>
          <w:lang w:eastAsia="vi-VN"/>
        </w:rPr>
        <w:t xml:space="preserve"> theo</w:t>
      </w:r>
      <w:r w:rsidR="00ED511A" w:rsidRPr="00052429">
        <w:rPr>
          <w:rFonts w:ascii="Arial" w:hAnsi="Arial" w:cs="Arial"/>
          <w:noProof/>
          <w:sz w:val="20"/>
          <w:szCs w:val="20"/>
          <w:lang w:eastAsia="vi-VN"/>
        </w:rPr>
        <w:t xml:space="preserve"> tiêu chuẩn cũ</w:t>
      </w:r>
      <w:r w:rsidR="00052429" w:rsidRPr="00052429">
        <w:rPr>
          <w:rFonts w:ascii="Arial" w:hAnsi="Arial" w:cs="Arial"/>
          <w:noProof/>
          <w:sz w:val="20"/>
          <w:szCs w:val="20"/>
          <w:lang w:eastAsia="vi-VN"/>
        </w:rPr>
        <w:t>,</w:t>
      </w:r>
      <w:r w:rsidR="00ED511A" w:rsidRPr="00052429">
        <w:rPr>
          <w:rFonts w:ascii="Arial" w:hAnsi="Arial" w:cs="Arial"/>
          <w:noProof/>
          <w:sz w:val="20"/>
          <w:szCs w:val="20"/>
          <w:lang w:eastAsia="vi-VN"/>
        </w:rPr>
        <w:t xml:space="preserve"> </w:t>
      </w:r>
      <w:r w:rsidR="00B017CA" w:rsidRPr="00052429">
        <w:rPr>
          <w:rFonts w:ascii="Arial" w:hAnsi="Arial" w:cs="Arial"/>
          <w:noProof/>
          <w:sz w:val="20"/>
          <w:szCs w:val="20"/>
          <w:lang w:eastAsia="vi-VN"/>
        </w:rPr>
        <w:t xml:space="preserve">tổ chức BHTG </w:t>
      </w:r>
      <w:r w:rsidR="003B522E" w:rsidRPr="00052429">
        <w:rPr>
          <w:rFonts w:ascii="Arial" w:hAnsi="Arial" w:cs="Arial"/>
          <w:noProof/>
          <w:sz w:val="20"/>
          <w:szCs w:val="20"/>
          <w:lang w:eastAsia="vi-VN"/>
        </w:rPr>
        <w:t xml:space="preserve">chỉ cần </w:t>
      </w:r>
      <w:r w:rsidR="00B017CA" w:rsidRPr="00052429">
        <w:rPr>
          <w:rFonts w:ascii="Arial" w:hAnsi="Arial" w:cs="Arial"/>
          <w:noProof/>
          <w:sz w:val="20"/>
          <w:szCs w:val="20"/>
          <w:lang w:eastAsia="vi-VN"/>
        </w:rPr>
        <w:t>thông báo cụ thể đến người gửi tiền được bảo hiểm các điều kiện và khung thời gian chi trả, trong khi đó, nguyên tắc mới khuyến nghị cụ thể thời gian chi trả là trong vòng 7 ngày làm việ</w:t>
      </w:r>
      <w:r w:rsidR="003B748D" w:rsidRPr="00052429">
        <w:rPr>
          <w:rFonts w:ascii="Arial" w:hAnsi="Arial" w:cs="Arial"/>
          <w:noProof/>
          <w:sz w:val="20"/>
          <w:szCs w:val="20"/>
          <w:lang w:eastAsia="vi-VN"/>
        </w:rPr>
        <w:t xml:space="preserve">c. </w:t>
      </w:r>
      <w:r w:rsidR="00B017CA" w:rsidRPr="00052429">
        <w:rPr>
          <w:rFonts w:ascii="Arial" w:hAnsi="Arial" w:cs="Arial"/>
          <w:noProof/>
          <w:sz w:val="20"/>
          <w:szCs w:val="20"/>
          <w:lang w:eastAsia="vi-VN"/>
        </w:rPr>
        <w:t>Việc thực hiện theo tiêu chuẩn mới giúp các tổ chức BHTG thực hiện tốt hơn vai trò ổn định tâm lý người gửi tiề</w:t>
      </w:r>
      <w:r w:rsidR="00E75B5E" w:rsidRPr="00052429">
        <w:rPr>
          <w:rFonts w:ascii="Arial" w:hAnsi="Arial" w:cs="Arial"/>
          <w:noProof/>
          <w:sz w:val="20"/>
          <w:szCs w:val="20"/>
          <w:lang w:eastAsia="vi-VN"/>
        </w:rPr>
        <w:t>n</w:t>
      </w:r>
      <w:r w:rsidR="00B017CA" w:rsidRPr="00052429">
        <w:rPr>
          <w:rFonts w:ascii="Arial" w:hAnsi="Arial" w:cs="Arial"/>
          <w:noProof/>
          <w:sz w:val="20"/>
          <w:szCs w:val="20"/>
          <w:lang w:eastAsia="vi-VN"/>
        </w:rPr>
        <w:t xml:space="preserve"> tuy nhiên nó cũng đặt ra yêu cầu cao hơn đối với các tổ chức BHTG về năng lực giám sát, kiểm tra</w:t>
      </w:r>
      <w:r w:rsidR="002E6D77" w:rsidRPr="00052429">
        <w:rPr>
          <w:rFonts w:ascii="Arial" w:hAnsi="Arial" w:cs="Arial"/>
          <w:noProof/>
          <w:sz w:val="20"/>
          <w:szCs w:val="20"/>
          <w:lang w:eastAsia="vi-VN"/>
        </w:rPr>
        <w:t>,</w:t>
      </w:r>
      <w:r w:rsidR="00B017CA" w:rsidRPr="00052429">
        <w:rPr>
          <w:rFonts w:ascii="Arial" w:hAnsi="Arial" w:cs="Arial"/>
          <w:noProof/>
          <w:sz w:val="20"/>
          <w:szCs w:val="20"/>
          <w:lang w:eastAsia="vi-VN"/>
        </w:rPr>
        <w:t xml:space="preserve"> phối hợp với các cơ quan liên quan và tổ chức quản lý trước khi thực hiện chi trả BHTG.</w:t>
      </w:r>
    </w:p>
    <w:p w:rsidR="00052429" w:rsidRPr="00052429" w:rsidRDefault="00052429" w:rsidP="00052429">
      <w:pPr>
        <w:spacing w:after="0" w:line="240" w:lineRule="auto"/>
        <w:jc w:val="both"/>
        <w:outlineLvl w:val="0"/>
        <w:rPr>
          <w:rFonts w:ascii="Arial" w:hAnsi="Arial" w:cs="Arial"/>
          <w:b/>
          <w:sz w:val="20"/>
          <w:szCs w:val="20"/>
        </w:rPr>
      </w:pPr>
    </w:p>
    <w:p w:rsidR="00052429" w:rsidRDefault="008A7EC4" w:rsidP="00052429">
      <w:pPr>
        <w:spacing w:after="0" w:line="240" w:lineRule="auto"/>
        <w:jc w:val="both"/>
        <w:outlineLvl w:val="0"/>
        <w:rPr>
          <w:rFonts w:ascii="Arial" w:hAnsi="Arial" w:cs="Arial"/>
          <w:noProof/>
          <w:sz w:val="20"/>
          <w:szCs w:val="20"/>
          <w:lang w:eastAsia="vi-VN"/>
        </w:rPr>
      </w:pPr>
      <w:r w:rsidRPr="00052429">
        <w:rPr>
          <w:rFonts w:ascii="Arial" w:hAnsi="Arial" w:cs="Arial"/>
          <w:b/>
          <w:i/>
          <w:noProof/>
          <w:sz w:val="20"/>
          <w:szCs w:val="20"/>
          <w:lang w:eastAsia="vi-VN"/>
        </w:rPr>
        <w:t xml:space="preserve">Thứ </w:t>
      </w:r>
      <w:r w:rsidR="003C61EA" w:rsidRPr="00052429">
        <w:rPr>
          <w:rFonts w:ascii="Arial" w:hAnsi="Arial" w:cs="Arial"/>
          <w:b/>
          <w:i/>
          <w:noProof/>
          <w:sz w:val="20"/>
          <w:szCs w:val="20"/>
          <w:lang w:eastAsia="vi-VN"/>
        </w:rPr>
        <w:t>hai</w:t>
      </w:r>
      <w:r w:rsidRPr="00052429">
        <w:rPr>
          <w:rFonts w:ascii="Arial" w:hAnsi="Arial" w:cs="Arial"/>
          <w:b/>
          <w:i/>
          <w:noProof/>
          <w:sz w:val="20"/>
          <w:szCs w:val="20"/>
          <w:lang w:eastAsia="vi-VN"/>
        </w:rPr>
        <w:t>:</w:t>
      </w:r>
      <w:r w:rsidRPr="00052429">
        <w:rPr>
          <w:rFonts w:ascii="Arial" w:hAnsi="Arial" w:cs="Arial"/>
          <w:noProof/>
          <w:sz w:val="20"/>
          <w:szCs w:val="20"/>
          <w:lang w:eastAsia="vi-VN"/>
        </w:rPr>
        <w:t xml:space="preserve"> B</w:t>
      </w:r>
      <w:r w:rsidR="00B017CA" w:rsidRPr="00052429">
        <w:rPr>
          <w:rFonts w:ascii="Arial" w:hAnsi="Arial" w:cs="Arial"/>
          <w:noProof/>
          <w:sz w:val="20"/>
          <w:szCs w:val="20"/>
          <w:lang w:eastAsia="vi-VN"/>
        </w:rPr>
        <w:t>ộ nguyên tắc mới khuyến nghị mở rộng thẩm quyền của tổ chức BHTG nhằm đáp ứng yêu cầu giúp người gửi tiền nhanh chóng tiếp cận với tiền gửi được bảo hiểm của họ. Theo đó, tổ chức BHTG có quyền truy cập hồ sơ thông tin người gửi tiền tại mọi thời điểm chứ không chỉ</w:t>
      </w:r>
      <w:r w:rsidR="00F371A2" w:rsidRPr="00052429">
        <w:rPr>
          <w:rFonts w:ascii="Arial" w:hAnsi="Arial" w:cs="Arial"/>
          <w:noProof/>
          <w:sz w:val="20"/>
          <w:szCs w:val="20"/>
          <w:lang w:eastAsia="vi-VN"/>
        </w:rPr>
        <w:t xml:space="preserve"> vào thời điểm trước khi tổ chức tham gia BHTG bị đóng cửa</w:t>
      </w:r>
      <w:r w:rsidR="00B017CA" w:rsidRPr="00052429">
        <w:rPr>
          <w:rFonts w:ascii="Arial" w:hAnsi="Arial" w:cs="Arial"/>
          <w:noProof/>
          <w:sz w:val="20"/>
          <w:szCs w:val="20"/>
          <w:lang w:eastAsia="vi-VN"/>
        </w:rPr>
        <w:t xml:space="preserve">. Hơn nữa, tổ chức BHTG cũng có quyền thực hiện kiểm tra tổ chức tham gia BHTG (độc lập hoặc kết hợp với cơ quan giám sát) về độ tin cậy của các thông tin cũng như khả năng cung cấp các báo cáo theo yêu cầu của tổ chức BHTG. </w:t>
      </w:r>
      <w:r w:rsidR="00AB0BF4" w:rsidRPr="00052429">
        <w:rPr>
          <w:rFonts w:ascii="Arial" w:hAnsi="Arial" w:cs="Arial"/>
          <w:noProof/>
          <w:sz w:val="20"/>
          <w:szCs w:val="20"/>
          <w:lang w:eastAsia="vi-VN"/>
        </w:rPr>
        <w:t xml:space="preserve">Thêm vào đó, tổ chức BHTG cũng có quyền được lựa chọn </w:t>
      </w:r>
      <w:r w:rsidR="00700FC3" w:rsidRPr="00052429">
        <w:rPr>
          <w:rFonts w:ascii="Arial" w:hAnsi="Arial" w:cs="Arial"/>
          <w:noProof/>
          <w:sz w:val="20"/>
          <w:szCs w:val="20"/>
          <w:lang w:eastAsia="vi-VN"/>
        </w:rPr>
        <w:t xml:space="preserve">đa dạng các </w:t>
      </w:r>
      <w:r w:rsidR="00AB0BF4" w:rsidRPr="00052429">
        <w:rPr>
          <w:rFonts w:ascii="Arial" w:hAnsi="Arial" w:cs="Arial"/>
          <w:noProof/>
          <w:sz w:val="20"/>
          <w:szCs w:val="20"/>
          <w:lang w:eastAsia="vi-VN"/>
        </w:rPr>
        <w:t>phương thức chi trả</w:t>
      </w:r>
      <w:r w:rsidR="00EA6FE2" w:rsidRPr="00052429">
        <w:rPr>
          <w:rFonts w:ascii="Arial" w:hAnsi="Arial" w:cs="Arial"/>
          <w:noProof/>
          <w:sz w:val="20"/>
          <w:szCs w:val="20"/>
          <w:lang w:eastAsia="vi-VN"/>
        </w:rPr>
        <w:t xml:space="preserve"> nhằm đảm bảo việc chi trả được thực hiện hiệu quả nhất và giảm thiểu chi phí chi trả.</w:t>
      </w:r>
    </w:p>
    <w:p w:rsidR="00052429" w:rsidRPr="00052429" w:rsidRDefault="00052429" w:rsidP="00052429">
      <w:pPr>
        <w:spacing w:after="0" w:line="240" w:lineRule="auto"/>
        <w:jc w:val="both"/>
        <w:outlineLvl w:val="0"/>
        <w:rPr>
          <w:rFonts w:ascii="Arial" w:hAnsi="Arial" w:cs="Arial"/>
          <w:b/>
          <w:sz w:val="20"/>
          <w:szCs w:val="20"/>
        </w:rPr>
      </w:pPr>
    </w:p>
    <w:p w:rsidR="00F3526C" w:rsidRDefault="008A7EC4" w:rsidP="00052429">
      <w:pPr>
        <w:spacing w:after="0" w:line="240" w:lineRule="auto"/>
        <w:jc w:val="both"/>
        <w:outlineLvl w:val="0"/>
        <w:rPr>
          <w:rFonts w:ascii="Arial" w:hAnsi="Arial" w:cs="Arial"/>
          <w:noProof/>
          <w:sz w:val="20"/>
          <w:szCs w:val="20"/>
          <w:lang w:eastAsia="vi-VN"/>
        </w:rPr>
      </w:pPr>
      <w:r w:rsidRPr="00052429">
        <w:rPr>
          <w:rFonts w:ascii="Arial" w:hAnsi="Arial" w:cs="Arial"/>
          <w:b/>
          <w:i/>
          <w:noProof/>
          <w:sz w:val="20"/>
          <w:szCs w:val="20"/>
          <w:lang w:eastAsia="vi-VN"/>
        </w:rPr>
        <w:t xml:space="preserve">Thứ </w:t>
      </w:r>
      <w:r w:rsidR="003C61EA" w:rsidRPr="00052429">
        <w:rPr>
          <w:rFonts w:ascii="Arial" w:hAnsi="Arial" w:cs="Arial"/>
          <w:b/>
          <w:i/>
          <w:noProof/>
          <w:sz w:val="20"/>
          <w:szCs w:val="20"/>
          <w:lang w:eastAsia="vi-VN"/>
        </w:rPr>
        <w:t>ba</w:t>
      </w:r>
      <w:r w:rsidRPr="00052429">
        <w:rPr>
          <w:rFonts w:ascii="Arial" w:hAnsi="Arial" w:cs="Arial"/>
          <w:b/>
          <w:i/>
          <w:noProof/>
          <w:sz w:val="20"/>
          <w:szCs w:val="20"/>
          <w:lang w:eastAsia="vi-VN"/>
        </w:rPr>
        <w:t>:</w:t>
      </w:r>
      <w:r w:rsidRPr="00052429">
        <w:rPr>
          <w:rFonts w:ascii="Arial" w:hAnsi="Arial" w:cs="Arial"/>
          <w:noProof/>
          <w:sz w:val="20"/>
          <w:szCs w:val="20"/>
          <w:lang w:eastAsia="vi-VN"/>
        </w:rPr>
        <w:t xml:space="preserve"> N</w:t>
      </w:r>
      <w:r w:rsidR="00B017CA" w:rsidRPr="00052429">
        <w:rPr>
          <w:rFonts w:ascii="Arial" w:hAnsi="Arial" w:cs="Arial"/>
          <w:noProof/>
          <w:sz w:val="20"/>
          <w:szCs w:val="20"/>
          <w:lang w:eastAsia="vi-VN"/>
        </w:rPr>
        <w:t>guyên tắc mới cũng khuyến nghị tổ chức BHTG cần nâng cao khả năng và năng lực để triển khai quá trình chi trả bao gồm tổng thể các mặt từ bồi dưỡng nhân lực, phát triển hệ thống thông tin, xây dựng kịch bản chi trả tới việc tăng cường phối hợp với các cơ quan giám sát và các cơ quan trong mạng an toàn tài chính quốc gia</w:t>
      </w:r>
      <w:r w:rsidR="00052429" w:rsidRPr="00052429">
        <w:rPr>
          <w:rFonts w:ascii="Arial" w:hAnsi="Arial" w:cs="Arial"/>
          <w:noProof/>
          <w:sz w:val="20"/>
          <w:szCs w:val="20"/>
          <w:lang w:eastAsia="vi-VN"/>
        </w:rPr>
        <w:t>.</w:t>
      </w:r>
    </w:p>
    <w:p w:rsidR="00F3526C" w:rsidRDefault="00F3526C" w:rsidP="00052429">
      <w:pPr>
        <w:spacing w:after="0" w:line="240" w:lineRule="auto"/>
        <w:jc w:val="both"/>
        <w:outlineLvl w:val="0"/>
        <w:rPr>
          <w:rFonts w:ascii="Arial" w:hAnsi="Arial" w:cs="Arial"/>
          <w:noProof/>
          <w:sz w:val="20"/>
          <w:szCs w:val="20"/>
          <w:lang w:eastAsia="vi-VN"/>
        </w:rPr>
      </w:pPr>
    </w:p>
    <w:p w:rsidR="00F3526C" w:rsidRDefault="00472606" w:rsidP="00052429">
      <w:pPr>
        <w:spacing w:after="0" w:line="240" w:lineRule="auto"/>
        <w:jc w:val="both"/>
        <w:outlineLvl w:val="0"/>
        <w:rPr>
          <w:rFonts w:ascii="Arial" w:hAnsi="Arial" w:cs="Arial"/>
          <w:noProof/>
          <w:sz w:val="20"/>
          <w:szCs w:val="20"/>
          <w:lang w:eastAsia="vi-VN"/>
        </w:rPr>
      </w:pPr>
      <w:r w:rsidRPr="00052429">
        <w:rPr>
          <w:rFonts w:ascii="Arial" w:hAnsi="Arial" w:cs="Arial"/>
          <w:sz w:val="20"/>
          <w:szCs w:val="20"/>
        </w:rPr>
        <w:t>Như vậy</w:t>
      </w:r>
      <w:r w:rsidR="00C409B7" w:rsidRPr="00052429">
        <w:rPr>
          <w:rFonts w:ascii="Arial" w:hAnsi="Arial" w:cs="Arial"/>
          <w:sz w:val="20"/>
          <w:szCs w:val="20"/>
        </w:rPr>
        <w:t>,</w:t>
      </w:r>
      <w:r w:rsidR="00C0382E" w:rsidRPr="00052429">
        <w:rPr>
          <w:rFonts w:ascii="Arial" w:hAnsi="Arial" w:cs="Arial"/>
          <w:sz w:val="20"/>
          <w:szCs w:val="20"/>
        </w:rPr>
        <w:t xml:space="preserve"> </w:t>
      </w:r>
      <w:r w:rsidR="00257A14" w:rsidRPr="00052429">
        <w:rPr>
          <w:rFonts w:ascii="Arial" w:hAnsi="Arial" w:cs="Arial"/>
          <w:sz w:val="20"/>
          <w:szCs w:val="20"/>
        </w:rPr>
        <w:t>thông lệ quốc tế đối với công tác chi trả BHTG đã có những thay đổi đáng kể.</w:t>
      </w:r>
      <w:r w:rsidR="00FD2EB1" w:rsidRPr="00052429">
        <w:rPr>
          <w:rFonts w:ascii="Arial" w:hAnsi="Arial" w:cs="Arial"/>
          <w:sz w:val="20"/>
          <w:szCs w:val="20"/>
        </w:rPr>
        <w:t xml:space="preserve"> Tại Việt Nam</w:t>
      </w:r>
      <w:r w:rsidR="00CE0841" w:rsidRPr="00052429">
        <w:rPr>
          <w:rFonts w:ascii="Arial" w:hAnsi="Arial" w:cs="Arial"/>
          <w:sz w:val="20"/>
          <w:szCs w:val="20"/>
        </w:rPr>
        <w:t>,</w:t>
      </w:r>
      <w:r w:rsidR="00FD2EB1" w:rsidRPr="00052429">
        <w:rPr>
          <w:rFonts w:ascii="Arial" w:hAnsi="Arial" w:cs="Arial"/>
          <w:sz w:val="20"/>
          <w:szCs w:val="20"/>
        </w:rPr>
        <w:t xml:space="preserve"> </w:t>
      </w:r>
      <w:r w:rsidR="00D04771" w:rsidRPr="00052429">
        <w:rPr>
          <w:rFonts w:ascii="Arial" w:hAnsi="Arial" w:cs="Arial"/>
          <w:sz w:val="20"/>
          <w:szCs w:val="20"/>
        </w:rPr>
        <w:t>Luật BHTG (2012) quy định trong thời hạn 60 ngày, kể từ thời điểm phát sinh nghĩa vụ trả tiền bảo hiểm, tổ chức BHTG có trách nhiệm trả tiền bảo hiểm cho người gửi tiền</w:t>
      </w:r>
      <w:r w:rsidR="00FD2EB1" w:rsidRPr="00052429">
        <w:rPr>
          <w:rFonts w:ascii="Arial" w:hAnsi="Arial" w:cs="Arial"/>
          <w:sz w:val="20"/>
          <w:szCs w:val="20"/>
        </w:rPr>
        <w:t xml:space="preserve">. </w:t>
      </w:r>
      <w:r w:rsidR="00CE0841" w:rsidRPr="00052429">
        <w:rPr>
          <w:rFonts w:ascii="Arial" w:hAnsi="Arial" w:cs="Arial"/>
          <w:sz w:val="20"/>
          <w:szCs w:val="20"/>
        </w:rPr>
        <w:t>Mặc dù</w:t>
      </w:r>
      <w:r w:rsidR="006D3520" w:rsidRPr="00052429">
        <w:rPr>
          <w:rFonts w:ascii="Arial" w:hAnsi="Arial" w:cs="Arial"/>
          <w:sz w:val="20"/>
          <w:szCs w:val="20"/>
        </w:rPr>
        <w:t xml:space="preserve"> hiện nay</w:t>
      </w:r>
      <w:r w:rsidR="00CE0841" w:rsidRPr="00052429">
        <w:rPr>
          <w:rFonts w:ascii="Arial" w:hAnsi="Arial" w:cs="Arial"/>
          <w:sz w:val="20"/>
          <w:szCs w:val="20"/>
        </w:rPr>
        <w:t xml:space="preserve"> thời hạn này còn </w:t>
      </w:r>
      <w:r w:rsidR="00F455F0" w:rsidRPr="00052429">
        <w:rPr>
          <w:rFonts w:ascii="Arial" w:hAnsi="Arial" w:cs="Arial"/>
          <w:sz w:val="20"/>
          <w:szCs w:val="20"/>
        </w:rPr>
        <w:t>khá</w:t>
      </w:r>
      <w:r w:rsidR="00CE0841" w:rsidRPr="00052429">
        <w:rPr>
          <w:rFonts w:ascii="Arial" w:hAnsi="Arial" w:cs="Arial"/>
          <w:sz w:val="20"/>
          <w:szCs w:val="20"/>
        </w:rPr>
        <w:t xml:space="preserve"> xa so với </w:t>
      </w:r>
      <w:r w:rsidR="00F87CF7" w:rsidRPr="00052429">
        <w:rPr>
          <w:rFonts w:ascii="Arial" w:hAnsi="Arial" w:cs="Arial"/>
          <w:sz w:val="20"/>
          <w:szCs w:val="20"/>
        </w:rPr>
        <w:t>khuyến nghị trong bộ nguyên tắc cơ bản mới</w:t>
      </w:r>
      <w:r w:rsidR="00CE0841" w:rsidRPr="00052429">
        <w:rPr>
          <w:rFonts w:ascii="Arial" w:hAnsi="Arial" w:cs="Arial"/>
          <w:sz w:val="20"/>
          <w:szCs w:val="20"/>
        </w:rPr>
        <w:t>, t</w:t>
      </w:r>
      <w:r w:rsidR="00FD2EB1" w:rsidRPr="00052429">
        <w:rPr>
          <w:rFonts w:ascii="Arial" w:hAnsi="Arial" w:cs="Arial"/>
          <w:sz w:val="20"/>
          <w:szCs w:val="20"/>
        </w:rPr>
        <w:t>uy nhiên,</w:t>
      </w:r>
      <w:r w:rsidR="00257A14" w:rsidRPr="00052429">
        <w:rPr>
          <w:rFonts w:ascii="Arial" w:hAnsi="Arial" w:cs="Arial"/>
          <w:sz w:val="20"/>
          <w:szCs w:val="20"/>
        </w:rPr>
        <w:t xml:space="preserve"> BHTGVN </w:t>
      </w:r>
      <w:r w:rsidR="00F455F0" w:rsidRPr="00052429">
        <w:rPr>
          <w:rFonts w:ascii="Arial" w:hAnsi="Arial" w:cs="Arial"/>
          <w:sz w:val="20"/>
          <w:szCs w:val="20"/>
        </w:rPr>
        <w:t xml:space="preserve">cũng </w:t>
      </w:r>
      <w:r w:rsidR="00257A14" w:rsidRPr="00052429">
        <w:rPr>
          <w:rFonts w:ascii="Arial" w:hAnsi="Arial" w:cs="Arial"/>
          <w:sz w:val="20"/>
          <w:szCs w:val="20"/>
        </w:rPr>
        <w:t xml:space="preserve">cần nghiên cứu và hoàn thiện hơn nữa quy trình chi trả BHTG nhằm đảm bảo thực hiện </w:t>
      </w:r>
      <w:r w:rsidR="005070BF" w:rsidRPr="00052429">
        <w:rPr>
          <w:rFonts w:ascii="Arial" w:hAnsi="Arial" w:cs="Arial"/>
          <w:sz w:val="20"/>
          <w:szCs w:val="20"/>
        </w:rPr>
        <w:t xml:space="preserve">mục </w:t>
      </w:r>
      <w:r w:rsidR="00257A14" w:rsidRPr="00052429">
        <w:rPr>
          <w:rFonts w:ascii="Arial" w:hAnsi="Arial" w:cs="Arial"/>
          <w:sz w:val="20"/>
          <w:szCs w:val="20"/>
        </w:rPr>
        <w:t>tiêu</w:t>
      </w:r>
      <w:r w:rsidR="00772FFA" w:rsidRPr="00052429">
        <w:rPr>
          <w:rFonts w:ascii="Arial" w:hAnsi="Arial" w:cs="Arial"/>
          <w:sz w:val="20"/>
          <w:szCs w:val="20"/>
        </w:rPr>
        <w:t xml:space="preserve"> hoạt động</w:t>
      </w:r>
      <w:r w:rsidR="00257A14" w:rsidRPr="00052429">
        <w:rPr>
          <w:rFonts w:ascii="Arial" w:hAnsi="Arial" w:cs="Arial"/>
          <w:sz w:val="20"/>
          <w:szCs w:val="20"/>
        </w:rPr>
        <w:t xml:space="preserve"> hiệu quả và</w:t>
      </w:r>
      <w:r w:rsidR="00772FFA" w:rsidRPr="00052429">
        <w:rPr>
          <w:rFonts w:ascii="Arial" w:hAnsi="Arial" w:cs="Arial"/>
          <w:sz w:val="20"/>
          <w:szCs w:val="20"/>
        </w:rPr>
        <w:t xml:space="preserve"> </w:t>
      </w:r>
      <w:r w:rsidR="00257A14" w:rsidRPr="00052429">
        <w:rPr>
          <w:rFonts w:ascii="Arial" w:hAnsi="Arial" w:cs="Arial"/>
          <w:sz w:val="20"/>
          <w:szCs w:val="20"/>
        </w:rPr>
        <w:t>hướng tới hoạt động theo</w:t>
      </w:r>
      <w:r w:rsidR="00772FFA" w:rsidRPr="00052429">
        <w:rPr>
          <w:rFonts w:ascii="Arial" w:hAnsi="Arial" w:cs="Arial"/>
          <w:sz w:val="20"/>
          <w:szCs w:val="20"/>
        </w:rPr>
        <w:t xml:space="preserve"> thông lệ quốc tế</w:t>
      </w:r>
      <w:r w:rsidR="00052429">
        <w:rPr>
          <w:rFonts w:ascii="Arial" w:hAnsi="Arial" w:cs="Arial"/>
          <w:sz w:val="20"/>
          <w:szCs w:val="20"/>
        </w:rPr>
        <w:t>.</w:t>
      </w:r>
    </w:p>
    <w:p w:rsidR="00F3526C" w:rsidRDefault="00F3526C" w:rsidP="00052429">
      <w:pPr>
        <w:spacing w:after="0" w:line="240" w:lineRule="auto"/>
        <w:jc w:val="both"/>
        <w:outlineLvl w:val="0"/>
        <w:rPr>
          <w:rFonts w:ascii="Arial" w:hAnsi="Arial" w:cs="Arial"/>
          <w:noProof/>
          <w:sz w:val="20"/>
          <w:szCs w:val="20"/>
          <w:lang w:eastAsia="vi-VN"/>
        </w:rPr>
      </w:pPr>
    </w:p>
    <w:p w:rsidR="00052429" w:rsidRDefault="00052429" w:rsidP="00052429">
      <w:pPr>
        <w:spacing w:after="0" w:line="240" w:lineRule="auto"/>
        <w:jc w:val="both"/>
        <w:outlineLvl w:val="0"/>
        <w:rPr>
          <w:rFonts w:ascii="Arial" w:hAnsi="Arial" w:cs="Arial"/>
          <w:sz w:val="20"/>
          <w:szCs w:val="20"/>
        </w:rPr>
      </w:pPr>
      <w:r w:rsidRPr="00052429">
        <w:rPr>
          <w:rFonts w:ascii="Arial" w:hAnsi="Arial" w:cs="Arial"/>
          <w:sz w:val="20"/>
          <w:szCs w:val="20"/>
        </w:rPr>
        <w:t>M</w:t>
      </w:r>
      <w:r w:rsidR="00C33CDE" w:rsidRPr="00052429">
        <w:rPr>
          <w:rFonts w:ascii="Arial" w:hAnsi="Arial" w:cs="Arial"/>
          <w:sz w:val="20"/>
          <w:szCs w:val="20"/>
        </w:rPr>
        <w:t>ột số khuyến nghị nhằm góp phần tăng cường hiệu quả công tác chi trả tại BHTGVN</w:t>
      </w:r>
      <w:r w:rsidRPr="00052429">
        <w:rPr>
          <w:rFonts w:ascii="Arial" w:hAnsi="Arial" w:cs="Arial"/>
          <w:sz w:val="20"/>
          <w:szCs w:val="20"/>
        </w:rPr>
        <w:t xml:space="preserve"> như sau: </w:t>
      </w:r>
      <w:r w:rsidRPr="00052429">
        <w:rPr>
          <w:rFonts w:ascii="Arial" w:hAnsi="Arial" w:cs="Arial"/>
          <w:b/>
          <w:i/>
          <w:sz w:val="20"/>
          <w:szCs w:val="20"/>
        </w:rPr>
        <w:t>(i)</w:t>
      </w:r>
      <w:r w:rsidRPr="00052429">
        <w:rPr>
          <w:rFonts w:ascii="Arial" w:hAnsi="Arial" w:cs="Arial"/>
          <w:sz w:val="20"/>
          <w:szCs w:val="20"/>
        </w:rPr>
        <w:t xml:space="preserve"> </w:t>
      </w:r>
      <w:r w:rsidR="00B723C7" w:rsidRPr="00052429">
        <w:rPr>
          <w:rFonts w:ascii="Arial" w:hAnsi="Arial" w:cs="Arial"/>
          <w:sz w:val="20"/>
          <w:szCs w:val="20"/>
        </w:rPr>
        <w:t xml:space="preserve">Xây dựng cơ sở dữ liệu về người gửi tiền thuộc đối tượng bảo hiểm. </w:t>
      </w:r>
      <w:r w:rsidR="00C33CDE" w:rsidRPr="00052429">
        <w:rPr>
          <w:rFonts w:ascii="Arial" w:hAnsi="Arial" w:cs="Arial"/>
          <w:sz w:val="20"/>
          <w:szCs w:val="20"/>
        </w:rPr>
        <w:t xml:space="preserve">Một điểm sửa đổi đáng lưu ý trong phiên bản mới chính là yếu tố liên quan tới tiếp cận sớm thông tin về người gửi tiền được bảo hiểm. </w:t>
      </w:r>
      <w:r w:rsidR="00D45894" w:rsidRPr="00052429">
        <w:rPr>
          <w:rFonts w:ascii="Arial" w:hAnsi="Arial" w:cs="Arial"/>
          <w:sz w:val="20"/>
          <w:szCs w:val="20"/>
        </w:rPr>
        <w:t>Nếu được tiếp cận sớm thông tin, BHTGVN có thể</w:t>
      </w:r>
      <w:r w:rsidR="00104D75" w:rsidRPr="00052429">
        <w:rPr>
          <w:rFonts w:ascii="Arial" w:hAnsi="Arial" w:cs="Arial"/>
          <w:sz w:val="20"/>
          <w:szCs w:val="20"/>
        </w:rPr>
        <w:t xml:space="preserve"> </w:t>
      </w:r>
      <w:r w:rsidR="00104D75" w:rsidRPr="00052429">
        <w:rPr>
          <w:rFonts w:ascii="Arial" w:hAnsi="Arial" w:cs="Arial"/>
          <w:spacing w:val="2"/>
          <w:sz w:val="20"/>
          <w:szCs w:val="20"/>
        </w:rPr>
        <w:t xml:space="preserve">xây dựng </w:t>
      </w:r>
      <w:r w:rsidR="0025044D" w:rsidRPr="00052429">
        <w:rPr>
          <w:rFonts w:ascii="Arial" w:hAnsi="Arial" w:cs="Arial"/>
          <w:spacing w:val="2"/>
          <w:sz w:val="20"/>
          <w:szCs w:val="20"/>
        </w:rPr>
        <w:t>quy trình chi trả BHTG theo mô hình chi trả hiệu quả và chủ động phương án</w:t>
      </w:r>
      <w:r w:rsidR="00104D75" w:rsidRPr="00052429">
        <w:rPr>
          <w:rFonts w:ascii="Arial" w:hAnsi="Arial" w:cs="Arial"/>
          <w:spacing w:val="2"/>
          <w:sz w:val="20"/>
          <w:szCs w:val="20"/>
        </w:rPr>
        <w:t xml:space="preserve"> chi trả BHTG</w:t>
      </w:r>
      <w:r w:rsidR="0025044D" w:rsidRPr="00052429">
        <w:rPr>
          <w:rFonts w:ascii="Arial" w:hAnsi="Arial" w:cs="Arial"/>
          <w:spacing w:val="2"/>
          <w:sz w:val="20"/>
          <w:szCs w:val="20"/>
        </w:rPr>
        <w:t xml:space="preserve"> </w:t>
      </w:r>
      <w:r w:rsidR="00F87CF7" w:rsidRPr="00052429">
        <w:rPr>
          <w:rFonts w:ascii="Arial" w:hAnsi="Arial" w:cs="Arial"/>
          <w:spacing w:val="2"/>
          <w:sz w:val="20"/>
          <w:szCs w:val="20"/>
        </w:rPr>
        <w:t>từ đó</w:t>
      </w:r>
      <w:r w:rsidR="00A604A6" w:rsidRPr="00052429">
        <w:rPr>
          <w:rFonts w:ascii="Arial" w:hAnsi="Arial" w:cs="Arial"/>
          <w:spacing w:val="2"/>
          <w:sz w:val="20"/>
          <w:szCs w:val="20"/>
        </w:rPr>
        <w:t xml:space="preserve"> rút ngắn thời gian chi trả</w:t>
      </w:r>
      <w:r w:rsidR="00104D75" w:rsidRPr="00052429">
        <w:rPr>
          <w:rFonts w:ascii="Arial" w:hAnsi="Arial" w:cs="Arial"/>
          <w:spacing w:val="2"/>
          <w:sz w:val="20"/>
          <w:szCs w:val="20"/>
        </w:rPr>
        <w:t xml:space="preserve"> cũng như </w:t>
      </w:r>
      <w:r w:rsidR="00A604A6" w:rsidRPr="00052429">
        <w:rPr>
          <w:rFonts w:ascii="Arial" w:hAnsi="Arial" w:cs="Arial"/>
          <w:spacing w:val="2"/>
          <w:sz w:val="20"/>
          <w:szCs w:val="20"/>
        </w:rPr>
        <w:t xml:space="preserve">có </w:t>
      </w:r>
      <w:r w:rsidR="00DF09B4" w:rsidRPr="00052429">
        <w:rPr>
          <w:rFonts w:ascii="Arial" w:hAnsi="Arial" w:cs="Arial"/>
          <w:spacing w:val="2"/>
          <w:sz w:val="20"/>
          <w:szCs w:val="20"/>
        </w:rPr>
        <w:t>các biện pháp</w:t>
      </w:r>
      <w:r w:rsidR="00104D75" w:rsidRPr="00052429">
        <w:rPr>
          <w:rFonts w:ascii="Arial" w:hAnsi="Arial" w:cs="Arial"/>
          <w:spacing w:val="2"/>
          <w:sz w:val="20"/>
          <w:szCs w:val="20"/>
        </w:rPr>
        <w:t xml:space="preserve"> kiểm </w:t>
      </w:r>
      <w:r w:rsidR="00104D75" w:rsidRPr="00052429">
        <w:rPr>
          <w:rFonts w:ascii="Arial" w:hAnsi="Arial" w:cs="Arial"/>
          <w:spacing w:val="2"/>
          <w:sz w:val="20"/>
          <w:szCs w:val="20"/>
        </w:rPr>
        <w:lastRenderedPageBreak/>
        <w:t xml:space="preserve">soát và giảm thiểu rủi ro liên quan tới gian lận </w:t>
      </w:r>
      <w:r w:rsidR="001E3876" w:rsidRPr="00052429">
        <w:rPr>
          <w:rFonts w:ascii="Arial" w:hAnsi="Arial" w:cs="Arial"/>
          <w:spacing w:val="2"/>
          <w:sz w:val="20"/>
          <w:szCs w:val="20"/>
        </w:rPr>
        <w:t xml:space="preserve">trong chi trả </w:t>
      </w:r>
      <w:r w:rsidR="00104D75" w:rsidRPr="00052429">
        <w:rPr>
          <w:rFonts w:ascii="Arial" w:hAnsi="Arial" w:cs="Arial"/>
          <w:spacing w:val="2"/>
          <w:sz w:val="20"/>
          <w:szCs w:val="20"/>
        </w:rPr>
        <w:t>BHTG.</w:t>
      </w:r>
      <w:r w:rsidR="00D45894" w:rsidRPr="00052429">
        <w:rPr>
          <w:rFonts w:ascii="Arial" w:hAnsi="Arial" w:cs="Arial"/>
          <w:spacing w:val="2"/>
          <w:sz w:val="20"/>
          <w:szCs w:val="20"/>
        </w:rPr>
        <w:t xml:space="preserve"> </w:t>
      </w:r>
      <w:r w:rsidR="001E3876" w:rsidRPr="00052429">
        <w:rPr>
          <w:rFonts w:ascii="Arial" w:hAnsi="Arial" w:cs="Arial"/>
          <w:spacing w:val="2"/>
          <w:sz w:val="20"/>
          <w:szCs w:val="20"/>
        </w:rPr>
        <w:t>Hơn nữa</w:t>
      </w:r>
      <w:r w:rsidR="00D45894" w:rsidRPr="00052429">
        <w:rPr>
          <w:rFonts w:ascii="Arial" w:hAnsi="Arial" w:cs="Arial"/>
          <w:spacing w:val="2"/>
          <w:sz w:val="20"/>
          <w:szCs w:val="20"/>
        </w:rPr>
        <w:t xml:space="preserve">, </w:t>
      </w:r>
      <w:r w:rsidR="00D04771" w:rsidRPr="00052429">
        <w:rPr>
          <w:rFonts w:ascii="Arial" w:hAnsi="Arial" w:cs="Arial"/>
          <w:spacing w:val="2"/>
          <w:sz w:val="20"/>
          <w:szCs w:val="20"/>
        </w:rPr>
        <w:t xml:space="preserve">theo </w:t>
      </w:r>
      <w:r w:rsidR="00D45894" w:rsidRPr="00052429">
        <w:rPr>
          <w:rFonts w:ascii="Arial" w:hAnsi="Arial" w:cs="Arial"/>
          <w:spacing w:val="-2"/>
          <w:sz w:val="20"/>
          <w:szCs w:val="20"/>
        </w:rPr>
        <w:t xml:space="preserve">Luật BHTG thì BHTGVN cũng được trao thẩm quyền yêu cầu tổ chức tham gia BHTG cung cấp các thông tin liên quan đến tiền gửi được bảo hiểm. Đây là cơ sở quan trọng để BHTGVN có thể rà soát, nghiên cứu và </w:t>
      </w:r>
      <w:r w:rsidR="00CE0841" w:rsidRPr="00052429">
        <w:rPr>
          <w:rFonts w:ascii="Arial" w:hAnsi="Arial" w:cs="Arial"/>
          <w:spacing w:val="-2"/>
          <w:sz w:val="20"/>
          <w:szCs w:val="20"/>
        </w:rPr>
        <w:t xml:space="preserve">đề xuất </w:t>
      </w:r>
      <w:r w:rsidR="00D45894" w:rsidRPr="00052429">
        <w:rPr>
          <w:rFonts w:ascii="Arial" w:hAnsi="Arial" w:cs="Arial"/>
          <w:spacing w:val="-2"/>
          <w:sz w:val="20"/>
          <w:szCs w:val="20"/>
        </w:rPr>
        <w:t>ban hành quy chế thu nhận thông tin về người gửi tiền tại các TCTD phục vụ công tác chi trả BHTG</w:t>
      </w:r>
      <w:r w:rsidRPr="00052429">
        <w:rPr>
          <w:rFonts w:ascii="Arial" w:hAnsi="Arial" w:cs="Arial"/>
          <w:spacing w:val="-2"/>
          <w:sz w:val="20"/>
          <w:szCs w:val="20"/>
        </w:rPr>
        <w:t xml:space="preserve">; </w:t>
      </w:r>
      <w:r w:rsidRPr="00052429">
        <w:rPr>
          <w:rFonts w:ascii="Arial" w:hAnsi="Arial" w:cs="Arial"/>
          <w:b/>
          <w:i/>
          <w:spacing w:val="-2"/>
          <w:sz w:val="20"/>
          <w:szCs w:val="20"/>
        </w:rPr>
        <w:t>(ii)</w:t>
      </w:r>
      <w:r w:rsidRPr="00052429">
        <w:rPr>
          <w:rFonts w:ascii="Arial" w:hAnsi="Arial" w:cs="Arial"/>
          <w:spacing w:val="-2"/>
          <w:sz w:val="20"/>
          <w:szCs w:val="20"/>
        </w:rPr>
        <w:t xml:space="preserve"> </w:t>
      </w:r>
      <w:r w:rsidR="00877BF7" w:rsidRPr="00052429">
        <w:rPr>
          <w:rFonts w:ascii="Arial" w:hAnsi="Arial" w:cs="Arial"/>
          <w:spacing w:val="-2"/>
          <w:sz w:val="20"/>
          <w:szCs w:val="20"/>
        </w:rPr>
        <w:t xml:space="preserve">Hoàn thiện và phát triển hệ thống công nghệ phục vụ chi trả BHTG. </w:t>
      </w:r>
      <w:r w:rsidR="00FD2EB1" w:rsidRPr="00052429">
        <w:rPr>
          <w:rFonts w:ascii="Arial" w:hAnsi="Arial" w:cs="Arial"/>
          <w:spacing w:val="-2"/>
          <w:sz w:val="20"/>
          <w:szCs w:val="20"/>
        </w:rPr>
        <w:t xml:space="preserve">Việc xây dựng hệ thống công nghệ </w:t>
      </w:r>
      <w:r w:rsidR="003C4521" w:rsidRPr="00052429">
        <w:rPr>
          <w:rFonts w:ascii="Arial" w:hAnsi="Arial" w:cs="Arial"/>
          <w:spacing w:val="-2"/>
          <w:sz w:val="20"/>
          <w:szCs w:val="20"/>
        </w:rPr>
        <w:t xml:space="preserve">phù hợp sẽ </w:t>
      </w:r>
      <w:r w:rsidR="00FD2EB1" w:rsidRPr="00052429">
        <w:rPr>
          <w:rFonts w:ascii="Arial" w:hAnsi="Arial" w:cs="Arial"/>
          <w:spacing w:val="-2"/>
          <w:sz w:val="20"/>
          <w:szCs w:val="20"/>
        </w:rPr>
        <w:t>giúp sử dụng hiệu quả nguồn thông tin về người gửi tiền được bảo hiểm phục vụ công tác chi trả. Bên cạnh đó, ứng dụng công nghệ cũng góp phần giảm thời gian xử lý dữ liệu</w:t>
      </w:r>
      <w:r w:rsidR="003C4521" w:rsidRPr="00052429">
        <w:rPr>
          <w:rFonts w:ascii="Arial" w:hAnsi="Arial" w:cs="Arial"/>
          <w:spacing w:val="-2"/>
          <w:sz w:val="20"/>
          <w:szCs w:val="20"/>
        </w:rPr>
        <w:t>, hồ sơ người gửi tiền</w:t>
      </w:r>
      <w:r w:rsidR="00FD2EB1" w:rsidRPr="00052429">
        <w:rPr>
          <w:rFonts w:ascii="Arial" w:hAnsi="Arial" w:cs="Arial"/>
          <w:spacing w:val="-2"/>
          <w:sz w:val="20"/>
          <w:szCs w:val="20"/>
        </w:rPr>
        <w:t xml:space="preserve"> từ đó giúp tăng tính kịp thời của công tác chi trả BHTG</w:t>
      </w:r>
      <w:r w:rsidRPr="00052429">
        <w:rPr>
          <w:rFonts w:ascii="Arial" w:hAnsi="Arial" w:cs="Arial"/>
          <w:spacing w:val="-2"/>
          <w:sz w:val="20"/>
          <w:szCs w:val="20"/>
        </w:rPr>
        <w:t xml:space="preserve">; </w:t>
      </w:r>
      <w:r w:rsidRPr="00052429">
        <w:rPr>
          <w:rFonts w:ascii="Arial" w:hAnsi="Arial" w:cs="Arial"/>
          <w:b/>
          <w:i/>
          <w:spacing w:val="-2"/>
          <w:sz w:val="20"/>
          <w:szCs w:val="20"/>
        </w:rPr>
        <w:t>(iii)</w:t>
      </w:r>
      <w:r w:rsidRPr="00052429">
        <w:rPr>
          <w:rFonts w:ascii="Arial" w:hAnsi="Arial" w:cs="Arial"/>
          <w:spacing w:val="-2"/>
          <w:sz w:val="20"/>
          <w:szCs w:val="20"/>
        </w:rPr>
        <w:t xml:space="preserve"> </w:t>
      </w:r>
      <w:r w:rsidR="00D04771" w:rsidRPr="00052429">
        <w:rPr>
          <w:rFonts w:ascii="Arial" w:hAnsi="Arial" w:cs="Arial"/>
          <w:spacing w:val="-2"/>
          <w:sz w:val="20"/>
          <w:szCs w:val="20"/>
        </w:rPr>
        <w:t xml:space="preserve">Nghiên cứu và xây dưng quy trình chi trả theo mô hình chi trả hiệu quả. </w:t>
      </w:r>
      <w:r w:rsidR="00C77717" w:rsidRPr="00052429">
        <w:rPr>
          <w:rFonts w:ascii="Arial" w:hAnsi="Arial" w:cs="Arial"/>
          <w:spacing w:val="-2"/>
          <w:sz w:val="20"/>
          <w:szCs w:val="20"/>
        </w:rPr>
        <w:t xml:space="preserve">Đây là mô hình được IADI khuyến nghị các quốc gia thực hiện nhằm đảm bảo tính chủ động khi xây dựng phương án chi trả cũng như giảm thiểu rủi ro liên quan đến chi trả BHTG. </w:t>
      </w:r>
      <w:r w:rsidR="00D04771" w:rsidRPr="00052429">
        <w:rPr>
          <w:rFonts w:ascii="Arial" w:hAnsi="Arial" w:cs="Arial"/>
          <w:spacing w:val="-2"/>
          <w:sz w:val="20"/>
          <w:szCs w:val="20"/>
        </w:rPr>
        <w:t>Đồng thời</w:t>
      </w:r>
      <w:r w:rsidR="00986342" w:rsidRPr="00052429">
        <w:rPr>
          <w:rFonts w:ascii="Arial" w:hAnsi="Arial" w:cs="Arial"/>
          <w:spacing w:val="-2"/>
          <w:sz w:val="20"/>
          <w:szCs w:val="20"/>
        </w:rPr>
        <w:t xml:space="preserve"> c</w:t>
      </w:r>
      <w:r w:rsidR="005A240B" w:rsidRPr="00052429">
        <w:rPr>
          <w:rFonts w:ascii="Arial" w:hAnsi="Arial" w:cs="Arial"/>
          <w:spacing w:val="-2"/>
          <w:sz w:val="20"/>
          <w:szCs w:val="20"/>
        </w:rPr>
        <w:t>ũng c</w:t>
      </w:r>
      <w:r w:rsidR="00986342" w:rsidRPr="00052429">
        <w:rPr>
          <w:rFonts w:ascii="Arial" w:hAnsi="Arial" w:cs="Arial"/>
          <w:spacing w:val="-2"/>
          <w:sz w:val="20"/>
          <w:szCs w:val="20"/>
        </w:rPr>
        <w:t xml:space="preserve">ần xây dựng các kịch bản chi trả </w:t>
      </w:r>
      <w:r w:rsidR="00986342" w:rsidRPr="00052429">
        <w:rPr>
          <w:rFonts w:ascii="Arial" w:hAnsi="Arial" w:cs="Arial"/>
          <w:sz w:val="20"/>
          <w:szCs w:val="20"/>
        </w:rPr>
        <w:t>để đảm bảo cán bộ chi trả truyền tải đúng các thông điệp và chủ động khi phát sinh các tình huống nhạy cảm</w:t>
      </w:r>
      <w:r w:rsidR="00385DB1" w:rsidRPr="00052429">
        <w:rPr>
          <w:rFonts w:ascii="Arial" w:hAnsi="Arial" w:cs="Arial"/>
          <w:sz w:val="20"/>
          <w:szCs w:val="20"/>
        </w:rPr>
        <w:t>.</w:t>
      </w:r>
    </w:p>
    <w:p w:rsidR="00F3526C" w:rsidRPr="00052429" w:rsidRDefault="00F3526C" w:rsidP="00052429">
      <w:pPr>
        <w:spacing w:after="0" w:line="240" w:lineRule="auto"/>
        <w:jc w:val="both"/>
        <w:outlineLvl w:val="0"/>
        <w:rPr>
          <w:rFonts w:ascii="Arial" w:hAnsi="Arial" w:cs="Arial"/>
          <w:noProof/>
          <w:sz w:val="20"/>
          <w:szCs w:val="20"/>
          <w:lang w:eastAsia="vi-VN"/>
        </w:rPr>
      </w:pPr>
    </w:p>
    <w:p w:rsidR="009F241E" w:rsidRPr="00052429" w:rsidRDefault="00554DDD" w:rsidP="00052429">
      <w:pPr>
        <w:spacing w:after="0" w:line="240" w:lineRule="auto"/>
        <w:jc w:val="both"/>
        <w:outlineLvl w:val="0"/>
        <w:rPr>
          <w:rFonts w:ascii="Arial" w:hAnsi="Arial" w:cs="Arial"/>
          <w:b/>
          <w:sz w:val="20"/>
          <w:szCs w:val="20"/>
        </w:rPr>
      </w:pPr>
      <w:r w:rsidRPr="00052429">
        <w:rPr>
          <w:rFonts w:ascii="Arial" w:hAnsi="Arial" w:cs="Arial"/>
          <w:sz w:val="20"/>
          <w:szCs w:val="20"/>
        </w:rPr>
        <w:t>Liên Hương –</w:t>
      </w:r>
      <w:r w:rsidR="00052429" w:rsidRPr="00052429">
        <w:rPr>
          <w:rFonts w:ascii="Arial" w:hAnsi="Arial" w:cs="Arial"/>
          <w:sz w:val="20"/>
          <w:szCs w:val="20"/>
        </w:rPr>
        <w:t xml:space="preserve"> </w:t>
      </w:r>
      <w:r w:rsidRPr="00052429">
        <w:rPr>
          <w:rFonts w:ascii="Arial" w:hAnsi="Arial" w:cs="Arial"/>
          <w:sz w:val="20"/>
          <w:szCs w:val="20"/>
        </w:rPr>
        <w:t>Hải Yến</w:t>
      </w:r>
      <w:r w:rsidR="00052429" w:rsidRPr="00052429">
        <w:rPr>
          <w:rFonts w:ascii="Arial" w:hAnsi="Arial" w:cs="Arial"/>
          <w:b/>
          <w:sz w:val="20"/>
          <w:szCs w:val="20"/>
        </w:rPr>
        <w:t xml:space="preserve"> (</w:t>
      </w:r>
      <w:r w:rsidR="009F241E" w:rsidRPr="00052429">
        <w:rPr>
          <w:rFonts w:ascii="Arial" w:hAnsi="Arial" w:cs="Arial"/>
          <w:sz w:val="20"/>
          <w:szCs w:val="20"/>
        </w:rPr>
        <w:t xml:space="preserve">BHTGVN </w:t>
      </w:r>
      <w:r w:rsidR="00052429" w:rsidRPr="00052429">
        <w:rPr>
          <w:rFonts w:ascii="Arial" w:hAnsi="Arial" w:cs="Arial"/>
          <w:sz w:val="20"/>
          <w:szCs w:val="20"/>
        </w:rPr>
        <w:t xml:space="preserve">Chi nhánh </w:t>
      </w:r>
      <w:r w:rsidR="009F241E" w:rsidRPr="00052429">
        <w:rPr>
          <w:rFonts w:ascii="Arial" w:hAnsi="Arial" w:cs="Arial"/>
          <w:sz w:val="20"/>
          <w:szCs w:val="20"/>
        </w:rPr>
        <w:t>Hà Nội</w:t>
      </w:r>
      <w:r w:rsidR="00052429" w:rsidRPr="00052429">
        <w:rPr>
          <w:rFonts w:ascii="Arial" w:hAnsi="Arial" w:cs="Arial"/>
          <w:sz w:val="20"/>
          <w:szCs w:val="20"/>
        </w:rPr>
        <w:t>)</w:t>
      </w:r>
    </w:p>
    <w:p w:rsidR="00052429" w:rsidRPr="00052429" w:rsidRDefault="00052429" w:rsidP="00052429">
      <w:pPr>
        <w:spacing w:after="0" w:line="240" w:lineRule="auto"/>
        <w:jc w:val="both"/>
        <w:rPr>
          <w:rFonts w:ascii="Arial" w:hAnsi="Arial" w:cs="Arial"/>
          <w:i/>
          <w:sz w:val="20"/>
          <w:szCs w:val="20"/>
        </w:rPr>
      </w:pPr>
    </w:p>
    <w:p w:rsidR="00385DB1" w:rsidRPr="00052429" w:rsidRDefault="00385DB1" w:rsidP="00052429">
      <w:pPr>
        <w:spacing w:after="0" w:line="240" w:lineRule="auto"/>
        <w:jc w:val="both"/>
        <w:rPr>
          <w:rFonts w:ascii="Arial" w:hAnsi="Arial" w:cs="Arial"/>
          <w:b/>
          <w:i/>
          <w:sz w:val="20"/>
          <w:szCs w:val="20"/>
        </w:rPr>
      </w:pPr>
      <w:r w:rsidRPr="00052429">
        <w:rPr>
          <w:rFonts w:ascii="Arial" w:hAnsi="Arial" w:cs="Arial"/>
          <w:b/>
          <w:i/>
          <w:sz w:val="20"/>
          <w:szCs w:val="20"/>
        </w:rPr>
        <w:t>Tài liệu tham khảo:</w:t>
      </w:r>
    </w:p>
    <w:p w:rsidR="00385DB1" w:rsidRPr="00052429" w:rsidRDefault="00385DB1" w:rsidP="00052429">
      <w:pPr>
        <w:widowControl w:val="0"/>
        <w:spacing w:after="0" w:line="240" w:lineRule="auto"/>
        <w:ind w:firstLine="567"/>
        <w:jc w:val="both"/>
        <w:rPr>
          <w:rFonts w:ascii="Arial" w:hAnsi="Arial" w:cs="Arial"/>
          <w:sz w:val="20"/>
          <w:szCs w:val="20"/>
        </w:rPr>
      </w:pPr>
      <w:r w:rsidRPr="00052429">
        <w:rPr>
          <w:rFonts w:ascii="Arial" w:hAnsi="Arial" w:cs="Arial"/>
          <w:sz w:val="20"/>
          <w:szCs w:val="20"/>
        </w:rPr>
        <w:t>1. Luật Bảo hiểm tiền gửi (2012)</w:t>
      </w:r>
    </w:p>
    <w:p w:rsidR="00385DB1" w:rsidRPr="00052429" w:rsidRDefault="00385DB1" w:rsidP="00052429">
      <w:pPr>
        <w:widowControl w:val="0"/>
        <w:spacing w:after="0" w:line="240" w:lineRule="auto"/>
        <w:ind w:firstLine="567"/>
        <w:jc w:val="both"/>
        <w:rPr>
          <w:rFonts w:ascii="Arial" w:hAnsi="Arial" w:cs="Arial"/>
          <w:sz w:val="20"/>
          <w:szCs w:val="20"/>
        </w:rPr>
      </w:pPr>
      <w:r w:rsidRPr="00052429">
        <w:rPr>
          <w:rFonts w:ascii="Arial" w:hAnsi="Arial" w:cs="Arial"/>
          <w:sz w:val="20"/>
          <w:szCs w:val="20"/>
        </w:rPr>
        <w:t xml:space="preserve">2. </w:t>
      </w:r>
      <w:r w:rsidRPr="00052429">
        <w:rPr>
          <w:rFonts w:ascii="Arial" w:hAnsi="Arial" w:cs="Arial"/>
          <w:i/>
          <w:sz w:val="20"/>
          <w:szCs w:val="20"/>
        </w:rPr>
        <w:t>Core Principles for Effective Deposit Insurance Systems</w:t>
      </w:r>
      <w:r w:rsidRPr="00052429">
        <w:rPr>
          <w:rFonts w:ascii="Arial" w:hAnsi="Arial" w:cs="Arial"/>
          <w:sz w:val="20"/>
          <w:szCs w:val="20"/>
        </w:rPr>
        <w:t>, (6/2009), IADI.</w:t>
      </w:r>
    </w:p>
    <w:p w:rsidR="00385DB1" w:rsidRPr="00052429" w:rsidRDefault="00385DB1" w:rsidP="00052429">
      <w:pPr>
        <w:widowControl w:val="0"/>
        <w:spacing w:after="0" w:line="240" w:lineRule="auto"/>
        <w:ind w:firstLine="567"/>
        <w:jc w:val="both"/>
        <w:rPr>
          <w:rFonts w:ascii="Arial" w:hAnsi="Arial" w:cs="Arial"/>
          <w:sz w:val="20"/>
          <w:szCs w:val="20"/>
        </w:rPr>
      </w:pPr>
      <w:r w:rsidRPr="00052429">
        <w:rPr>
          <w:rFonts w:ascii="Arial" w:hAnsi="Arial" w:cs="Arial"/>
          <w:sz w:val="20"/>
          <w:szCs w:val="20"/>
        </w:rPr>
        <w:t xml:space="preserve">3. </w:t>
      </w:r>
      <w:r w:rsidRPr="00052429">
        <w:rPr>
          <w:rFonts w:ascii="Arial" w:hAnsi="Arial" w:cs="Arial"/>
          <w:i/>
          <w:sz w:val="20"/>
          <w:szCs w:val="20"/>
        </w:rPr>
        <w:t>Core Principles for Effective Deposit Insurance Systems – A methodology for compliance assessment</w:t>
      </w:r>
      <w:r w:rsidRPr="00052429">
        <w:rPr>
          <w:rFonts w:ascii="Arial" w:hAnsi="Arial" w:cs="Arial"/>
          <w:sz w:val="20"/>
          <w:szCs w:val="20"/>
        </w:rPr>
        <w:t>, (12/2010)</w:t>
      </w:r>
      <w:r w:rsidRPr="00052429">
        <w:rPr>
          <w:rFonts w:ascii="Arial" w:hAnsi="Arial" w:cs="Arial"/>
          <w:i/>
          <w:sz w:val="20"/>
          <w:szCs w:val="20"/>
        </w:rPr>
        <w:t xml:space="preserve">, </w:t>
      </w:r>
      <w:r w:rsidRPr="00052429">
        <w:rPr>
          <w:rFonts w:ascii="Arial" w:hAnsi="Arial" w:cs="Arial"/>
          <w:sz w:val="20"/>
          <w:szCs w:val="20"/>
        </w:rPr>
        <w:t>IADI.</w:t>
      </w:r>
    </w:p>
    <w:p w:rsidR="00385DB1" w:rsidRPr="00052429" w:rsidRDefault="00385DB1" w:rsidP="00052429">
      <w:pPr>
        <w:widowControl w:val="0"/>
        <w:spacing w:after="0" w:line="240" w:lineRule="auto"/>
        <w:ind w:firstLine="567"/>
        <w:jc w:val="both"/>
        <w:rPr>
          <w:rFonts w:ascii="Arial" w:hAnsi="Arial" w:cs="Arial"/>
          <w:sz w:val="20"/>
          <w:szCs w:val="20"/>
        </w:rPr>
      </w:pPr>
      <w:r w:rsidRPr="00052429">
        <w:rPr>
          <w:rFonts w:ascii="Arial" w:hAnsi="Arial" w:cs="Arial"/>
          <w:sz w:val="20"/>
          <w:szCs w:val="20"/>
        </w:rPr>
        <w:t xml:space="preserve">4. </w:t>
      </w:r>
      <w:r w:rsidRPr="00052429">
        <w:rPr>
          <w:rFonts w:ascii="Arial" w:hAnsi="Arial" w:cs="Arial"/>
          <w:i/>
          <w:sz w:val="20"/>
          <w:szCs w:val="20"/>
        </w:rPr>
        <w:t>IADI Core Principles for Effective Deposit Insurance Systems</w:t>
      </w:r>
      <w:r w:rsidRPr="00052429">
        <w:rPr>
          <w:rFonts w:ascii="Arial" w:hAnsi="Arial" w:cs="Arial"/>
          <w:sz w:val="20"/>
          <w:szCs w:val="20"/>
        </w:rPr>
        <w:t>, (11/2014), IADI.</w:t>
      </w:r>
    </w:p>
    <w:p w:rsidR="009F241E" w:rsidRPr="00052429" w:rsidRDefault="00385DB1" w:rsidP="00052429">
      <w:pPr>
        <w:widowControl w:val="0"/>
        <w:spacing w:after="0" w:line="240" w:lineRule="auto"/>
        <w:ind w:firstLine="567"/>
        <w:jc w:val="both"/>
        <w:rPr>
          <w:rFonts w:ascii="Arial" w:hAnsi="Arial" w:cs="Arial"/>
          <w:sz w:val="20"/>
          <w:szCs w:val="20"/>
        </w:rPr>
      </w:pPr>
      <w:r w:rsidRPr="00052429">
        <w:rPr>
          <w:rFonts w:ascii="Arial" w:hAnsi="Arial" w:cs="Arial"/>
          <w:sz w:val="20"/>
          <w:szCs w:val="20"/>
        </w:rPr>
        <w:t xml:space="preserve">5. </w:t>
      </w:r>
      <w:r w:rsidRPr="00052429">
        <w:rPr>
          <w:rFonts w:ascii="Arial" w:hAnsi="Arial" w:cs="Arial"/>
          <w:i/>
          <w:sz w:val="20"/>
          <w:szCs w:val="20"/>
        </w:rPr>
        <w:t>A Hanbook for the assessment of compliance with the core principles for effective deposit insurance systems</w:t>
      </w:r>
      <w:r w:rsidRPr="00052429">
        <w:rPr>
          <w:rFonts w:ascii="Arial" w:hAnsi="Arial" w:cs="Arial"/>
          <w:sz w:val="20"/>
          <w:szCs w:val="20"/>
        </w:rPr>
        <w:t>, (3/2016), IADI.</w:t>
      </w:r>
    </w:p>
    <w:sectPr w:rsidR="009F241E" w:rsidRPr="00052429" w:rsidSect="001050E9">
      <w:footerReference w:type="default" r:id="rId8"/>
      <w:pgSz w:w="12240" w:h="15840"/>
      <w:pgMar w:top="810" w:right="1080" w:bottom="540"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2424" w:rsidRDefault="00672424" w:rsidP="0025044D">
      <w:pPr>
        <w:spacing w:after="0" w:line="240" w:lineRule="auto"/>
      </w:pPr>
      <w:r>
        <w:separator/>
      </w:r>
    </w:p>
  </w:endnote>
  <w:endnote w:type="continuationSeparator" w:id="1">
    <w:p w:rsidR="00672424" w:rsidRDefault="00672424" w:rsidP="002504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870032"/>
      <w:docPartObj>
        <w:docPartGallery w:val="Page Numbers (Bottom of Page)"/>
        <w:docPartUnique/>
      </w:docPartObj>
    </w:sdtPr>
    <w:sdtEndPr>
      <w:rPr>
        <w:rFonts w:ascii="Times New Roman" w:hAnsi="Times New Roman" w:cs="Times New Roman"/>
      </w:rPr>
    </w:sdtEndPr>
    <w:sdtContent>
      <w:p w:rsidR="0025044D" w:rsidRPr="0025044D" w:rsidRDefault="00D263AA">
        <w:pPr>
          <w:pStyle w:val="Footer"/>
          <w:jc w:val="center"/>
          <w:rPr>
            <w:rFonts w:ascii="Times New Roman" w:hAnsi="Times New Roman" w:cs="Times New Roman"/>
          </w:rPr>
        </w:pPr>
        <w:r w:rsidRPr="0025044D">
          <w:rPr>
            <w:rFonts w:ascii="Times New Roman" w:hAnsi="Times New Roman" w:cs="Times New Roman"/>
          </w:rPr>
          <w:fldChar w:fldCharType="begin"/>
        </w:r>
        <w:r w:rsidR="0025044D" w:rsidRPr="0025044D">
          <w:rPr>
            <w:rFonts w:ascii="Times New Roman" w:hAnsi="Times New Roman" w:cs="Times New Roman"/>
          </w:rPr>
          <w:instrText xml:space="preserve"> PAGE   \* MERGEFORMAT </w:instrText>
        </w:r>
        <w:r w:rsidRPr="0025044D">
          <w:rPr>
            <w:rFonts w:ascii="Times New Roman" w:hAnsi="Times New Roman" w:cs="Times New Roman"/>
          </w:rPr>
          <w:fldChar w:fldCharType="separate"/>
        </w:r>
        <w:r w:rsidR="001050E9">
          <w:rPr>
            <w:rFonts w:ascii="Times New Roman" w:hAnsi="Times New Roman" w:cs="Times New Roman"/>
            <w:noProof/>
          </w:rPr>
          <w:t>2</w:t>
        </w:r>
        <w:r w:rsidRPr="0025044D">
          <w:rPr>
            <w:rFonts w:ascii="Times New Roman" w:hAnsi="Times New Roman" w:cs="Times New Roman"/>
          </w:rPr>
          <w:fldChar w:fldCharType="end"/>
        </w:r>
      </w:p>
    </w:sdtContent>
  </w:sdt>
  <w:p w:rsidR="0025044D" w:rsidRDefault="002504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2424" w:rsidRDefault="00672424" w:rsidP="0025044D">
      <w:pPr>
        <w:spacing w:after="0" w:line="240" w:lineRule="auto"/>
      </w:pPr>
      <w:r>
        <w:separator/>
      </w:r>
    </w:p>
  </w:footnote>
  <w:footnote w:type="continuationSeparator" w:id="1">
    <w:p w:rsidR="00672424" w:rsidRDefault="00672424" w:rsidP="002504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351D0"/>
    <w:multiLevelType w:val="multilevel"/>
    <w:tmpl w:val="73C4C95C"/>
    <w:lvl w:ilvl="0">
      <w:start w:val="1"/>
      <w:numFmt w:val="decimal"/>
      <w:lvlText w:val="%1."/>
      <w:lvlJc w:val="left"/>
      <w:pPr>
        <w:ind w:left="450" w:hanging="450"/>
      </w:pPr>
      <w:rPr>
        <w:rFonts w:hint="default"/>
        <w:i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sz w:val="28"/>
        <w:szCs w:val="28"/>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footnotePr>
    <w:footnote w:id="0"/>
    <w:footnote w:id="1"/>
  </w:footnotePr>
  <w:endnotePr>
    <w:endnote w:id="0"/>
    <w:endnote w:id="1"/>
  </w:endnotePr>
  <w:compat/>
  <w:rsids>
    <w:rsidRoot w:val="00DC7E53"/>
    <w:rsid w:val="000413DF"/>
    <w:rsid w:val="00041C99"/>
    <w:rsid w:val="000442F7"/>
    <w:rsid w:val="00051C9D"/>
    <w:rsid w:val="00052429"/>
    <w:rsid w:val="00087AD4"/>
    <w:rsid w:val="00090DC8"/>
    <w:rsid w:val="000A13D8"/>
    <w:rsid w:val="000C43BF"/>
    <w:rsid w:val="000D4B97"/>
    <w:rsid w:val="000F127C"/>
    <w:rsid w:val="00102B67"/>
    <w:rsid w:val="00104D75"/>
    <w:rsid w:val="001050E9"/>
    <w:rsid w:val="00112B31"/>
    <w:rsid w:val="00153585"/>
    <w:rsid w:val="00187591"/>
    <w:rsid w:val="00190D24"/>
    <w:rsid w:val="00191C83"/>
    <w:rsid w:val="001A69AD"/>
    <w:rsid w:val="001C2AB9"/>
    <w:rsid w:val="001E3876"/>
    <w:rsid w:val="00202E61"/>
    <w:rsid w:val="002031F6"/>
    <w:rsid w:val="00223851"/>
    <w:rsid w:val="00231EBD"/>
    <w:rsid w:val="0025044D"/>
    <w:rsid w:val="00257329"/>
    <w:rsid w:val="00257A14"/>
    <w:rsid w:val="002637C2"/>
    <w:rsid w:val="002648B5"/>
    <w:rsid w:val="00284EA7"/>
    <w:rsid w:val="002A3AE2"/>
    <w:rsid w:val="002B7643"/>
    <w:rsid w:val="002E6D77"/>
    <w:rsid w:val="003263F4"/>
    <w:rsid w:val="003272DD"/>
    <w:rsid w:val="00332C46"/>
    <w:rsid w:val="00385DB1"/>
    <w:rsid w:val="003B522E"/>
    <w:rsid w:val="003B748D"/>
    <w:rsid w:val="003C4521"/>
    <w:rsid w:val="003C61EA"/>
    <w:rsid w:val="003D263A"/>
    <w:rsid w:val="003D70DB"/>
    <w:rsid w:val="003F34B2"/>
    <w:rsid w:val="004053B4"/>
    <w:rsid w:val="004135F1"/>
    <w:rsid w:val="00437E19"/>
    <w:rsid w:val="00461001"/>
    <w:rsid w:val="00464525"/>
    <w:rsid w:val="00466AA5"/>
    <w:rsid w:val="00472606"/>
    <w:rsid w:val="0047481E"/>
    <w:rsid w:val="004F4F3B"/>
    <w:rsid w:val="005070BF"/>
    <w:rsid w:val="00517BE1"/>
    <w:rsid w:val="00522C6D"/>
    <w:rsid w:val="00554DDD"/>
    <w:rsid w:val="005A240B"/>
    <w:rsid w:val="005B2717"/>
    <w:rsid w:val="005B52C9"/>
    <w:rsid w:val="005C5052"/>
    <w:rsid w:val="005F6CDC"/>
    <w:rsid w:val="006052EB"/>
    <w:rsid w:val="00623090"/>
    <w:rsid w:val="00672424"/>
    <w:rsid w:val="006725D4"/>
    <w:rsid w:val="006836B4"/>
    <w:rsid w:val="006B5DA6"/>
    <w:rsid w:val="006C2ED9"/>
    <w:rsid w:val="006D3520"/>
    <w:rsid w:val="00700FC3"/>
    <w:rsid w:val="007015DE"/>
    <w:rsid w:val="00724939"/>
    <w:rsid w:val="0072756E"/>
    <w:rsid w:val="007322CC"/>
    <w:rsid w:val="00733BA3"/>
    <w:rsid w:val="007461FA"/>
    <w:rsid w:val="00763966"/>
    <w:rsid w:val="007642B8"/>
    <w:rsid w:val="00772FFA"/>
    <w:rsid w:val="00783024"/>
    <w:rsid w:val="00797590"/>
    <w:rsid w:val="007C3164"/>
    <w:rsid w:val="007C494A"/>
    <w:rsid w:val="007C4C6E"/>
    <w:rsid w:val="007D7103"/>
    <w:rsid w:val="007F2B97"/>
    <w:rsid w:val="00861691"/>
    <w:rsid w:val="00877BF7"/>
    <w:rsid w:val="00891120"/>
    <w:rsid w:val="008A7EC4"/>
    <w:rsid w:val="008B20C6"/>
    <w:rsid w:val="008E7197"/>
    <w:rsid w:val="008F2EE7"/>
    <w:rsid w:val="00964736"/>
    <w:rsid w:val="00986342"/>
    <w:rsid w:val="009E1A2F"/>
    <w:rsid w:val="009F241E"/>
    <w:rsid w:val="00A0420B"/>
    <w:rsid w:val="00A16297"/>
    <w:rsid w:val="00A53DDA"/>
    <w:rsid w:val="00A604A6"/>
    <w:rsid w:val="00A90893"/>
    <w:rsid w:val="00AB0BF4"/>
    <w:rsid w:val="00AB531C"/>
    <w:rsid w:val="00AC68DE"/>
    <w:rsid w:val="00AD7F76"/>
    <w:rsid w:val="00B017CA"/>
    <w:rsid w:val="00B169AE"/>
    <w:rsid w:val="00B25C37"/>
    <w:rsid w:val="00B3517C"/>
    <w:rsid w:val="00B45629"/>
    <w:rsid w:val="00B6585A"/>
    <w:rsid w:val="00B723C7"/>
    <w:rsid w:val="00B74FCF"/>
    <w:rsid w:val="00B82A96"/>
    <w:rsid w:val="00BA2E83"/>
    <w:rsid w:val="00BA3A8E"/>
    <w:rsid w:val="00BB2ED0"/>
    <w:rsid w:val="00BE5949"/>
    <w:rsid w:val="00BE7FA7"/>
    <w:rsid w:val="00C0382E"/>
    <w:rsid w:val="00C1771A"/>
    <w:rsid w:val="00C215BF"/>
    <w:rsid w:val="00C26EA9"/>
    <w:rsid w:val="00C33CDE"/>
    <w:rsid w:val="00C409B7"/>
    <w:rsid w:val="00C73753"/>
    <w:rsid w:val="00C77717"/>
    <w:rsid w:val="00C95B42"/>
    <w:rsid w:val="00C95C4B"/>
    <w:rsid w:val="00CE0841"/>
    <w:rsid w:val="00CE5B1D"/>
    <w:rsid w:val="00D04771"/>
    <w:rsid w:val="00D263AA"/>
    <w:rsid w:val="00D45894"/>
    <w:rsid w:val="00D46EAB"/>
    <w:rsid w:val="00DC7E53"/>
    <w:rsid w:val="00DE4CB7"/>
    <w:rsid w:val="00DF09B4"/>
    <w:rsid w:val="00E45B17"/>
    <w:rsid w:val="00E603BF"/>
    <w:rsid w:val="00E7051D"/>
    <w:rsid w:val="00E75B5E"/>
    <w:rsid w:val="00E76616"/>
    <w:rsid w:val="00E81822"/>
    <w:rsid w:val="00EA4B3C"/>
    <w:rsid w:val="00EA6FE2"/>
    <w:rsid w:val="00EB2B96"/>
    <w:rsid w:val="00EC4D7D"/>
    <w:rsid w:val="00ED3479"/>
    <w:rsid w:val="00ED511A"/>
    <w:rsid w:val="00ED6435"/>
    <w:rsid w:val="00F04F46"/>
    <w:rsid w:val="00F10AD1"/>
    <w:rsid w:val="00F228AB"/>
    <w:rsid w:val="00F3526C"/>
    <w:rsid w:val="00F371A2"/>
    <w:rsid w:val="00F44BB3"/>
    <w:rsid w:val="00F455F0"/>
    <w:rsid w:val="00F77682"/>
    <w:rsid w:val="00F87CF7"/>
    <w:rsid w:val="00FA245C"/>
    <w:rsid w:val="00FD2EB1"/>
    <w:rsid w:val="00FD7EE3"/>
    <w:rsid w:val="00FF62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7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7CA"/>
    <w:pPr>
      <w:ind w:left="720"/>
      <w:contextualSpacing/>
    </w:pPr>
    <w:rPr>
      <w:rFonts w:ascii="Calibri" w:eastAsia="Calibri" w:hAnsi="Calibri" w:cs="Times New Roman"/>
      <w:lang w:val="vi-VN"/>
    </w:rPr>
  </w:style>
  <w:style w:type="paragraph" w:styleId="DocumentMap">
    <w:name w:val="Document Map"/>
    <w:basedOn w:val="Normal"/>
    <w:link w:val="DocumentMapChar"/>
    <w:uiPriority w:val="99"/>
    <w:semiHidden/>
    <w:unhideWhenUsed/>
    <w:rsid w:val="00522C6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22C6D"/>
    <w:rPr>
      <w:rFonts w:ascii="Tahoma" w:hAnsi="Tahoma" w:cs="Tahoma"/>
      <w:sz w:val="16"/>
      <w:szCs w:val="16"/>
    </w:rPr>
  </w:style>
  <w:style w:type="paragraph" w:styleId="Header">
    <w:name w:val="header"/>
    <w:basedOn w:val="Normal"/>
    <w:link w:val="HeaderChar"/>
    <w:uiPriority w:val="99"/>
    <w:semiHidden/>
    <w:unhideWhenUsed/>
    <w:rsid w:val="002504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5044D"/>
  </w:style>
  <w:style w:type="paragraph" w:styleId="Footer">
    <w:name w:val="footer"/>
    <w:basedOn w:val="Normal"/>
    <w:link w:val="FooterChar"/>
    <w:uiPriority w:val="99"/>
    <w:unhideWhenUsed/>
    <w:rsid w:val="002504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044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CE3CD1-A5D5-42D2-B4D2-C88D4A1F4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nguyen-tien.thanh</dc:creator>
  <cp:lastModifiedBy>Tung</cp:lastModifiedBy>
  <cp:revision>3</cp:revision>
  <cp:lastPrinted>2016-07-06T09:46:00Z</cp:lastPrinted>
  <dcterms:created xsi:type="dcterms:W3CDTF">2016-08-09T08:20:00Z</dcterms:created>
  <dcterms:modified xsi:type="dcterms:W3CDTF">2016-08-09T08:20:00Z</dcterms:modified>
</cp:coreProperties>
</file>