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05" w:rsidRPr="00DE6E76" w:rsidRDefault="00240614" w:rsidP="00DE6E76">
      <w:pPr>
        <w:spacing w:after="120" w:line="240" w:lineRule="auto"/>
        <w:jc w:val="both"/>
        <w:rPr>
          <w:rFonts w:ascii="Arial" w:eastAsia="Times New Roman" w:hAnsi="Arial" w:cs="Arial"/>
          <w:sz w:val="20"/>
          <w:szCs w:val="20"/>
        </w:rPr>
      </w:pPr>
      <w:bookmarkStart w:id="0" w:name="_GoBack"/>
      <w:bookmarkEnd w:id="0"/>
      <w:proofErr w:type="gramStart"/>
      <w:r w:rsidRPr="00DE6E76">
        <w:rPr>
          <w:rFonts w:ascii="Arial" w:hAnsi="Arial" w:cs="Arial"/>
          <w:sz w:val="20"/>
          <w:szCs w:val="20"/>
        </w:rPr>
        <w:t xml:space="preserve">Năm 2016, thị trường chứng khoán toàn cầu diễn biến không đồng đều, phản ánh thực trạng và kỳ vọng </w:t>
      </w:r>
      <w:r w:rsidR="00F32122" w:rsidRPr="00DE6E76">
        <w:rPr>
          <w:rFonts w:ascii="Arial" w:hAnsi="Arial" w:cs="Arial"/>
          <w:sz w:val="20"/>
          <w:szCs w:val="20"/>
        </w:rPr>
        <w:t>khác nhau về tình hình tại các nước và khu vực trên thế giới</w:t>
      </w:r>
      <w:r w:rsidRPr="00DE6E76">
        <w:rPr>
          <w:rFonts w:ascii="Arial" w:hAnsi="Arial" w:cs="Arial"/>
          <w:sz w:val="20"/>
          <w:szCs w:val="20"/>
        </w:rPr>
        <w:t>.</w:t>
      </w:r>
      <w:proofErr w:type="gramEnd"/>
      <w:r w:rsidR="006549B8" w:rsidRPr="00DE6E76">
        <w:rPr>
          <w:rFonts w:ascii="Arial" w:hAnsi="Arial" w:cs="Arial"/>
          <w:sz w:val="20"/>
          <w:szCs w:val="20"/>
        </w:rPr>
        <w:t xml:space="preserve"> </w:t>
      </w:r>
      <w:proofErr w:type="gramStart"/>
      <w:r w:rsidR="006549B8" w:rsidRPr="00DE6E76">
        <w:rPr>
          <w:rFonts w:ascii="Arial" w:eastAsia="Times New Roman" w:hAnsi="Arial" w:cs="Arial"/>
          <w:sz w:val="20"/>
          <w:szCs w:val="20"/>
        </w:rPr>
        <w:t>Trong sáu tháng đầu năm, giá dầu giảm xuống mức thấp nhất trong 13 năm qua, trong khi giá USD cũng giảm xuống mức thấp nhất trong năm.</w:t>
      </w:r>
      <w:proofErr w:type="gramEnd"/>
      <w:r w:rsidR="006549B8" w:rsidRPr="00DE6E76">
        <w:rPr>
          <w:rFonts w:ascii="Arial" w:eastAsia="Times New Roman" w:hAnsi="Arial" w:cs="Arial"/>
          <w:sz w:val="20"/>
          <w:szCs w:val="20"/>
        </w:rPr>
        <w:t xml:space="preserve"> Giá dầu giảm </w:t>
      </w:r>
      <w:r w:rsidR="00562870" w:rsidRPr="00DE6E76">
        <w:rPr>
          <w:rFonts w:ascii="Arial" w:eastAsia="Times New Roman" w:hAnsi="Arial" w:cs="Arial"/>
          <w:sz w:val="20"/>
          <w:szCs w:val="20"/>
        </w:rPr>
        <w:t xml:space="preserve">cũng làm trầm trọng thêm tình hình kinh tế trong bối cảnh GDP tăng chậm dần, </w:t>
      </w:r>
      <w:r w:rsidR="006549B8" w:rsidRPr="00DE6E76">
        <w:rPr>
          <w:rFonts w:ascii="Arial" w:eastAsia="Times New Roman" w:hAnsi="Arial" w:cs="Arial"/>
          <w:sz w:val="20"/>
          <w:szCs w:val="20"/>
        </w:rPr>
        <w:t xml:space="preserve">gây tác động lan truyền đến </w:t>
      </w:r>
      <w:r w:rsidR="00562870" w:rsidRPr="00DE6E76">
        <w:rPr>
          <w:rFonts w:ascii="Arial" w:eastAsia="Times New Roman" w:hAnsi="Arial" w:cs="Arial"/>
          <w:sz w:val="20"/>
          <w:szCs w:val="20"/>
        </w:rPr>
        <w:t>nhiều</w:t>
      </w:r>
      <w:r w:rsidR="00F32122" w:rsidRPr="00DE6E76">
        <w:rPr>
          <w:rFonts w:ascii="Arial" w:eastAsia="Times New Roman" w:hAnsi="Arial" w:cs="Arial"/>
          <w:sz w:val="20"/>
          <w:szCs w:val="20"/>
        </w:rPr>
        <w:t xml:space="preserve"> nước trên </w:t>
      </w:r>
      <w:r w:rsidR="006549B8" w:rsidRPr="00DE6E76">
        <w:rPr>
          <w:rFonts w:ascii="Arial" w:eastAsia="Times New Roman" w:hAnsi="Arial" w:cs="Arial"/>
          <w:sz w:val="20"/>
          <w:szCs w:val="20"/>
        </w:rPr>
        <w:t xml:space="preserve">thế giới, nhất là thị trường chứng khoán Ấn Độ và Nhật Bản. </w:t>
      </w:r>
      <w:r w:rsidR="00014D05" w:rsidRPr="00DE6E76">
        <w:rPr>
          <w:rFonts w:ascii="Arial" w:eastAsia="Times New Roman" w:hAnsi="Arial" w:cs="Arial"/>
          <w:sz w:val="20"/>
          <w:szCs w:val="20"/>
        </w:rPr>
        <w:t>Trong sáu tháng cuối năm, sự</w:t>
      </w:r>
      <w:r w:rsidR="007921EA" w:rsidRPr="00DE6E76">
        <w:rPr>
          <w:rFonts w:ascii="Arial" w:eastAsia="Times New Roman" w:hAnsi="Arial" w:cs="Arial"/>
          <w:sz w:val="20"/>
          <w:szCs w:val="20"/>
        </w:rPr>
        <w:t xml:space="preserve"> kiện Brexit và kết quả bầu cử T</w:t>
      </w:r>
      <w:r w:rsidR="00014D05" w:rsidRPr="00DE6E76">
        <w:rPr>
          <w:rFonts w:ascii="Arial" w:eastAsia="Times New Roman" w:hAnsi="Arial" w:cs="Arial"/>
          <w:sz w:val="20"/>
          <w:szCs w:val="20"/>
        </w:rPr>
        <w:t>ổng thống tại Mỹ tiếp tục đẩy kinh tế toàn c</w:t>
      </w:r>
      <w:r w:rsidR="009D1E0D" w:rsidRPr="00DE6E76">
        <w:rPr>
          <w:rFonts w:ascii="Arial" w:eastAsia="Times New Roman" w:hAnsi="Arial" w:cs="Arial"/>
          <w:sz w:val="20"/>
          <w:szCs w:val="20"/>
        </w:rPr>
        <w:t>ầu vào trạng thái</w:t>
      </w:r>
      <w:r w:rsidR="00562870" w:rsidRPr="00DE6E76">
        <w:rPr>
          <w:rFonts w:ascii="Arial" w:eastAsia="Times New Roman" w:hAnsi="Arial" w:cs="Arial"/>
          <w:sz w:val="20"/>
          <w:szCs w:val="20"/>
        </w:rPr>
        <w:t xml:space="preserve"> khó dự báo. Cuối năm</w:t>
      </w:r>
      <w:r w:rsidR="00014D05" w:rsidRPr="00DE6E76">
        <w:rPr>
          <w:rFonts w:ascii="Arial" w:eastAsia="Times New Roman" w:hAnsi="Arial" w:cs="Arial"/>
          <w:sz w:val="20"/>
          <w:szCs w:val="20"/>
        </w:rPr>
        <w:t>, cam kết của các thà</w:t>
      </w:r>
      <w:r w:rsidR="00F32122" w:rsidRPr="00DE6E76">
        <w:rPr>
          <w:rFonts w:ascii="Arial" w:eastAsia="Times New Roman" w:hAnsi="Arial" w:cs="Arial"/>
          <w:sz w:val="20"/>
          <w:szCs w:val="20"/>
        </w:rPr>
        <w:t>nh viên thuộc Tổ chức các nước xu</w:t>
      </w:r>
      <w:r w:rsidR="00014D05" w:rsidRPr="00DE6E76">
        <w:rPr>
          <w:rFonts w:ascii="Arial" w:eastAsia="Times New Roman" w:hAnsi="Arial" w:cs="Arial"/>
          <w:sz w:val="20"/>
          <w:szCs w:val="20"/>
        </w:rPr>
        <w:t xml:space="preserve">ất </w:t>
      </w:r>
      <w:r w:rsidR="00F32122" w:rsidRPr="00DE6E76">
        <w:rPr>
          <w:rFonts w:ascii="Arial" w:eastAsia="Times New Roman" w:hAnsi="Arial" w:cs="Arial"/>
          <w:sz w:val="20"/>
          <w:szCs w:val="20"/>
        </w:rPr>
        <w:t xml:space="preserve">khẩu </w:t>
      </w:r>
      <w:r w:rsidR="00014D05" w:rsidRPr="00DE6E76">
        <w:rPr>
          <w:rFonts w:ascii="Arial" w:eastAsia="Times New Roman" w:hAnsi="Arial" w:cs="Arial"/>
          <w:sz w:val="20"/>
          <w:szCs w:val="20"/>
        </w:rPr>
        <w:t xml:space="preserve">dầu mỏ (OPEC) về cắt giảm sản lượng dầu </w:t>
      </w:r>
      <w:r w:rsidR="00F32122" w:rsidRPr="00DE6E76">
        <w:rPr>
          <w:rFonts w:ascii="Arial" w:eastAsia="Times New Roman" w:hAnsi="Arial" w:cs="Arial"/>
          <w:sz w:val="20"/>
          <w:szCs w:val="20"/>
        </w:rPr>
        <w:t>khai thác đã giúp</w:t>
      </w:r>
      <w:r w:rsidR="00014D05" w:rsidRPr="00DE6E76">
        <w:rPr>
          <w:rFonts w:ascii="Arial" w:eastAsia="Times New Roman" w:hAnsi="Arial" w:cs="Arial"/>
          <w:sz w:val="20"/>
          <w:szCs w:val="20"/>
        </w:rPr>
        <w:t xml:space="preserve"> giá dầu phục hồi mạnh, tạo niềm cảm hứng cho các nhà đầu tư, nhất là tại các nước xuất khẩu dầu mỏ.</w:t>
      </w:r>
    </w:p>
    <w:p w:rsidR="006E0FC0" w:rsidRPr="00DE6E76" w:rsidRDefault="00F32122" w:rsidP="00DE6E76">
      <w:pPr>
        <w:spacing w:after="120" w:line="240" w:lineRule="auto"/>
        <w:jc w:val="center"/>
        <w:rPr>
          <w:rFonts w:ascii="Arial" w:hAnsi="Arial" w:cs="Arial"/>
          <w:b/>
          <w:i/>
          <w:sz w:val="20"/>
          <w:szCs w:val="20"/>
        </w:rPr>
      </w:pPr>
      <w:r w:rsidRPr="00DE6E76">
        <w:rPr>
          <w:rFonts w:ascii="Arial" w:hAnsi="Arial" w:cs="Arial"/>
          <w:b/>
          <w:i/>
          <w:sz w:val="20"/>
          <w:szCs w:val="20"/>
        </w:rPr>
        <w:t>Chỉ số chứng khoán chủ chốt trên thế giới cuối năm 2016</w:t>
      </w:r>
    </w:p>
    <w:tbl>
      <w:tblPr>
        <w:tblStyle w:val="TableGrid"/>
        <w:tblW w:w="0" w:type="auto"/>
        <w:tblInd w:w="918" w:type="dxa"/>
        <w:tblLook w:val="04A0" w:firstRow="1" w:lastRow="0" w:firstColumn="1" w:lastColumn="0" w:noHBand="0" w:noVBand="1"/>
      </w:tblPr>
      <w:tblGrid>
        <w:gridCol w:w="2970"/>
        <w:gridCol w:w="1980"/>
        <w:gridCol w:w="2430"/>
      </w:tblGrid>
      <w:tr w:rsidR="006E0FC0" w:rsidRPr="00DE6E76" w:rsidTr="00DE6E76">
        <w:tc>
          <w:tcPr>
            <w:tcW w:w="2970" w:type="dxa"/>
          </w:tcPr>
          <w:p w:rsidR="006E0FC0" w:rsidRPr="00DE6E76" w:rsidRDefault="006E0FC0" w:rsidP="00DE6E76">
            <w:pPr>
              <w:spacing w:before="60" w:after="60"/>
              <w:jc w:val="center"/>
              <w:rPr>
                <w:rFonts w:ascii="Arial" w:hAnsi="Arial" w:cs="Arial"/>
                <w:b/>
                <w:sz w:val="20"/>
                <w:szCs w:val="20"/>
              </w:rPr>
            </w:pPr>
            <w:r w:rsidRPr="00DE6E76">
              <w:rPr>
                <w:rFonts w:ascii="Arial" w:hAnsi="Arial" w:cs="Arial"/>
                <w:b/>
                <w:sz w:val="20"/>
                <w:szCs w:val="20"/>
              </w:rPr>
              <w:t>Chỉ số chứng khoán</w:t>
            </w:r>
          </w:p>
        </w:tc>
        <w:tc>
          <w:tcPr>
            <w:tcW w:w="1980" w:type="dxa"/>
          </w:tcPr>
          <w:p w:rsidR="006E0FC0" w:rsidRPr="00DE6E76" w:rsidRDefault="006E0FC0" w:rsidP="00DE6E76">
            <w:pPr>
              <w:spacing w:before="60" w:after="60"/>
              <w:jc w:val="center"/>
              <w:rPr>
                <w:rFonts w:ascii="Arial" w:hAnsi="Arial" w:cs="Arial"/>
                <w:b/>
                <w:sz w:val="20"/>
                <w:szCs w:val="20"/>
              </w:rPr>
            </w:pPr>
            <w:r w:rsidRPr="00DE6E76">
              <w:rPr>
                <w:rFonts w:ascii="Arial" w:hAnsi="Arial" w:cs="Arial"/>
                <w:b/>
                <w:sz w:val="20"/>
                <w:szCs w:val="20"/>
              </w:rPr>
              <w:t>Đóng cửa 2016</w:t>
            </w:r>
          </w:p>
        </w:tc>
        <w:tc>
          <w:tcPr>
            <w:tcW w:w="2430" w:type="dxa"/>
          </w:tcPr>
          <w:p w:rsidR="006E0FC0" w:rsidRPr="00DE6E76" w:rsidRDefault="006E0FC0" w:rsidP="00DE6E76">
            <w:pPr>
              <w:spacing w:before="60" w:after="60"/>
              <w:jc w:val="center"/>
              <w:rPr>
                <w:rFonts w:ascii="Arial" w:hAnsi="Arial" w:cs="Arial"/>
                <w:b/>
                <w:sz w:val="20"/>
                <w:szCs w:val="20"/>
              </w:rPr>
            </w:pPr>
            <w:r w:rsidRPr="00DE6E76">
              <w:rPr>
                <w:rFonts w:ascii="Arial" w:hAnsi="Arial" w:cs="Arial"/>
                <w:b/>
                <w:sz w:val="20"/>
                <w:szCs w:val="20"/>
              </w:rPr>
              <w:t>Tăng giảm so 2015 (%)</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Dow Jones</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19.762,60</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13,42</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Nasdaq composite</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5.383,12</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7,5</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S&amp;P 500</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2.238,83</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9,54</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Russell 2000</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1.357,13</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19,48</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NYSE composite</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11.056,90</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9,1</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Canada S&amp;P/TSE composite</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15.287,59</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18,0</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Brazil Bovespa</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60.227,29</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39,0</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Merval Argentina</w:t>
            </w:r>
          </w:p>
        </w:tc>
        <w:tc>
          <w:tcPr>
            <w:tcW w:w="1980" w:type="dxa"/>
          </w:tcPr>
          <w:p w:rsidR="006E0FC0" w:rsidRPr="00DE6E76" w:rsidRDefault="00C3033D" w:rsidP="00DE6E76">
            <w:pPr>
              <w:jc w:val="center"/>
              <w:rPr>
                <w:rFonts w:ascii="Arial" w:hAnsi="Arial" w:cs="Arial"/>
                <w:sz w:val="20"/>
                <w:szCs w:val="20"/>
              </w:rPr>
            </w:pPr>
            <w:r w:rsidRPr="00DE6E76">
              <w:rPr>
                <w:rFonts w:ascii="Arial" w:hAnsi="Arial" w:cs="Arial"/>
                <w:sz w:val="20"/>
                <w:szCs w:val="20"/>
              </w:rPr>
              <w:t>16.924,0</w:t>
            </w:r>
          </w:p>
        </w:tc>
        <w:tc>
          <w:tcPr>
            <w:tcW w:w="2430" w:type="dxa"/>
          </w:tcPr>
          <w:p w:rsidR="006E0FC0" w:rsidRPr="00DE6E76" w:rsidRDefault="00C3033D" w:rsidP="00DE6E76">
            <w:pPr>
              <w:jc w:val="center"/>
              <w:rPr>
                <w:rFonts w:ascii="Arial" w:hAnsi="Arial" w:cs="Arial"/>
                <w:sz w:val="20"/>
                <w:szCs w:val="20"/>
              </w:rPr>
            </w:pPr>
            <w:r w:rsidRPr="00DE6E76">
              <w:rPr>
                <w:rFonts w:ascii="Arial" w:hAnsi="Arial" w:cs="Arial"/>
                <w:sz w:val="20"/>
                <w:szCs w:val="20"/>
              </w:rPr>
              <w:t>46,89</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Europe Stoxx 50</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3.290,52</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0,7</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Stoxx Europe 50</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3.010,55</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-2,89</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Stoxx Europe 600</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361,42</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-1,2</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FTSE 100 Luân Đôn</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7.142,83</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14,43</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CAC 40 Paris</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4.862,31</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4,86</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DAX Frankfurt</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11.481,06</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6,87</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Italy FTSE MIB</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19.234,58</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-10,2</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Spain IBEX 35</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9.352,10</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-2,01</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Bồ Đào Nha PSI 20</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4.679,20</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-11,93</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Thụy Sỹ</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8.219,87</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-6,78</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Đan Mạch OMX Copenhagen</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883,96</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-12,84</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Noway OBX Index</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617,75</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14,61</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Australia All ordinaires</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5.719,10</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7,01</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Australia S&amp;P/ASX</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5.665,8</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6,98</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Nikkei 225</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19.114,37</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0,42</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Japan TOPIX</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1.518,61</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-1,85</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Hongkong Hangseng</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22.000,56</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0,39</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Shanghai composite</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3.103,64</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-12,31</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Thâm Quyến composite</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1.969,11</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-14,72</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Ấn Độ BSE Sensex</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26.626,46</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1,78</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Indonesia JSX Index</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5.302,57</w:t>
            </w:r>
          </w:p>
        </w:tc>
        <w:tc>
          <w:tcPr>
            <w:tcW w:w="2430" w:type="dxa"/>
          </w:tcPr>
          <w:p w:rsidR="006E0FC0" w:rsidRPr="00DE6E76" w:rsidRDefault="009756D4" w:rsidP="00DE6E76">
            <w:pPr>
              <w:jc w:val="center"/>
              <w:rPr>
                <w:rFonts w:ascii="Arial" w:hAnsi="Arial" w:cs="Arial"/>
                <w:sz w:val="20"/>
                <w:szCs w:val="20"/>
              </w:rPr>
            </w:pPr>
            <w:r w:rsidRPr="00DE6E76">
              <w:rPr>
                <w:rFonts w:ascii="Arial" w:hAnsi="Arial" w:cs="Arial"/>
                <w:sz w:val="20"/>
                <w:szCs w:val="20"/>
              </w:rPr>
              <w:t>15,0</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Kopsi Hàn Quốc</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2.026,46</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3,32</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Singapore Straits index</w:t>
            </w:r>
          </w:p>
        </w:tc>
        <w:tc>
          <w:tcPr>
            <w:tcW w:w="198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2.880,76</w:t>
            </w:r>
          </w:p>
        </w:tc>
        <w:tc>
          <w:tcPr>
            <w:tcW w:w="2430" w:type="dxa"/>
          </w:tcPr>
          <w:p w:rsidR="006E0FC0" w:rsidRPr="00DE6E76" w:rsidRDefault="006E0FC0" w:rsidP="00DE6E76">
            <w:pPr>
              <w:jc w:val="center"/>
              <w:rPr>
                <w:rFonts w:ascii="Arial" w:hAnsi="Arial" w:cs="Arial"/>
                <w:sz w:val="20"/>
                <w:szCs w:val="20"/>
              </w:rPr>
            </w:pPr>
            <w:r w:rsidRPr="00DE6E76">
              <w:rPr>
                <w:rFonts w:ascii="Arial" w:hAnsi="Arial" w:cs="Arial"/>
                <w:sz w:val="20"/>
                <w:szCs w:val="20"/>
              </w:rPr>
              <w:t>-0,07</w:t>
            </w:r>
          </w:p>
        </w:tc>
      </w:tr>
      <w:tr w:rsidR="00C12CBF" w:rsidRPr="00DE6E76" w:rsidTr="00DE6E76">
        <w:tc>
          <w:tcPr>
            <w:tcW w:w="2970" w:type="dxa"/>
          </w:tcPr>
          <w:p w:rsidR="00C12CBF" w:rsidRPr="00DE6E76" w:rsidRDefault="00C12CBF" w:rsidP="00DE6E76">
            <w:pPr>
              <w:jc w:val="both"/>
              <w:rPr>
                <w:rFonts w:ascii="Arial" w:hAnsi="Arial" w:cs="Arial"/>
                <w:sz w:val="20"/>
                <w:szCs w:val="20"/>
              </w:rPr>
            </w:pPr>
            <w:r w:rsidRPr="00DE6E76">
              <w:rPr>
                <w:rFonts w:ascii="Arial" w:hAnsi="Arial" w:cs="Arial"/>
                <w:sz w:val="20"/>
                <w:szCs w:val="20"/>
              </w:rPr>
              <w:t>CH Nam Phi</w:t>
            </w:r>
          </w:p>
        </w:tc>
        <w:tc>
          <w:tcPr>
            <w:tcW w:w="1980" w:type="dxa"/>
          </w:tcPr>
          <w:p w:rsidR="00C12CBF" w:rsidRPr="00DE6E76" w:rsidRDefault="00C12CBF" w:rsidP="00DE6E76">
            <w:pPr>
              <w:jc w:val="center"/>
              <w:rPr>
                <w:rFonts w:ascii="Arial" w:hAnsi="Arial" w:cs="Arial"/>
                <w:sz w:val="20"/>
                <w:szCs w:val="20"/>
              </w:rPr>
            </w:pPr>
            <w:r w:rsidRPr="00DE6E76">
              <w:rPr>
                <w:rFonts w:ascii="Arial" w:hAnsi="Arial" w:cs="Arial"/>
                <w:sz w:val="20"/>
                <w:szCs w:val="20"/>
              </w:rPr>
              <w:t>50.653,54</w:t>
            </w:r>
          </w:p>
        </w:tc>
        <w:tc>
          <w:tcPr>
            <w:tcW w:w="2430" w:type="dxa"/>
          </w:tcPr>
          <w:p w:rsidR="00C12CBF" w:rsidRPr="00DE6E76" w:rsidRDefault="00C12CBF" w:rsidP="00DE6E76">
            <w:pPr>
              <w:jc w:val="center"/>
              <w:rPr>
                <w:rFonts w:ascii="Arial" w:hAnsi="Arial" w:cs="Arial"/>
                <w:sz w:val="20"/>
                <w:szCs w:val="20"/>
              </w:rPr>
            </w:pPr>
            <w:r w:rsidRPr="00DE6E76">
              <w:rPr>
                <w:rFonts w:ascii="Arial" w:hAnsi="Arial" w:cs="Arial"/>
                <w:sz w:val="20"/>
                <w:szCs w:val="20"/>
              </w:rPr>
              <w:t>-0,08</w:t>
            </w:r>
          </w:p>
        </w:tc>
      </w:tr>
      <w:tr w:rsidR="006E0FC0" w:rsidRPr="00DE6E76" w:rsidTr="00DE6E76">
        <w:tc>
          <w:tcPr>
            <w:tcW w:w="2970" w:type="dxa"/>
          </w:tcPr>
          <w:p w:rsidR="006E0FC0" w:rsidRPr="00DE6E76" w:rsidRDefault="006E0FC0" w:rsidP="00DE6E76">
            <w:pPr>
              <w:jc w:val="both"/>
              <w:rPr>
                <w:rFonts w:ascii="Arial" w:hAnsi="Arial" w:cs="Arial"/>
                <w:sz w:val="20"/>
                <w:szCs w:val="20"/>
              </w:rPr>
            </w:pPr>
            <w:r w:rsidRPr="00DE6E76">
              <w:rPr>
                <w:rFonts w:ascii="Arial" w:hAnsi="Arial" w:cs="Arial"/>
                <w:sz w:val="20"/>
                <w:szCs w:val="20"/>
              </w:rPr>
              <w:t>HSX Index</w:t>
            </w:r>
          </w:p>
        </w:tc>
        <w:tc>
          <w:tcPr>
            <w:tcW w:w="1980" w:type="dxa"/>
          </w:tcPr>
          <w:p w:rsidR="006E0FC0" w:rsidRPr="00DE6E76" w:rsidRDefault="009D1E0D" w:rsidP="00DE6E76">
            <w:pPr>
              <w:jc w:val="center"/>
              <w:rPr>
                <w:rFonts w:ascii="Arial" w:hAnsi="Arial" w:cs="Arial"/>
                <w:sz w:val="20"/>
                <w:szCs w:val="20"/>
              </w:rPr>
            </w:pPr>
            <w:r w:rsidRPr="00DE6E76">
              <w:rPr>
                <w:rFonts w:ascii="Arial" w:hAnsi="Arial" w:cs="Arial"/>
                <w:sz w:val="20"/>
                <w:szCs w:val="20"/>
                <w:shd w:val="clear" w:color="auto" w:fill="FFFFFF"/>
              </w:rPr>
              <w:t>664,87</w:t>
            </w:r>
          </w:p>
        </w:tc>
        <w:tc>
          <w:tcPr>
            <w:tcW w:w="2430" w:type="dxa"/>
          </w:tcPr>
          <w:p w:rsidR="006E0FC0" w:rsidRPr="00DE6E76" w:rsidRDefault="009D1E0D" w:rsidP="00DE6E76">
            <w:pPr>
              <w:jc w:val="center"/>
              <w:rPr>
                <w:rFonts w:ascii="Arial" w:hAnsi="Arial" w:cs="Arial"/>
                <w:sz w:val="20"/>
                <w:szCs w:val="20"/>
              </w:rPr>
            </w:pPr>
            <w:r w:rsidRPr="00DE6E76">
              <w:rPr>
                <w:rFonts w:ascii="Arial" w:hAnsi="Arial" w:cs="Arial"/>
                <w:sz w:val="20"/>
                <w:szCs w:val="20"/>
                <w:shd w:val="clear" w:color="auto" w:fill="FFFFFF"/>
              </w:rPr>
              <w:t>14,82</w:t>
            </w:r>
          </w:p>
        </w:tc>
      </w:tr>
      <w:tr w:rsidR="006E0FC0" w:rsidRPr="00DE6E76" w:rsidTr="00DE6E76">
        <w:tc>
          <w:tcPr>
            <w:tcW w:w="2970" w:type="dxa"/>
          </w:tcPr>
          <w:p w:rsidR="006E0FC0" w:rsidRPr="00DE6E76" w:rsidRDefault="006E0FC0" w:rsidP="00DE6E76">
            <w:pPr>
              <w:spacing w:after="60"/>
              <w:jc w:val="both"/>
              <w:rPr>
                <w:rFonts w:ascii="Arial" w:hAnsi="Arial" w:cs="Arial"/>
                <w:sz w:val="20"/>
                <w:szCs w:val="20"/>
              </w:rPr>
            </w:pPr>
            <w:r w:rsidRPr="00DE6E76">
              <w:rPr>
                <w:rFonts w:ascii="Arial" w:hAnsi="Arial" w:cs="Arial"/>
                <w:sz w:val="20"/>
                <w:szCs w:val="20"/>
              </w:rPr>
              <w:t>HNX Index</w:t>
            </w:r>
          </w:p>
        </w:tc>
        <w:tc>
          <w:tcPr>
            <w:tcW w:w="1980" w:type="dxa"/>
          </w:tcPr>
          <w:p w:rsidR="006E0FC0" w:rsidRPr="00DE6E76" w:rsidRDefault="009D1E0D" w:rsidP="00DE6E76">
            <w:pPr>
              <w:spacing w:after="60"/>
              <w:jc w:val="center"/>
              <w:rPr>
                <w:rFonts w:ascii="Arial" w:hAnsi="Arial" w:cs="Arial"/>
                <w:sz w:val="20"/>
                <w:szCs w:val="20"/>
              </w:rPr>
            </w:pPr>
            <w:r w:rsidRPr="00DE6E76">
              <w:rPr>
                <w:rFonts w:ascii="Arial" w:hAnsi="Arial" w:cs="Arial"/>
                <w:sz w:val="20"/>
                <w:szCs w:val="20"/>
                <w:shd w:val="clear" w:color="auto" w:fill="FFFFFF"/>
              </w:rPr>
              <w:t>80,12</w:t>
            </w:r>
          </w:p>
        </w:tc>
        <w:tc>
          <w:tcPr>
            <w:tcW w:w="2430" w:type="dxa"/>
          </w:tcPr>
          <w:p w:rsidR="006E0FC0" w:rsidRPr="00DE6E76" w:rsidRDefault="009D1E0D" w:rsidP="00DE6E76">
            <w:pPr>
              <w:spacing w:after="60"/>
              <w:jc w:val="center"/>
              <w:rPr>
                <w:rFonts w:ascii="Arial" w:hAnsi="Arial" w:cs="Arial"/>
                <w:sz w:val="20"/>
                <w:szCs w:val="20"/>
              </w:rPr>
            </w:pPr>
            <w:r w:rsidRPr="00DE6E76">
              <w:rPr>
                <w:rFonts w:ascii="Arial" w:hAnsi="Arial" w:cs="Arial"/>
                <w:sz w:val="20"/>
                <w:szCs w:val="20"/>
                <w:shd w:val="clear" w:color="auto" w:fill="FFFFFF"/>
              </w:rPr>
              <w:t>0,20</w:t>
            </w:r>
          </w:p>
        </w:tc>
      </w:tr>
    </w:tbl>
    <w:p w:rsidR="006549B8" w:rsidRPr="00DE6E76" w:rsidRDefault="009D1E0D" w:rsidP="00DE6E76">
      <w:pPr>
        <w:pStyle w:val="ListParagraph"/>
        <w:spacing w:after="60" w:line="240" w:lineRule="auto"/>
        <w:ind w:left="360"/>
        <w:jc w:val="right"/>
        <w:rPr>
          <w:rFonts w:ascii="Arial" w:eastAsia="Times New Roman" w:hAnsi="Arial" w:cs="Arial"/>
          <w:i/>
          <w:sz w:val="16"/>
          <w:szCs w:val="16"/>
        </w:rPr>
      </w:pPr>
      <w:r w:rsidRPr="00DE6E76">
        <w:rPr>
          <w:rFonts w:ascii="Arial" w:eastAsia="Times New Roman" w:hAnsi="Arial" w:cs="Arial"/>
          <w:i/>
          <w:sz w:val="16"/>
          <w:szCs w:val="16"/>
        </w:rPr>
        <w:t>Nguồn: Bloomberg, Reutres, WS. Journal</w:t>
      </w:r>
    </w:p>
    <w:p w:rsidR="00240614" w:rsidRPr="00DE6E76" w:rsidRDefault="00240614" w:rsidP="00DE6E76">
      <w:pPr>
        <w:spacing w:after="120" w:line="240" w:lineRule="auto"/>
        <w:jc w:val="both"/>
        <w:rPr>
          <w:rFonts w:ascii="Arial" w:hAnsi="Arial" w:cs="Arial"/>
          <w:sz w:val="20"/>
          <w:szCs w:val="20"/>
        </w:rPr>
      </w:pPr>
      <w:r w:rsidRPr="00DE6E76">
        <w:rPr>
          <w:rFonts w:ascii="Arial" w:hAnsi="Arial" w:cs="Arial"/>
          <w:sz w:val="20"/>
          <w:szCs w:val="20"/>
        </w:rPr>
        <w:t>Tại Mỹ, các thị trường chứng khoán g</w:t>
      </w:r>
      <w:r w:rsidR="008B58C9" w:rsidRPr="00DE6E76">
        <w:rPr>
          <w:rFonts w:ascii="Arial" w:hAnsi="Arial" w:cs="Arial"/>
          <w:sz w:val="20"/>
          <w:szCs w:val="20"/>
        </w:rPr>
        <w:t>h</w:t>
      </w:r>
      <w:r w:rsidRPr="00DE6E76">
        <w:rPr>
          <w:rFonts w:ascii="Arial" w:hAnsi="Arial" w:cs="Arial"/>
          <w:sz w:val="20"/>
          <w:szCs w:val="20"/>
        </w:rPr>
        <w:t xml:space="preserve">i nhận 4 năm tăng điểm kể từ năm 2011, mặc dù </w:t>
      </w:r>
      <w:r w:rsidR="008B58C9" w:rsidRPr="00DE6E76">
        <w:rPr>
          <w:rFonts w:ascii="Arial" w:hAnsi="Arial" w:cs="Arial"/>
          <w:sz w:val="20"/>
          <w:szCs w:val="20"/>
        </w:rPr>
        <w:t xml:space="preserve">trải qua thời gian </w:t>
      </w:r>
      <w:r w:rsidRPr="00DE6E76">
        <w:rPr>
          <w:rFonts w:ascii="Arial" w:hAnsi="Arial" w:cs="Arial"/>
          <w:sz w:val="20"/>
          <w:szCs w:val="20"/>
        </w:rPr>
        <w:t>suy giảm d</w:t>
      </w:r>
      <w:r w:rsidR="008B58C9" w:rsidRPr="00DE6E76">
        <w:rPr>
          <w:rFonts w:ascii="Arial" w:hAnsi="Arial" w:cs="Arial"/>
          <w:sz w:val="20"/>
          <w:szCs w:val="20"/>
        </w:rPr>
        <w:t>ài nhất</w:t>
      </w:r>
      <w:r w:rsidRPr="00DE6E76">
        <w:rPr>
          <w:rFonts w:ascii="Arial" w:hAnsi="Arial" w:cs="Arial"/>
          <w:sz w:val="20"/>
          <w:szCs w:val="20"/>
        </w:rPr>
        <w:t xml:space="preserve"> sau kết quả bầu cử</w:t>
      </w:r>
      <w:r w:rsidR="007921EA" w:rsidRPr="00DE6E76">
        <w:rPr>
          <w:rFonts w:ascii="Arial" w:hAnsi="Arial" w:cs="Arial"/>
          <w:sz w:val="20"/>
          <w:szCs w:val="20"/>
        </w:rPr>
        <w:t xml:space="preserve"> T</w:t>
      </w:r>
      <w:r w:rsidRPr="00DE6E76">
        <w:rPr>
          <w:rFonts w:ascii="Arial" w:hAnsi="Arial" w:cs="Arial"/>
          <w:sz w:val="20"/>
          <w:szCs w:val="20"/>
        </w:rPr>
        <w:t xml:space="preserve">ổng thống vào đầu tháng 11/2016. Trong đó, </w:t>
      </w:r>
      <w:r w:rsidR="008B58C9" w:rsidRPr="00DE6E76">
        <w:rPr>
          <w:rFonts w:ascii="Arial" w:hAnsi="Arial" w:cs="Arial"/>
          <w:sz w:val="20"/>
          <w:szCs w:val="20"/>
        </w:rPr>
        <w:t>chỉ số công nghiệp Dow Jones đóng cửa ở mức 19.762,6 điể</w:t>
      </w:r>
      <w:r w:rsidR="00562870" w:rsidRPr="00DE6E76">
        <w:rPr>
          <w:rFonts w:ascii="Arial" w:hAnsi="Arial" w:cs="Arial"/>
          <w:sz w:val="20"/>
          <w:szCs w:val="20"/>
        </w:rPr>
        <w:t>m,</w:t>
      </w:r>
      <w:r w:rsidR="008C53F2" w:rsidRPr="00DE6E76">
        <w:rPr>
          <w:rFonts w:ascii="Arial" w:hAnsi="Arial" w:cs="Arial"/>
          <w:sz w:val="20"/>
          <w:szCs w:val="20"/>
        </w:rPr>
        <w:t xml:space="preserve"> </w:t>
      </w:r>
      <w:r w:rsidR="008B58C9" w:rsidRPr="00DE6E76">
        <w:rPr>
          <w:rFonts w:ascii="Arial" w:hAnsi="Arial" w:cs="Arial"/>
          <w:sz w:val="20"/>
          <w:szCs w:val="20"/>
        </w:rPr>
        <w:t>tăng 13,4% so với cuối năm trước,</w:t>
      </w:r>
      <w:r w:rsidR="008C53F2" w:rsidRPr="00DE6E76">
        <w:rPr>
          <w:rFonts w:ascii="Arial" w:hAnsi="Arial" w:cs="Arial"/>
          <w:sz w:val="20"/>
          <w:szCs w:val="20"/>
        </w:rPr>
        <w:t xml:space="preserve"> nhưng</w:t>
      </w:r>
      <w:r w:rsidR="008B58C9" w:rsidRPr="00DE6E76">
        <w:rPr>
          <w:rFonts w:ascii="Arial" w:hAnsi="Arial" w:cs="Arial"/>
          <w:sz w:val="20"/>
          <w:szCs w:val="20"/>
        </w:rPr>
        <w:t xml:space="preserve"> thấp hơn kết quả</w:t>
      </w:r>
      <w:r w:rsidR="008C53F2" w:rsidRPr="00DE6E76">
        <w:rPr>
          <w:rFonts w:ascii="Arial" w:hAnsi="Arial" w:cs="Arial"/>
          <w:sz w:val="20"/>
          <w:szCs w:val="20"/>
        </w:rPr>
        <w:t xml:space="preserve"> tăng </w:t>
      </w:r>
      <w:r w:rsidR="008B58C9" w:rsidRPr="00DE6E76">
        <w:rPr>
          <w:rFonts w:ascii="Arial" w:hAnsi="Arial" w:cs="Arial"/>
          <w:sz w:val="20"/>
          <w:szCs w:val="20"/>
        </w:rPr>
        <w:t xml:space="preserve">vốn đã đạt được trong </w:t>
      </w:r>
      <w:r w:rsidR="008C53F2" w:rsidRPr="00DE6E76">
        <w:rPr>
          <w:rFonts w:ascii="Arial" w:hAnsi="Arial" w:cs="Arial"/>
          <w:sz w:val="20"/>
          <w:szCs w:val="20"/>
        </w:rPr>
        <w:t>tuần lễ cuối năm với khối lượng giao dịch giảm trên 29% so với chỉ số trung bình trong tháng 12/2016</w:t>
      </w:r>
      <w:r w:rsidR="008B58C9" w:rsidRPr="00DE6E76">
        <w:rPr>
          <w:rFonts w:ascii="Arial" w:hAnsi="Arial" w:cs="Arial"/>
          <w:sz w:val="20"/>
          <w:szCs w:val="20"/>
        </w:rPr>
        <w:t xml:space="preserve">; chỉ số công nghệ Nasdaq composite đóng cửa ở mức 5.383,12, tăng 7,5%; chỉ số S&amp;P 500 </w:t>
      </w:r>
      <w:r w:rsidR="00D9699C" w:rsidRPr="00DE6E76">
        <w:rPr>
          <w:rFonts w:ascii="Arial" w:hAnsi="Arial" w:cs="Arial"/>
          <w:sz w:val="20"/>
          <w:szCs w:val="20"/>
        </w:rPr>
        <w:t xml:space="preserve">của 500 doanh nghiệp có mức vốn hóa lớn nhất thị trường </w:t>
      </w:r>
      <w:r w:rsidR="008B58C9" w:rsidRPr="00DE6E76">
        <w:rPr>
          <w:rFonts w:ascii="Arial" w:hAnsi="Arial" w:cs="Arial"/>
          <w:sz w:val="20"/>
          <w:szCs w:val="20"/>
        </w:rPr>
        <w:t xml:space="preserve">đóng cửa ở mức 2.238,83 điểm, </w:t>
      </w:r>
      <w:r w:rsidR="008B58C9" w:rsidRPr="00DE6E76">
        <w:rPr>
          <w:rFonts w:ascii="Arial" w:hAnsi="Arial" w:cs="Arial"/>
          <w:sz w:val="20"/>
          <w:szCs w:val="20"/>
        </w:rPr>
        <w:lastRenderedPageBreak/>
        <w:t>tăng 9,5%</w:t>
      </w:r>
      <w:r w:rsidR="008C53F2" w:rsidRPr="00DE6E76">
        <w:rPr>
          <w:rFonts w:ascii="Arial" w:hAnsi="Arial" w:cs="Arial"/>
          <w:sz w:val="20"/>
          <w:szCs w:val="20"/>
        </w:rPr>
        <w:t xml:space="preserve"> so với đầu năm, nhưng mức sụt giảm trong ba phiên cuối cùng trong năm đã đẩy chỉ số này xuống mức thấp nhất kể từ ngày 06/12/2016</w:t>
      </w:r>
      <w:r w:rsidR="008B58C9" w:rsidRPr="00DE6E76">
        <w:rPr>
          <w:rFonts w:ascii="Arial" w:hAnsi="Arial" w:cs="Arial"/>
          <w:sz w:val="20"/>
          <w:szCs w:val="20"/>
        </w:rPr>
        <w:t>; chỉ số NYSE composite đóng cửa ở mức 11.056,9 điểm, tăng 9,0%</w:t>
      </w:r>
      <w:r w:rsidR="00BB3767" w:rsidRPr="00DE6E76">
        <w:rPr>
          <w:rFonts w:ascii="Arial" w:hAnsi="Arial" w:cs="Arial"/>
          <w:sz w:val="20"/>
          <w:szCs w:val="20"/>
        </w:rPr>
        <w:t xml:space="preserve">. </w:t>
      </w:r>
    </w:p>
    <w:p w:rsidR="00DE69D4" w:rsidRPr="00DE6E76" w:rsidRDefault="00D5242A" w:rsidP="00DE6E76">
      <w:pPr>
        <w:shd w:val="clear" w:color="auto" w:fill="FFFFFF"/>
        <w:spacing w:after="120" w:line="240" w:lineRule="auto"/>
        <w:jc w:val="both"/>
        <w:rPr>
          <w:rFonts w:ascii="Arial" w:eastAsia="Times New Roman" w:hAnsi="Arial" w:cs="Arial"/>
          <w:sz w:val="20"/>
          <w:szCs w:val="20"/>
        </w:rPr>
      </w:pPr>
      <w:r w:rsidRPr="00DE6E76">
        <w:rPr>
          <w:rFonts w:ascii="Arial" w:eastAsia="Times New Roman" w:hAnsi="Arial" w:cs="Arial"/>
          <w:sz w:val="20"/>
          <w:szCs w:val="20"/>
        </w:rPr>
        <w:t>Bên ngoài nước Mỹ, nhiều thị trường chứng khoán tại châu Mỹ cũng đồng loạt tăng điểm. Trong đó</w:t>
      </w:r>
      <w:r w:rsidR="005D0BA8" w:rsidRPr="00DE6E76">
        <w:rPr>
          <w:rFonts w:ascii="Arial" w:eastAsia="Times New Roman" w:hAnsi="Arial" w:cs="Arial"/>
          <w:sz w:val="20"/>
          <w:szCs w:val="20"/>
        </w:rPr>
        <w:t xml:space="preserve">, chỉ số S&amp;P/TSX </w:t>
      </w:r>
      <w:r w:rsidRPr="00DE6E76">
        <w:rPr>
          <w:rFonts w:ascii="Arial" w:eastAsia="Times New Roman" w:hAnsi="Arial" w:cs="Arial"/>
          <w:sz w:val="20"/>
          <w:szCs w:val="20"/>
        </w:rPr>
        <w:t xml:space="preserve">tại Canada giảm dần vào cuối phiên, nhưng vẫn </w:t>
      </w:r>
      <w:r w:rsidR="005D0BA8" w:rsidRPr="00DE6E76">
        <w:rPr>
          <w:rFonts w:ascii="Arial" w:eastAsia="Times New Roman" w:hAnsi="Arial" w:cs="Arial"/>
          <w:sz w:val="20"/>
          <w:szCs w:val="20"/>
        </w:rPr>
        <w:t xml:space="preserve">chốt phiên giao dịch cuối năm ở mức 15.287,59 điểm, tăng tới 18% so với đầu năm, mức tăng cao nhất trong số 24 nền kinh tế phát triển. </w:t>
      </w:r>
      <w:r w:rsidR="00562870" w:rsidRPr="00DE6E76">
        <w:rPr>
          <w:rFonts w:ascii="Arial" w:eastAsia="Times New Roman" w:hAnsi="Arial" w:cs="Arial"/>
          <w:sz w:val="20"/>
          <w:szCs w:val="20"/>
        </w:rPr>
        <w:t>Theo nhận định của một số chuyên gia kinh tế</w:t>
      </w:r>
      <w:r w:rsidR="00DE69D4" w:rsidRPr="00DE6E76">
        <w:rPr>
          <w:rFonts w:ascii="Arial" w:eastAsia="Times New Roman" w:hAnsi="Arial" w:cs="Arial"/>
          <w:sz w:val="20"/>
          <w:szCs w:val="20"/>
        </w:rPr>
        <w:t>, thị trường chứng khoán Canada phục hồi từ mức thấp trong tháng 01/2016 và hưởng lợi từ sự kiện ông Trump đắc cử tổng thống Mỹ khi</w:t>
      </w:r>
      <w:r w:rsidR="00D57B8B" w:rsidRPr="00DE6E76">
        <w:rPr>
          <w:rFonts w:ascii="Arial" w:eastAsia="Times New Roman" w:hAnsi="Arial" w:cs="Arial"/>
          <w:sz w:val="20"/>
          <w:szCs w:val="20"/>
        </w:rPr>
        <w:t xml:space="preserve">, những </w:t>
      </w:r>
      <w:r w:rsidR="00DE69D4" w:rsidRPr="00DE6E76">
        <w:rPr>
          <w:rFonts w:ascii="Arial" w:eastAsia="Times New Roman" w:hAnsi="Arial" w:cs="Arial"/>
          <w:sz w:val="20"/>
          <w:szCs w:val="20"/>
        </w:rPr>
        <w:t xml:space="preserve">đề xuất </w:t>
      </w:r>
      <w:r w:rsidR="00D57B8B" w:rsidRPr="00DE6E76">
        <w:rPr>
          <w:rFonts w:ascii="Arial" w:eastAsia="Times New Roman" w:hAnsi="Arial" w:cs="Arial"/>
          <w:sz w:val="20"/>
          <w:szCs w:val="20"/>
        </w:rPr>
        <w:t>về thay đổi chính sách tại Mỹ sẽ gây tác động</w:t>
      </w:r>
      <w:r w:rsidR="00DE69D4" w:rsidRPr="00DE6E76">
        <w:rPr>
          <w:rFonts w:ascii="Arial" w:eastAsia="Times New Roman" w:hAnsi="Arial" w:cs="Arial"/>
          <w:sz w:val="20"/>
          <w:szCs w:val="20"/>
        </w:rPr>
        <w:t xml:space="preserve"> tích cực</w:t>
      </w:r>
      <w:r w:rsidR="00D57B8B" w:rsidRPr="00DE6E76">
        <w:rPr>
          <w:rFonts w:ascii="Arial" w:eastAsia="Times New Roman" w:hAnsi="Arial" w:cs="Arial"/>
          <w:sz w:val="20"/>
          <w:szCs w:val="20"/>
        </w:rPr>
        <w:t xml:space="preserve"> trong thời gian tới cho Canada và cổ phiếu Canada.</w:t>
      </w:r>
    </w:p>
    <w:p w:rsidR="006E0FC0" w:rsidRPr="00DE6E76" w:rsidRDefault="005D0BA8" w:rsidP="00DE6E76">
      <w:pPr>
        <w:shd w:val="clear" w:color="auto" w:fill="FFFFFF"/>
        <w:spacing w:after="120" w:line="240" w:lineRule="auto"/>
        <w:jc w:val="both"/>
        <w:rPr>
          <w:rFonts w:ascii="Arial" w:eastAsia="Times New Roman" w:hAnsi="Arial" w:cs="Arial"/>
          <w:sz w:val="20"/>
          <w:szCs w:val="20"/>
        </w:rPr>
      </w:pPr>
      <w:r w:rsidRPr="00DE6E76">
        <w:rPr>
          <w:rFonts w:ascii="Arial" w:eastAsia="Times New Roman" w:hAnsi="Arial" w:cs="Arial"/>
          <w:sz w:val="20"/>
          <w:szCs w:val="20"/>
        </w:rPr>
        <w:t xml:space="preserve">Đáng chú ý, </w:t>
      </w:r>
      <w:r w:rsidR="00D5242A" w:rsidRPr="00DE6E76">
        <w:rPr>
          <w:rFonts w:ascii="Arial" w:eastAsia="Times New Roman" w:hAnsi="Arial" w:cs="Arial"/>
          <w:sz w:val="20"/>
          <w:szCs w:val="20"/>
        </w:rPr>
        <w:t>chỉ số Merval tại Argentina tăng tới 45%, phản ánh tâm lý lạc quan về những thay đổi</w:t>
      </w:r>
      <w:r w:rsidR="00562870" w:rsidRPr="00DE6E76">
        <w:rPr>
          <w:rFonts w:ascii="Arial" w:eastAsia="Times New Roman" w:hAnsi="Arial" w:cs="Arial"/>
          <w:sz w:val="20"/>
          <w:szCs w:val="20"/>
        </w:rPr>
        <w:t xml:space="preserve"> trong nước sau khi Chính phủ tiến hành</w:t>
      </w:r>
      <w:r w:rsidR="00D5242A" w:rsidRPr="00DE6E76">
        <w:rPr>
          <w:rFonts w:ascii="Arial" w:eastAsia="Times New Roman" w:hAnsi="Arial" w:cs="Arial"/>
          <w:sz w:val="20"/>
          <w:szCs w:val="20"/>
        </w:rPr>
        <w:t xml:space="preserve"> xóa bỏ kiểm soát ti</w:t>
      </w:r>
      <w:r w:rsidR="00562870" w:rsidRPr="00DE6E76">
        <w:rPr>
          <w:rFonts w:ascii="Arial" w:eastAsia="Times New Roman" w:hAnsi="Arial" w:cs="Arial"/>
          <w:sz w:val="20"/>
          <w:szCs w:val="20"/>
        </w:rPr>
        <w:t>ền tệ, kết thúc 15 năm căng thẳng</w:t>
      </w:r>
      <w:r w:rsidR="00D5242A" w:rsidRPr="00DE6E76">
        <w:rPr>
          <w:rFonts w:ascii="Arial" w:eastAsia="Times New Roman" w:hAnsi="Arial" w:cs="Arial"/>
          <w:sz w:val="20"/>
          <w:szCs w:val="20"/>
        </w:rPr>
        <w:t xml:space="preserve"> với nhiều quỹ đầu tư Mỹ. </w:t>
      </w:r>
      <w:r w:rsidR="00562870" w:rsidRPr="00DE6E76">
        <w:rPr>
          <w:rFonts w:ascii="Arial" w:eastAsia="Times New Roman" w:hAnsi="Arial" w:cs="Arial"/>
          <w:sz w:val="20"/>
          <w:szCs w:val="20"/>
        </w:rPr>
        <w:t>Các nhà đầu tư kỳ vọng, Tổng thống</w:t>
      </w:r>
      <w:r w:rsidR="00D5242A" w:rsidRPr="00DE6E76">
        <w:rPr>
          <w:rFonts w:ascii="Arial" w:eastAsia="Times New Roman" w:hAnsi="Arial" w:cs="Arial"/>
          <w:sz w:val="20"/>
          <w:szCs w:val="20"/>
        </w:rPr>
        <w:t xml:space="preserve"> Mauricio Macri đắc cử hồi cuối năm 2015 sẽ hồi sinh nền kinh tế trì</w:t>
      </w:r>
      <w:r w:rsidR="00A01228" w:rsidRPr="00DE6E76">
        <w:rPr>
          <w:rFonts w:ascii="Arial" w:eastAsia="Times New Roman" w:hAnsi="Arial" w:cs="Arial"/>
          <w:sz w:val="20"/>
          <w:szCs w:val="20"/>
        </w:rPr>
        <w:t xml:space="preserve"> trệ và tình hình tài chính khó khăn tại Argentina</w:t>
      </w:r>
      <w:r w:rsidR="00D5242A" w:rsidRPr="00DE6E76">
        <w:rPr>
          <w:rFonts w:ascii="Arial" w:eastAsia="Times New Roman" w:hAnsi="Arial" w:cs="Arial"/>
          <w:sz w:val="20"/>
          <w:szCs w:val="20"/>
        </w:rPr>
        <w:t xml:space="preserve">. Tương tự, </w:t>
      </w:r>
      <w:r w:rsidRPr="00DE6E76">
        <w:rPr>
          <w:rFonts w:ascii="Arial" w:eastAsia="Times New Roman" w:hAnsi="Arial" w:cs="Arial"/>
          <w:sz w:val="20"/>
          <w:szCs w:val="20"/>
        </w:rPr>
        <w:t>chỉ số Bovespa tại Brazil tăng tới 39%,</w:t>
      </w:r>
      <w:r w:rsidR="00A01228" w:rsidRPr="00DE6E76">
        <w:rPr>
          <w:rFonts w:ascii="Arial" w:eastAsia="Times New Roman" w:hAnsi="Arial" w:cs="Arial"/>
          <w:sz w:val="20"/>
          <w:szCs w:val="20"/>
        </w:rPr>
        <w:t xml:space="preserve"> phản ánh triển vọng lạc quan của</w:t>
      </w:r>
      <w:r w:rsidRPr="00DE6E76">
        <w:rPr>
          <w:rFonts w:ascii="Arial" w:eastAsia="Times New Roman" w:hAnsi="Arial" w:cs="Arial"/>
          <w:sz w:val="20"/>
          <w:szCs w:val="20"/>
        </w:rPr>
        <w:t xml:space="preserve"> nền kinh tế này sau những nỗ lực liên tiếp trong việc khắc phục khó khăn và bất ổn kinh tế trong những năm qua, với GDP năm 2017 dự báo sẽ tăng 0</w:t>
      </w:r>
      <w:proofErr w:type="gramStart"/>
      <w:r w:rsidRPr="00DE6E76">
        <w:rPr>
          <w:rFonts w:ascii="Arial" w:eastAsia="Times New Roman" w:hAnsi="Arial" w:cs="Arial"/>
          <w:sz w:val="20"/>
          <w:szCs w:val="20"/>
        </w:rPr>
        <w:t>,5</w:t>
      </w:r>
      <w:proofErr w:type="gramEnd"/>
      <w:r w:rsidRPr="00DE6E76">
        <w:rPr>
          <w:rFonts w:ascii="Arial" w:eastAsia="Times New Roman" w:hAnsi="Arial" w:cs="Arial"/>
          <w:sz w:val="20"/>
          <w:szCs w:val="20"/>
        </w:rPr>
        <w:t>% sau khi giảm 3,3% trong năm 2016 và giảm sâu trong những năm trước đó.</w:t>
      </w:r>
    </w:p>
    <w:p w:rsidR="006E0FC0" w:rsidRPr="00DE6E76" w:rsidRDefault="006E0FC0" w:rsidP="00DE6E76">
      <w:pPr>
        <w:shd w:val="clear" w:color="auto" w:fill="FFFFFF"/>
        <w:spacing w:after="120" w:line="240" w:lineRule="auto"/>
        <w:jc w:val="both"/>
        <w:rPr>
          <w:rFonts w:ascii="Arial" w:eastAsia="Times New Roman" w:hAnsi="Arial" w:cs="Arial"/>
          <w:sz w:val="20"/>
          <w:szCs w:val="20"/>
        </w:rPr>
      </w:pPr>
      <w:r w:rsidRPr="00DE6E76">
        <w:rPr>
          <w:rFonts w:ascii="Arial" w:eastAsia="Times New Roman" w:hAnsi="Arial" w:cs="Arial"/>
          <w:sz w:val="20"/>
          <w:szCs w:val="20"/>
        </w:rPr>
        <w:t xml:space="preserve">Tại châu Âu, </w:t>
      </w:r>
      <w:r w:rsidR="00C12CBF" w:rsidRPr="00DE6E76">
        <w:rPr>
          <w:rFonts w:ascii="Arial" w:eastAsia="Times New Roman" w:hAnsi="Arial" w:cs="Arial"/>
          <w:sz w:val="20"/>
          <w:szCs w:val="20"/>
        </w:rPr>
        <w:t>c</w:t>
      </w:r>
      <w:r w:rsidR="00F32122" w:rsidRPr="00DE6E76">
        <w:rPr>
          <w:rFonts w:ascii="Arial" w:eastAsia="Times New Roman" w:hAnsi="Arial" w:cs="Arial"/>
          <w:sz w:val="20"/>
          <w:szCs w:val="20"/>
        </w:rPr>
        <w:t>hỉ số FTSE 100 tại VQ</w:t>
      </w:r>
      <w:r w:rsidRPr="00DE6E76">
        <w:rPr>
          <w:rFonts w:ascii="Arial" w:eastAsia="Times New Roman" w:hAnsi="Arial" w:cs="Arial"/>
          <w:sz w:val="20"/>
          <w:szCs w:val="20"/>
        </w:rPr>
        <w:t xml:space="preserve"> Anh tăng 14</w:t>
      </w:r>
      <w:proofErr w:type="gramStart"/>
      <w:r w:rsidRPr="00DE6E76">
        <w:rPr>
          <w:rFonts w:ascii="Arial" w:eastAsia="Times New Roman" w:hAnsi="Arial" w:cs="Arial"/>
          <w:sz w:val="20"/>
          <w:szCs w:val="20"/>
        </w:rPr>
        <w:t>,4</w:t>
      </w:r>
      <w:proofErr w:type="gramEnd"/>
      <w:r w:rsidRPr="00DE6E76">
        <w:rPr>
          <w:rFonts w:ascii="Arial" w:eastAsia="Times New Roman" w:hAnsi="Arial" w:cs="Arial"/>
          <w:sz w:val="20"/>
          <w:szCs w:val="20"/>
        </w:rPr>
        <w:t xml:space="preserve">%, </w:t>
      </w:r>
      <w:r w:rsidR="00A01228" w:rsidRPr="00DE6E76">
        <w:rPr>
          <w:rFonts w:ascii="Arial" w:eastAsia="Times New Roman" w:hAnsi="Arial" w:cs="Arial"/>
          <w:sz w:val="20"/>
          <w:szCs w:val="20"/>
        </w:rPr>
        <w:t>ghi nhận năm tăng điểm</w:t>
      </w:r>
      <w:r w:rsidR="00447C15" w:rsidRPr="00DE6E76">
        <w:rPr>
          <w:rFonts w:ascii="Arial" w:eastAsia="Times New Roman" w:hAnsi="Arial" w:cs="Arial"/>
          <w:sz w:val="20"/>
          <w:szCs w:val="20"/>
        </w:rPr>
        <w:t xml:space="preserve"> đầu tiên kể từ năm 2013. Nguyên nhân cơ bản dẫn đến kết quả tăng trưởng ấn tượng này được cho là, sự mất giá khá sâu của</w:t>
      </w:r>
      <w:r w:rsidR="00C12CBF" w:rsidRPr="00DE6E76">
        <w:rPr>
          <w:rFonts w:ascii="Arial" w:eastAsia="Times New Roman" w:hAnsi="Arial" w:cs="Arial"/>
          <w:sz w:val="20"/>
          <w:szCs w:val="20"/>
        </w:rPr>
        <w:t xml:space="preserve"> bảng Anh đã hỗ trợ xuất khẩu và khuyến khích các nhà đầu tư đẩy mạnh hoạt động sản xuất</w:t>
      </w:r>
      <w:r w:rsidR="00447C15" w:rsidRPr="00DE6E76">
        <w:rPr>
          <w:rFonts w:ascii="Arial" w:eastAsia="Times New Roman" w:hAnsi="Arial" w:cs="Arial"/>
          <w:sz w:val="20"/>
          <w:szCs w:val="20"/>
        </w:rPr>
        <w:t>,</w:t>
      </w:r>
      <w:r w:rsidR="00C12CBF" w:rsidRPr="00DE6E76">
        <w:rPr>
          <w:rFonts w:ascii="Arial" w:eastAsia="Times New Roman" w:hAnsi="Arial" w:cs="Arial"/>
          <w:sz w:val="20"/>
          <w:szCs w:val="20"/>
        </w:rPr>
        <w:t xml:space="preserve"> kinh doanh. </w:t>
      </w:r>
      <w:r w:rsidR="0001055E" w:rsidRPr="00DE6E76">
        <w:rPr>
          <w:rFonts w:ascii="Arial" w:eastAsia="Times New Roman" w:hAnsi="Arial" w:cs="Arial"/>
          <w:sz w:val="20"/>
          <w:szCs w:val="20"/>
        </w:rPr>
        <w:t>Ngoài ra, số liệu khả quan hơn so với dự kiến và việ</w:t>
      </w:r>
      <w:r w:rsidR="00A01228" w:rsidRPr="00DE6E76">
        <w:rPr>
          <w:rFonts w:ascii="Arial" w:eastAsia="Times New Roman" w:hAnsi="Arial" w:cs="Arial"/>
          <w:sz w:val="20"/>
          <w:szCs w:val="20"/>
        </w:rPr>
        <w:t>c Ngân hàng Trung ương Anh</w:t>
      </w:r>
      <w:r w:rsidR="0001055E" w:rsidRPr="00DE6E76">
        <w:rPr>
          <w:rFonts w:ascii="Arial" w:eastAsia="Times New Roman" w:hAnsi="Arial" w:cs="Arial"/>
          <w:sz w:val="20"/>
          <w:szCs w:val="20"/>
        </w:rPr>
        <w:t xml:space="preserve"> </w:t>
      </w:r>
      <w:r w:rsidR="00A01228" w:rsidRPr="00DE6E76">
        <w:rPr>
          <w:rFonts w:ascii="Arial" w:eastAsia="Times New Roman" w:hAnsi="Arial" w:cs="Arial"/>
          <w:sz w:val="20"/>
          <w:szCs w:val="20"/>
        </w:rPr>
        <w:t>chủ động đưa ra nhiều giải pháp</w:t>
      </w:r>
      <w:r w:rsidR="0001055E" w:rsidRPr="00DE6E76">
        <w:rPr>
          <w:rFonts w:ascii="Arial" w:eastAsia="Times New Roman" w:hAnsi="Arial" w:cs="Arial"/>
          <w:sz w:val="20"/>
          <w:szCs w:val="20"/>
        </w:rPr>
        <w:t xml:space="preserve"> hỗ trợ nền k</w:t>
      </w:r>
      <w:r w:rsidR="00A01228" w:rsidRPr="00DE6E76">
        <w:rPr>
          <w:rFonts w:ascii="Arial" w:eastAsia="Times New Roman" w:hAnsi="Arial" w:cs="Arial"/>
          <w:sz w:val="20"/>
          <w:szCs w:val="20"/>
        </w:rPr>
        <w:t xml:space="preserve">inh tế đã </w:t>
      </w:r>
      <w:proofErr w:type="gramStart"/>
      <w:r w:rsidR="00A01228" w:rsidRPr="00DE6E76">
        <w:rPr>
          <w:rFonts w:ascii="Arial" w:eastAsia="Times New Roman" w:hAnsi="Arial" w:cs="Arial"/>
          <w:sz w:val="20"/>
          <w:szCs w:val="20"/>
        </w:rPr>
        <w:t>thu</w:t>
      </w:r>
      <w:proofErr w:type="gramEnd"/>
      <w:r w:rsidR="00A01228" w:rsidRPr="00DE6E76">
        <w:rPr>
          <w:rFonts w:ascii="Arial" w:eastAsia="Times New Roman" w:hAnsi="Arial" w:cs="Arial"/>
          <w:sz w:val="20"/>
          <w:szCs w:val="20"/>
        </w:rPr>
        <w:t xml:space="preserve"> hút sự quan tâm của các nhà đầu tư</w:t>
      </w:r>
      <w:r w:rsidR="0001055E" w:rsidRPr="00DE6E76">
        <w:rPr>
          <w:rFonts w:ascii="Arial" w:eastAsia="Times New Roman" w:hAnsi="Arial" w:cs="Arial"/>
          <w:sz w:val="20"/>
          <w:szCs w:val="20"/>
        </w:rPr>
        <w:t xml:space="preserve"> vào thị trường này.</w:t>
      </w:r>
      <w:r w:rsidR="00565881" w:rsidRPr="00DE6E76">
        <w:rPr>
          <w:rFonts w:ascii="Arial" w:eastAsia="Times New Roman" w:hAnsi="Arial" w:cs="Arial"/>
          <w:sz w:val="20"/>
          <w:szCs w:val="20"/>
        </w:rPr>
        <w:t xml:space="preserve"> Tuy không tăng cao</w:t>
      </w:r>
      <w:r w:rsidR="00A01228" w:rsidRPr="00DE6E76">
        <w:rPr>
          <w:rFonts w:ascii="Arial" w:eastAsia="Times New Roman" w:hAnsi="Arial" w:cs="Arial"/>
          <w:sz w:val="20"/>
          <w:szCs w:val="20"/>
        </w:rPr>
        <w:t xml:space="preserve"> như những năm trước</w:t>
      </w:r>
      <w:r w:rsidR="00565881" w:rsidRPr="00DE6E76">
        <w:rPr>
          <w:rFonts w:ascii="Arial" w:eastAsia="Times New Roman" w:hAnsi="Arial" w:cs="Arial"/>
          <w:sz w:val="20"/>
          <w:szCs w:val="20"/>
        </w:rPr>
        <w:t>, nhưng chỉ số DAX tại Frankfurt</w:t>
      </w:r>
      <w:r w:rsidRPr="00DE6E76">
        <w:rPr>
          <w:rFonts w:ascii="Arial" w:eastAsia="Times New Roman" w:hAnsi="Arial" w:cs="Arial"/>
          <w:sz w:val="20"/>
          <w:szCs w:val="20"/>
        </w:rPr>
        <w:t xml:space="preserve"> tăng 6,87%, </w:t>
      </w:r>
      <w:r w:rsidR="00447C15" w:rsidRPr="00DE6E76">
        <w:rPr>
          <w:rFonts w:ascii="Arial" w:eastAsia="Times New Roman" w:hAnsi="Arial" w:cs="Arial"/>
          <w:sz w:val="20"/>
          <w:szCs w:val="20"/>
        </w:rPr>
        <w:t>ghi nhận 5 năm tăng điểm li</w:t>
      </w:r>
      <w:r w:rsidR="00F32122" w:rsidRPr="00DE6E76">
        <w:rPr>
          <w:rFonts w:ascii="Arial" w:eastAsia="Times New Roman" w:hAnsi="Arial" w:cs="Arial"/>
          <w:sz w:val="20"/>
          <w:szCs w:val="20"/>
        </w:rPr>
        <w:t>ên tiếp; c</w:t>
      </w:r>
      <w:r w:rsidRPr="00DE6E76">
        <w:rPr>
          <w:rFonts w:ascii="Arial" w:eastAsia="Times New Roman" w:hAnsi="Arial" w:cs="Arial"/>
          <w:sz w:val="20"/>
          <w:szCs w:val="20"/>
        </w:rPr>
        <w:t xml:space="preserve">hỉ số CAC 40 </w:t>
      </w:r>
      <w:r w:rsidR="00F32122" w:rsidRPr="00DE6E76">
        <w:rPr>
          <w:rFonts w:ascii="Arial" w:eastAsia="Times New Roman" w:hAnsi="Arial" w:cs="Arial"/>
          <w:sz w:val="20"/>
          <w:szCs w:val="20"/>
        </w:rPr>
        <w:t>tại Paris</w:t>
      </w:r>
      <w:r w:rsidRPr="00DE6E76">
        <w:rPr>
          <w:rFonts w:ascii="Arial" w:eastAsia="Times New Roman" w:hAnsi="Arial" w:cs="Arial"/>
          <w:sz w:val="20"/>
          <w:szCs w:val="20"/>
        </w:rPr>
        <w:t xml:space="preserve"> tăng 4,86%, kéo dài đà tăng từ năm 2015 và đánh dấu năm tăng thứ 4 trong vòng 5 năm qua.</w:t>
      </w:r>
    </w:p>
    <w:p w:rsidR="00447C15" w:rsidRPr="00DE6E76" w:rsidRDefault="006E0FC0" w:rsidP="00DE6E76">
      <w:pPr>
        <w:spacing w:after="120" w:line="240" w:lineRule="auto"/>
        <w:jc w:val="both"/>
        <w:textAlignment w:val="baseline"/>
        <w:rPr>
          <w:rFonts w:ascii="Arial" w:hAnsi="Arial" w:cs="Arial"/>
          <w:sz w:val="20"/>
          <w:szCs w:val="20"/>
        </w:rPr>
      </w:pPr>
      <w:r w:rsidRPr="00DE6E76">
        <w:rPr>
          <w:rFonts w:ascii="Arial" w:eastAsia="Times New Roman" w:hAnsi="Arial" w:cs="Arial"/>
          <w:sz w:val="20"/>
          <w:szCs w:val="20"/>
        </w:rPr>
        <w:t>Trái lại, c</w:t>
      </w:r>
      <w:r w:rsidR="00014D05" w:rsidRPr="00DE6E76">
        <w:rPr>
          <w:rFonts w:ascii="Arial" w:eastAsia="Times New Roman" w:hAnsi="Arial" w:cs="Arial"/>
          <w:sz w:val="20"/>
          <w:szCs w:val="20"/>
        </w:rPr>
        <w:t xml:space="preserve">hỉ số </w:t>
      </w:r>
      <w:r w:rsidR="00DE69D4" w:rsidRPr="00DE6E76">
        <w:rPr>
          <w:rFonts w:ascii="Arial" w:eastAsia="Times New Roman" w:hAnsi="Arial" w:cs="Arial"/>
          <w:sz w:val="20"/>
          <w:szCs w:val="20"/>
        </w:rPr>
        <w:t xml:space="preserve">Stoxx Europe 600 </w:t>
      </w:r>
      <w:r w:rsidR="00014D05" w:rsidRPr="00DE6E76">
        <w:rPr>
          <w:rFonts w:ascii="Arial" w:eastAsia="Times New Roman" w:hAnsi="Arial" w:cs="Arial"/>
          <w:sz w:val="20"/>
          <w:szCs w:val="20"/>
        </w:rPr>
        <w:t xml:space="preserve">chung </w:t>
      </w:r>
      <w:r w:rsidRPr="00DE6E76">
        <w:rPr>
          <w:rFonts w:ascii="Arial" w:eastAsia="Times New Roman" w:hAnsi="Arial" w:cs="Arial"/>
          <w:sz w:val="20"/>
          <w:szCs w:val="20"/>
        </w:rPr>
        <w:t xml:space="preserve">của châu Âu giảm </w:t>
      </w:r>
      <w:r w:rsidR="00DE69D4" w:rsidRPr="00DE6E76">
        <w:rPr>
          <w:rFonts w:ascii="Arial" w:eastAsia="Times New Roman" w:hAnsi="Arial" w:cs="Arial"/>
          <w:sz w:val="20"/>
          <w:szCs w:val="20"/>
        </w:rPr>
        <w:t xml:space="preserve">tới </w:t>
      </w:r>
      <w:r w:rsidRPr="00DE6E76">
        <w:rPr>
          <w:rFonts w:ascii="Arial" w:eastAsia="Times New Roman" w:hAnsi="Arial" w:cs="Arial"/>
          <w:sz w:val="20"/>
          <w:szCs w:val="20"/>
        </w:rPr>
        <w:t xml:space="preserve">1,2%, </w:t>
      </w:r>
      <w:r w:rsidR="00C12CBF" w:rsidRPr="00DE6E76">
        <w:rPr>
          <w:rFonts w:ascii="Arial" w:eastAsia="Times New Roman" w:hAnsi="Arial" w:cs="Arial"/>
          <w:sz w:val="20"/>
          <w:szCs w:val="20"/>
        </w:rPr>
        <w:t xml:space="preserve">với khối lượng giao dịch thấp hơn kết quả giao dịch trung bình trong 30 phiên giao dịch gần nhất tới 60%, </w:t>
      </w:r>
      <w:r w:rsidRPr="00DE6E76">
        <w:rPr>
          <w:rFonts w:ascii="Arial" w:eastAsia="Times New Roman" w:hAnsi="Arial" w:cs="Arial"/>
          <w:sz w:val="20"/>
          <w:szCs w:val="20"/>
        </w:rPr>
        <w:t xml:space="preserve">ghi nhận xu hướng suy giảm trở lại kể từ năm 2011. </w:t>
      </w:r>
      <w:r w:rsidR="00DE69D4" w:rsidRPr="00DE6E76">
        <w:rPr>
          <w:rFonts w:ascii="Arial" w:eastAsia="Times New Roman" w:hAnsi="Arial" w:cs="Arial"/>
          <w:sz w:val="20"/>
          <w:szCs w:val="20"/>
        </w:rPr>
        <w:t>Trong đó, chỉ số Stoxx Europe 600 banks của ngành ngân hàng giảm 6</w:t>
      </w:r>
      <w:proofErr w:type="gramStart"/>
      <w:r w:rsidR="00DE69D4" w:rsidRPr="00DE6E76">
        <w:rPr>
          <w:rFonts w:ascii="Arial" w:eastAsia="Times New Roman" w:hAnsi="Arial" w:cs="Arial"/>
          <w:sz w:val="20"/>
          <w:szCs w:val="20"/>
        </w:rPr>
        <w:t>,77</w:t>
      </w:r>
      <w:proofErr w:type="gramEnd"/>
      <w:r w:rsidR="00DE69D4" w:rsidRPr="00DE6E76">
        <w:rPr>
          <w:rFonts w:ascii="Arial" w:eastAsia="Times New Roman" w:hAnsi="Arial" w:cs="Arial"/>
          <w:sz w:val="20"/>
          <w:szCs w:val="20"/>
        </w:rPr>
        <w:t>% - mức giảm sâu nhất kể từ năm 2011. Vào t</w:t>
      </w:r>
      <w:r w:rsidR="00A01228" w:rsidRPr="00DE6E76">
        <w:rPr>
          <w:rFonts w:ascii="Arial" w:eastAsia="Times New Roman" w:hAnsi="Arial" w:cs="Arial"/>
          <w:sz w:val="20"/>
          <w:szCs w:val="20"/>
        </w:rPr>
        <w:t>hời điểm đó, chỉ số này giảm</w:t>
      </w:r>
      <w:r w:rsidR="00DE69D4" w:rsidRPr="00DE6E76">
        <w:rPr>
          <w:rFonts w:ascii="Arial" w:eastAsia="Times New Roman" w:hAnsi="Arial" w:cs="Arial"/>
          <w:sz w:val="20"/>
          <w:szCs w:val="20"/>
        </w:rPr>
        <w:t xml:space="preserve"> 32</w:t>
      </w:r>
      <w:proofErr w:type="gramStart"/>
      <w:r w:rsidR="00DE69D4" w:rsidRPr="00DE6E76">
        <w:rPr>
          <w:rFonts w:ascii="Arial" w:eastAsia="Times New Roman" w:hAnsi="Arial" w:cs="Arial"/>
          <w:sz w:val="20"/>
          <w:szCs w:val="20"/>
        </w:rPr>
        <w:t>,48</w:t>
      </w:r>
      <w:proofErr w:type="gramEnd"/>
      <w:r w:rsidR="00DE69D4" w:rsidRPr="00DE6E76">
        <w:rPr>
          <w:rFonts w:ascii="Arial" w:eastAsia="Times New Roman" w:hAnsi="Arial" w:cs="Arial"/>
          <w:sz w:val="20"/>
          <w:szCs w:val="20"/>
        </w:rPr>
        <w:t xml:space="preserve">%. </w:t>
      </w:r>
      <w:proofErr w:type="gramStart"/>
      <w:r w:rsidR="00DE69D4" w:rsidRPr="00DE6E76">
        <w:rPr>
          <w:rFonts w:ascii="Arial" w:eastAsia="Times New Roman" w:hAnsi="Arial" w:cs="Arial"/>
          <w:sz w:val="20"/>
          <w:szCs w:val="20"/>
        </w:rPr>
        <w:t>Đây cũng là năm giảm thứ 3 liên tiếp của chỉ số này, một sự kiện chưa từng xảy ra trong lịch sử.</w:t>
      </w:r>
      <w:proofErr w:type="gramEnd"/>
      <w:r w:rsidR="00DE69D4" w:rsidRPr="00DE6E76">
        <w:rPr>
          <w:rFonts w:ascii="Arial" w:eastAsia="Times New Roman" w:hAnsi="Arial" w:cs="Arial"/>
          <w:sz w:val="20"/>
          <w:szCs w:val="20"/>
        </w:rPr>
        <w:t xml:space="preserve"> </w:t>
      </w:r>
      <w:r w:rsidR="00014D05" w:rsidRPr="00DE6E76">
        <w:rPr>
          <w:rFonts w:ascii="Arial" w:eastAsia="Times New Roman" w:hAnsi="Arial" w:cs="Arial"/>
          <w:sz w:val="20"/>
          <w:szCs w:val="20"/>
        </w:rPr>
        <w:t xml:space="preserve">Trong năm 2016, chỉ số </w:t>
      </w:r>
      <w:r w:rsidR="00DE69D4" w:rsidRPr="00DE6E76">
        <w:rPr>
          <w:rFonts w:ascii="Arial" w:eastAsia="Times New Roman" w:hAnsi="Arial" w:cs="Arial"/>
          <w:sz w:val="20"/>
          <w:szCs w:val="20"/>
        </w:rPr>
        <w:t xml:space="preserve">Stoxx Europe 600 </w:t>
      </w:r>
      <w:r w:rsidR="00014D05" w:rsidRPr="00DE6E76">
        <w:rPr>
          <w:rFonts w:ascii="Arial" w:eastAsia="Times New Roman" w:hAnsi="Arial" w:cs="Arial"/>
          <w:sz w:val="20"/>
          <w:szCs w:val="20"/>
        </w:rPr>
        <w:t>chung này chỉ dao động dưới 50 điểm</w:t>
      </w:r>
      <w:r w:rsidR="00DE69D4" w:rsidRPr="00DE6E76">
        <w:rPr>
          <w:rFonts w:ascii="Arial" w:eastAsia="Times New Roman" w:hAnsi="Arial" w:cs="Arial"/>
          <w:sz w:val="20"/>
          <w:szCs w:val="20"/>
        </w:rPr>
        <w:t xml:space="preserve">, trước khi tăng </w:t>
      </w:r>
      <w:r w:rsidR="00A01228" w:rsidRPr="00DE6E76">
        <w:rPr>
          <w:rFonts w:ascii="Arial" w:eastAsia="Times New Roman" w:hAnsi="Arial" w:cs="Arial"/>
          <w:sz w:val="20"/>
          <w:szCs w:val="20"/>
        </w:rPr>
        <w:t>tốc vào những ngày cuối năm, do</w:t>
      </w:r>
      <w:r w:rsidR="00DE69D4" w:rsidRPr="00DE6E76">
        <w:rPr>
          <w:rFonts w:ascii="Arial" w:eastAsia="Times New Roman" w:hAnsi="Arial" w:cs="Arial"/>
          <w:sz w:val="20"/>
          <w:szCs w:val="20"/>
        </w:rPr>
        <w:t xml:space="preserve"> kết quả bầu cử tổng thống tại Mỹ đã dẫn đến kỳ vọng lạc quan về tình hình kinh tế toàn cầu và Ngân hàng Trung ương châu Âu mở rộng quy mô chương trình mua trái phiếu. </w:t>
      </w:r>
    </w:p>
    <w:p w:rsidR="0001055E" w:rsidRPr="00DE6E76" w:rsidRDefault="003945C9" w:rsidP="00DE6E76">
      <w:pPr>
        <w:spacing w:after="120" w:line="240" w:lineRule="auto"/>
        <w:jc w:val="both"/>
        <w:textAlignment w:val="baseline"/>
        <w:rPr>
          <w:rFonts w:ascii="Arial" w:eastAsia="Times New Roman" w:hAnsi="Arial" w:cs="Arial"/>
          <w:sz w:val="20"/>
          <w:szCs w:val="20"/>
        </w:rPr>
      </w:pPr>
      <w:r w:rsidRPr="00DE6E76">
        <w:rPr>
          <w:rFonts w:ascii="Arial" w:eastAsia="Times New Roman" w:hAnsi="Arial" w:cs="Arial"/>
          <w:sz w:val="20"/>
          <w:szCs w:val="20"/>
        </w:rPr>
        <w:t>Thị trường chứng khoán Italia, Bồ Đào Nha, Đan Mạch giảm trên 10%, mức giảm sâu nhất trong số các nước phát triển. Trong đó, chỉ số FTSE MIB tại Italia giảm 10</w:t>
      </w:r>
      <w:proofErr w:type="gramStart"/>
      <w:r w:rsidRPr="00DE6E76">
        <w:rPr>
          <w:rFonts w:ascii="Arial" w:eastAsia="Times New Roman" w:hAnsi="Arial" w:cs="Arial"/>
          <w:sz w:val="20"/>
          <w:szCs w:val="20"/>
        </w:rPr>
        <w:t>,2</w:t>
      </w:r>
      <w:proofErr w:type="gramEnd"/>
      <w:r w:rsidRPr="00DE6E76">
        <w:rPr>
          <w:rFonts w:ascii="Arial" w:eastAsia="Times New Roman" w:hAnsi="Arial" w:cs="Arial"/>
          <w:sz w:val="20"/>
          <w:szCs w:val="20"/>
        </w:rPr>
        <w:t xml:space="preserve">%, ghi nhận năm sụt giảm đầu tiên kể từ năm 2011. </w:t>
      </w:r>
      <w:r w:rsidR="0001055E" w:rsidRPr="00DE6E76">
        <w:rPr>
          <w:rFonts w:ascii="Arial" w:eastAsia="Times New Roman" w:hAnsi="Arial" w:cs="Arial"/>
          <w:sz w:val="20"/>
          <w:szCs w:val="20"/>
        </w:rPr>
        <w:t xml:space="preserve">Nguyên nhân là do các nhà đầu tư lo lắng về những khó khăn trong lĩnh vực ngân hàng, khi cổ phiếu của những ngân hàng lớn tại Italia đều mất giá quá mức. </w:t>
      </w:r>
    </w:p>
    <w:p w:rsidR="006E0FC0" w:rsidRPr="00DE6E76" w:rsidRDefault="003C066E" w:rsidP="00DE6E76">
      <w:pPr>
        <w:shd w:val="clear" w:color="auto" w:fill="FFFFFF"/>
        <w:spacing w:after="120" w:line="240" w:lineRule="auto"/>
        <w:jc w:val="both"/>
        <w:rPr>
          <w:rFonts w:ascii="Arial" w:eastAsia="Times New Roman" w:hAnsi="Arial" w:cs="Arial"/>
          <w:sz w:val="20"/>
          <w:szCs w:val="20"/>
        </w:rPr>
      </w:pPr>
      <w:r w:rsidRPr="00DE6E76">
        <w:rPr>
          <w:rFonts w:ascii="Arial" w:eastAsia="Times New Roman" w:hAnsi="Arial" w:cs="Arial"/>
          <w:sz w:val="20"/>
          <w:szCs w:val="20"/>
        </w:rPr>
        <w:t>Kết quả</w:t>
      </w:r>
      <w:r w:rsidR="005C4A60" w:rsidRPr="00DE6E76">
        <w:rPr>
          <w:rFonts w:ascii="Arial" w:eastAsia="Times New Roman" w:hAnsi="Arial" w:cs="Arial"/>
          <w:sz w:val="20"/>
          <w:szCs w:val="20"/>
        </w:rPr>
        <w:t xml:space="preserve"> tăng trưởng ngoạn mục trên toàn cầu phải kể đến</w:t>
      </w:r>
      <w:r w:rsidR="006E0FC0" w:rsidRPr="00DE6E76">
        <w:rPr>
          <w:rFonts w:ascii="Arial" w:eastAsia="Times New Roman" w:hAnsi="Arial" w:cs="Arial"/>
          <w:sz w:val="20"/>
          <w:szCs w:val="20"/>
        </w:rPr>
        <w:t xml:space="preserve"> chỉ số RTS của Nga tăng 52</w:t>
      </w:r>
      <w:proofErr w:type="gramStart"/>
      <w:r w:rsidR="006E0FC0" w:rsidRPr="00DE6E76">
        <w:rPr>
          <w:rFonts w:ascii="Arial" w:eastAsia="Times New Roman" w:hAnsi="Arial" w:cs="Arial"/>
          <w:sz w:val="20"/>
          <w:szCs w:val="20"/>
        </w:rPr>
        <w:t>,22</w:t>
      </w:r>
      <w:proofErr w:type="gramEnd"/>
      <w:r w:rsidR="006E0FC0" w:rsidRPr="00DE6E76">
        <w:rPr>
          <w:rFonts w:ascii="Arial" w:eastAsia="Times New Roman" w:hAnsi="Arial" w:cs="Arial"/>
          <w:sz w:val="20"/>
          <w:szCs w:val="20"/>
        </w:rPr>
        <w:t>% trong năm 2016, kết quả tăng cao nhất kể từ năm 2009. Vào t</w:t>
      </w:r>
      <w:r w:rsidR="00A01228" w:rsidRPr="00DE6E76">
        <w:rPr>
          <w:rFonts w:ascii="Arial" w:eastAsia="Times New Roman" w:hAnsi="Arial" w:cs="Arial"/>
          <w:sz w:val="20"/>
          <w:szCs w:val="20"/>
        </w:rPr>
        <w:t>hời điểm đó, chỉ số RTS tăng tới</w:t>
      </w:r>
      <w:r w:rsidR="006E0FC0" w:rsidRPr="00DE6E76">
        <w:rPr>
          <w:rFonts w:ascii="Arial" w:eastAsia="Times New Roman" w:hAnsi="Arial" w:cs="Arial"/>
          <w:sz w:val="20"/>
          <w:szCs w:val="20"/>
        </w:rPr>
        <w:t xml:space="preserve"> 128</w:t>
      </w:r>
      <w:proofErr w:type="gramStart"/>
      <w:r w:rsidR="006E0FC0" w:rsidRPr="00DE6E76">
        <w:rPr>
          <w:rFonts w:ascii="Arial" w:eastAsia="Times New Roman" w:hAnsi="Arial" w:cs="Arial"/>
          <w:sz w:val="20"/>
          <w:szCs w:val="20"/>
        </w:rPr>
        <w:t>,62</w:t>
      </w:r>
      <w:proofErr w:type="gramEnd"/>
      <w:r w:rsidR="006E0FC0" w:rsidRPr="00DE6E76">
        <w:rPr>
          <w:rFonts w:ascii="Arial" w:eastAsia="Times New Roman" w:hAnsi="Arial" w:cs="Arial"/>
          <w:sz w:val="20"/>
          <w:szCs w:val="20"/>
        </w:rPr>
        <w:t xml:space="preserve">%. </w:t>
      </w:r>
      <w:r w:rsidR="00040CEE" w:rsidRPr="00DE6E76">
        <w:rPr>
          <w:rFonts w:ascii="Arial" w:eastAsia="Times New Roman" w:hAnsi="Arial" w:cs="Arial"/>
          <w:sz w:val="20"/>
          <w:szCs w:val="20"/>
        </w:rPr>
        <w:t>Động lực thúc đẩy thị trường chứng khoán CHLB Nga trong năm nay bao gồm, kinh tế CHLB Nga bắt đầu phục hồi sau thời kỳ suy thoái kéo dài, kỳ vọng của thị trường về mối quan hệ tan băn</w:t>
      </w:r>
      <w:r w:rsidR="00DE6E76">
        <w:rPr>
          <w:rFonts w:ascii="Arial" w:eastAsia="Times New Roman" w:hAnsi="Arial" w:cs="Arial"/>
          <w:sz w:val="20"/>
          <w:szCs w:val="20"/>
        </w:rPr>
        <w:t xml:space="preserve">g giữa CHLB </w:t>
      </w:r>
      <w:r w:rsidR="00A01228" w:rsidRPr="00DE6E76">
        <w:rPr>
          <w:rFonts w:ascii="Arial" w:eastAsia="Times New Roman" w:hAnsi="Arial" w:cs="Arial"/>
          <w:sz w:val="20"/>
          <w:szCs w:val="20"/>
        </w:rPr>
        <w:t xml:space="preserve">Nga và Mỹ sau khi </w:t>
      </w:r>
      <w:r w:rsidR="00040CEE" w:rsidRPr="00DE6E76">
        <w:rPr>
          <w:rFonts w:ascii="Arial" w:eastAsia="Times New Roman" w:hAnsi="Arial" w:cs="Arial"/>
          <w:sz w:val="20"/>
          <w:szCs w:val="20"/>
        </w:rPr>
        <w:t>ông Donal</w:t>
      </w:r>
      <w:r w:rsidR="00A01228" w:rsidRPr="00DE6E76">
        <w:rPr>
          <w:rFonts w:ascii="Arial" w:eastAsia="Times New Roman" w:hAnsi="Arial" w:cs="Arial"/>
          <w:sz w:val="20"/>
          <w:szCs w:val="20"/>
        </w:rPr>
        <w:t>d Trump đắc cử tổng thống, giá dầu</w:t>
      </w:r>
      <w:r w:rsidR="00040CEE" w:rsidRPr="00DE6E76">
        <w:rPr>
          <w:rFonts w:ascii="Arial" w:eastAsia="Times New Roman" w:hAnsi="Arial" w:cs="Arial"/>
          <w:sz w:val="20"/>
          <w:szCs w:val="20"/>
        </w:rPr>
        <w:t xml:space="preserve"> tiếp tục đà tăng trong năm tới sau thỏa thuận OPEC. Triển vọng dầu tăng giá cũng </w:t>
      </w:r>
      <w:r w:rsidR="00A046C2" w:rsidRPr="00DE6E76">
        <w:rPr>
          <w:rFonts w:ascii="Arial" w:eastAsia="Times New Roman" w:hAnsi="Arial" w:cs="Arial"/>
          <w:sz w:val="20"/>
          <w:szCs w:val="20"/>
        </w:rPr>
        <w:t xml:space="preserve">tạo ra kỳ vọng lạc quan tại </w:t>
      </w:r>
      <w:r w:rsidR="00040CEE" w:rsidRPr="00DE6E76">
        <w:rPr>
          <w:rFonts w:ascii="Arial" w:eastAsia="Times New Roman" w:hAnsi="Arial" w:cs="Arial"/>
          <w:sz w:val="20"/>
          <w:szCs w:val="20"/>
        </w:rPr>
        <w:t xml:space="preserve">quốc gia </w:t>
      </w:r>
      <w:r w:rsidR="00014D05" w:rsidRPr="00DE6E76">
        <w:rPr>
          <w:rFonts w:ascii="Arial" w:eastAsia="Times New Roman" w:hAnsi="Arial" w:cs="Arial"/>
          <w:sz w:val="20"/>
          <w:szCs w:val="20"/>
        </w:rPr>
        <w:t xml:space="preserve">phụ thuộc vào xuất khẩu </w:t>
      </w:r>
      <w:r w:rsidR="00040CEE" w:rsidRPr="00DE6E76">
        <w:rPr>
          <w:rFonts w:ascii="Arial" w:eastAsia="Times New Roman" w:hAnsi="Arial" w:cs="Arial"/>
          <w:sz w:val="20"/>
          <w:szCs w:val="20"/>
        </w:rPr>
        <w:t xml:space="preserve">dầu mỏ </w:t>
      </w:r>
      <w:r w:rsidR="00A046C2" w:rsidRPr="00DE6E76">
        <w:rPr>
          <w:rFonts w:ascii="Arial" w:eastAsia="Times New Roman" w:hAnsi="Arial" w:cs="Arial"/>
          <w:sz w:val="20"/>
          <w:szCs w:val="20"/>
        </w:rPr>
        <w:t xml:space="preserve">Na Uy, với </w:t>
      </w:r>
      <w:r w:rsidR="005C4A60" w:rsidRPr="00DE6E76">
        <w:rPr>
          <w:rFonts w:ascii="Arial" w:eastAsia="Times New Roman" w:hAnsi="Arial" w:cs="Arial"/>
          <w:sz w:val="20"/>
          <w:szCs w:val="20"/>
        </w:rPr>
        <w:t>c</w:t>
      </w:r>
      <w:r w:rsidR="006E0FC0" w:rsidRPr="00DE6E76">
        <w:rPr>
          <w:rFonts w:ascii="Arial" w:eastAsia="Times New Roman" w:hAnsi="Arial" w:cs="Arial"/>
          <w:sz w:val="20"/>
          <w:szCs w:val="20"/>
        </w:rPr>
        <w:t xml:space="preserve">hỉ số Olso OBX của </w:t>
      </w:r>
      <w:r w:rsidR="00A046C2" w:rsidRPr="00DE6E76">
        <w:rPr>
          <w:rFonts w:ascii="Arial" w:eastAsia="Times New Roman" w:hAnsi="Arial" w:cs="Arial"/>
          <w:sz w:val="20"/>
          <w:szCs w:val="20"/>
        </w:rPr>
        <w:t>quốc giá Bắc Âu này</w:t>
      </w:r>
      <w:r w:rsidR="006E0FC0" w:rsidRPr="00DE6E76">
        <w:rPr>
          <w:rFonts w:ascii="Arial" w:eastAsia="Times New Roman" w:hAnsi="Arial" w:cs="Arial"/>
          <w:sz w:val="20"/>
          <w:szCs w:val="20"/>
        </w:rPr>
        <w:t xml:space="preserve"> tăng 14</w:t>
      </w:r>
      <w:proofErr w:type="gramStart"/>
      <w:r w:rsidR="006E0FC0" w:rsidRPr="00DE6E76">
        <w:rPr>
          <w:rFonts w:ascii="Arial" w:eastAsia="Times New Roman" w:hAnsi="Arial" w:cs="Arial"/>
          <w:sz w:val="20"/>
          <w:szCs w:val="20"/>
        </w:rPr>
        <w:t>,6</w:t>
      </w:r>
      <w:proofErr w:type="gramEnd"/>
      <w:r w:rsidR="006E0FC0" w:rsidRPr="00DE6E76">
        <w:rPr>
          <w:rFonts w:ascii="Arial" w:eastAsia="Times New Roman" w:hAnsi="Arial" w:cs="Arial"/>
          <w:sz w:val="20"/>
          <w:szCs w:val="20"/>
        </w:rPr>
        <w:t>%.</w:t>
      </w:r>
      <w:r w:rsidR="00040CEE" w:rsidRPr="00DE6E76">
        <w:rPr>
          <w:rFonts w:ascii="Arial" w:eastAsia="Times New Roman" w:hAnsi="Arial" w:cs="Arial"/>
          <w:sz w:val="20"/>
          <w:szCs w:val="20"/>
        </w:rPr>
        <w:t xml:space="preserve"> </w:t>
      </w:r>
    </w:p>
    <w:p w:rsidR="006E0FC0" w:rsidRPr="00DE6E76" w:rsidRDefault="005C4A60" w:rsidP="00DE6E76">
      <w:pPr>
        <w:shd w:val="clear" w:color="auto" w:fill="FFFFFF"/>
        <w:spacing w:after="120" w:line="240" w:lineRule="auto"/>
        <w:jc w:val="both"/>
        <w:rPr>
          <w:rFonts w:ascii="Arial" w:eastAsia="Times New Roman" w:hAnsi="Arial" w:cs="Arial"/>
          <w:sz w:val="20"/>
          <w:szCs w:val="20"/>
        </w:rPr>
      </w:pPr>
      <w:r w:rsidRPr="00DE6E76">
        <w:rPr>
          <w:rFonts w:ascii="Arial" w:eastAsia="Times New Roman" w:hAnsi="Arial" w:cs="Arial"/>
          <w:sz w:val="20"/>
          <w:szCs w:val="20"/>
        </w:rPr>
        <w:t>Tại c</w:t>
      </w:r>
      <w:r w:rsidR="006E0FC0" w:rsidRPr="00DE6E76">
        <w:rPr>
          <w:rFonts w:ascii="Arial" w:eastAsia="Times New Roman" w:hAnsi="Arial" w:cs="Arial"/>
          <w:sz w:val="20"/>
          <w:szCs w:val="20"/>
        </w:rPr>
        <w:t xml:space="preserve">hâu </w:t>
      </w:r>
      <w:r w:rsidR="00A01228" w:rsidRPr="00DE6E76">
        <w:rPr>
          <w:rFonts w:ascii="Arial" w:eastAsia="Times New Roman" w:hAnsi="Arial" w:cs="Arial"/>
          <w:sz w:val="20"/>
          <w:szCs w:val="20"/>
        </w:rPr>
        <w:t>Á, chỉ số Nikkei tại</w:t>
      </w:r>
      <w:r w:rsidRPr="00DE6E76">
        <w:rPr>
          <w:rFonts w:ascii="Arial" w:eastAsia="Times New Roman" w:hAnsi="Arial" w:cs="Arial"/>
          <w:sz w:val="20"/>
          <w:szCs w:val="20"/>
        </w:rPr>
        <w:t xml:space="preserve"> Nhật Bản đóng cửa ở mức 19.114,37 điểm, sau chuỗi ngày tăng điểm dài nhất kể từ năm 1989</w:t>
      </w:r>
      <w:r w:rsidR="006E0FC0" w:rsidRPr="00DE6E76">
        <w:rPr>
          <w:rFonts w:ascii="Arial" w:eastAsia="Times New Roman" w:hAnsi="Arial" w:cs="Arial"/>
          <w:sz w:val="20"/>
          <w:szCs w:val="20"/>
        </w:rPr>
        <w:t xml:space="preserve">. Tuy nhiên, </w:t>
      </w:r>
      <w:r w:rsidR="00A01228" w:rsidRPr="00DE6E76">
        <w:rPr>
          <w:rFonts w:ascii="Arial" w:eastAsia="Times New Roman" w:hAnsi="Arial" w:cs="Arial"/>
          <w:sz w:val="20"/>
          <w:szCs w:val="20"/>
        </w:rPr>
        <w:t>chỉ số này chỉ tăng 0</w:t>
      </w:r>
      <w:proofErr w:type="gramStart"/>
      <w:r w:rsidR="00A01228" w:rsidRPr="00DE6E76">
        <w:rPr>
          <w:rFonts w:ascii="Arial" w:eastAsia="Times New Roman" w:hAnsi="Arial" w:cs="Arial"/>
          <w:sz w:val="20"/>
          <w:szCs w:val="20"/>
        </w:rPr>
        <w:t>,42</w:t>
      </w:r>
      <w:proofErr w:type="gramEnd"/>
      <w:r w:rsidR="00A01228" w:rsidRPr="00DE6E76">
        <w:rPr>
          <w:rFonts w:ascii="Arial" w:eastAsia="Times New Roman" w:hAnsi="Arial" w:cs="Arial"/>
          <w:sz w:val="20"/>
          <w:szCs w:val="20"/>
        </w:rPr>
        <w:t>% so với đầu năm - một mức tăng khá khiêm tốn</w:t>
      </w:r>
      <w:r w:rsidR="006E0FC0" w:rsidRPr="00DE6E76">
        <w:rPr>
          <w:rFonts w:ascii="Arial" w:eastAsia="Times New Roman" w:hAnsi="Arial" w:cs="Arial"/>
          <w:sz w:val="20"/>
          <w:szCs w:val="20"/>
        </w:rPr>
        <w:t>.</w:t>
      </w:r>
      <w:r w:rsidRPr="00DE6E76">
        <w:rPr>
          <w:rFonts w:ascii="Arial" w:eastAsia="Times New Roman" w:hAnsi="Arial" w:cs="Arial"/>
          <w:sz w:val="20"/>
          <w:szCs w:val="20"/>
        </w:rPr>
        <w:t xml:space="preserve"> Tương tự, chỉ số Hang s</w:t>
      </w:r>
      <w:r w:rsidR="006E0FC0" w:rsidRPr="00DE6E76">
        <w:rPr>
          <w:rFonts w:ascii="Arial" w:eastAsia="Times New Roman" w:hAnsi="Arial" w:cs="Arial"/>
          <w:sz w:val="20"/>
          <w:szCs w:val="20"/>
        </w:rPr>
        <w:t>eng của Hồng Kông tăng nhẹ 0</w:t>
      </w:r>
      <w:proofErr w:type="gramStart"/>
      <w:r w:rsidR="006E0FC0" w:rsidRPr="00DE6E76">
        <w:rPr>
          <w:rFonts w:ascii="Arial" w:eastAsia="Times New Roman" w:hAnsi="Arial" w:cs="Arial"/>
          <w:sz w:val="20"/>
          <w:szCs w:val="20"/>
        </w:rPr>
        <w:t>,39</w:t>
      </w:r>
      <w:proofErr w:type="gramEnd"/>
      <w:r w:rsidR="006E0FC0" w:rsidRPr="00DE6E76">
        <w:rPr>
          <w:rFonts w:ascii="Arial" w:eastAsia="Times New Roman" w:hAnsi="Arial" w:cs="Arial"/>
          <w:sz w:val="20"/>
          <w:szCs w:val="20"/>
        </w:rPr>
        <w:t>%, đánh dấu năm tăng thứ 4 trong vòng 5 năm qua.</w:t>
      </w:r>
    </w:p>
    <w:p w:rsidR="006E0FC0" w:rsidRPr="00DE6E76" w:rsidRDefault="00082A85" w:rsidP="00DE6E76">
      <w:pPr>
        <w:pStyle w:val="NormalWeb"/>
        <w:shd w:val="clear" w:color="auto" w:fill="FFFFFF"/>
        <w:spacing w:before="0" w:beforeAutospacing="0" w:after="120" w:afterAutospacing="0"/>
        <w:jc w:val="both"/>
        <w:rPr>
          <w:rFonts w:ascii="Arial" w:hAnsi="Arial" w:cs="Arial"/>
          <w:sz w:val="20"/>
          <w:szCs w:val="20"/>
        </w:rPr>
      </w:pPr>
      <w:proofErr w:type="gramStart"/>
      <w:r w:rsidRPr="00DE6E76">
        <w:rPr>
          <w:rFonts w:ascii="Arial" w:hAnsi="Arial" w:cs="Arial"/>
          <w:sz w:val="20"/>
          <w:szCs w:val="20"/>
        </w:rPr>
        <w:t>Trên toàn cầu</w:t>
      </w:r>
      <w:r w:rsidR="005C4A60" w:rsidRPr="00DE6E76">
        <w:rPr>
          <w:rFonts w:ascii="Arial" w:hAnsi="Arial" w:cs="Arial"/>
          <w:sz w:val="20"/>
          <w:szCs w:val="20"/>
        </w:rPr>
        <w:t xml:space="preserve">, các thị trường chứng khoán tại Trung Quốc </w:t>
      </w:r>
      <w:r w:rsidRPr="00DE6E76">
        <w:rPr>
          <w:rFonts w:ascii="Arial" w:hAnsi="Arial" w:cs="Arial"/>
          <w:sz w:val="20"/>
          <w:szCs w:val="20"/>
        </w:rPr>
        <w:t>trải qua một năm dài đen tối</w:t>
      </w:r>
      <w:r w:rsidR="005C4A60" w:rsidRPr="00DE6E76">
        <w:rPr>
          <w:rFonts w:ascii="Arial" w:hAnsi="Arial" w:cs="Arial"/>
          <w:sz w:val="20"/>
          <w:szCs w:val="20"/>
        </w:rPr>
        <w:t>.</w:t>
      </w:r>
      <w:proofErr w:type="gramEnd"/>
      <w:r w:rsidR="005C4A60" w:rsidRPr="00DE6E76">
        <w:rPr>
          <w:rFonts w:ascii="Arial" w:hAnsi="Arial" w:cs="Arial"/>
          <w:sz w:val="20"/>
          <w:szCs w:val="20"/>
        </w:rPr>
        <w:t xml:space="preserve"> </w:t>
      </w:r>
      <w:r w:rsidRPr="00DE6E76">
        <w:rPr>
          <w:rFonts w:ascii="Arial" w:hAnsi="Arial" w:cs="Arial"/>
          <w:sz w:val="20"/>
          <w:szCs w:val="20"/>
        </w:rPr>
        <w:t>Đầu năm 2016, thị trường chứng khoán lao dốc,</w:t>
      </w:r>
      <w:r w:rsidR="003C066E" w:rsidRPr="00DE6E76">
        <w:rPr>
          <w:rFonts w:ascii="Arial" w:hAnsi="Arial" w:cs="Arial"/>
          <w:sz w:val="20"/>
          <w:szCs w:val="20"/>
        </w:rPr>
        <w:t xml:space="preserve"> các cổ phiếu chủ chốt giảm tới 25-30% giá tr</w:t>
      </w:r>
      <w:r w:rsidRPr="00DE6E76">
        <w:rPr>
          <w:rFonts w:ascii="Arial" w:hAnsi="Arial" w:cs="Arial"/>
          <w:sz w:val="20"/>
          <w:szCs w:val="20"/>
        </w:rPr>
        <w:t>ị trong chóng vánh</w:t>
      </w:r>
      <w:r w:rsidR="00565881" w:rsidRPr="00DE6E76">
        <w:rPr>
          <w:rFonts w:ascii="Arial" w:hAnsi="Arial" w:cs="Arial"/>
          <w:sz w:val="20"/>
          <w:szCs w:val="20"/>
        </w:rPr>
        <w:t xml:space="preserve">, dòng vốn đào thoát khỏi Trung Quốc </w:t>
      </w:r>
      <w:r w:rsidRPr="00DE6E76">
        <w:rPr>
          <w:rFonts w:ascii="Arial" w:hAnsi="Arial" w:cs="Arial"/>
          <w:sz w:val="20"/>
          <w:szCs w:val="20"/>
        </w:rPr>
        <w:t xml:space="preserve">tiếp tục </w:t>
      </w:r>
      <w:r w:rsidR="00565881" w:rsidRPr="00DE6E76">
        <w:rPr>
          <w:rFonts w:ascii="Arial" w:hAnsi="Arial" w:cs="Arial"/>
          <w:sz w:val="20"/>
          <w:szCs w:val="20"/>
        </w:rPr>
        <w:t>tăng mạnh cùng với đà mất giá của đồng nhân dân tệ</w:t>
      </w:r>
      <w:r w:rsidR="003C066E" w:rsidRPr="00DE6E76">
        <w:rPr>
          <w:rFonts w:ascii="Arial" w:hAnsi="Arial" w:cs="Arial"/>
          <w:sz w:val="20"/>
          <w:szCs w:val="20"/>
        </w:rPr>
        <w:t xml:space="preserve">. Chỉ số Shanghai composite đóng cửa ở mức 3.103,64 điểm, giảm 12,3%, </w:t>
      </w:r>
      <w:r w:rsidR="005C4A60" w:rsidRPr="00DE6E76">
        <w:rPr>
          <w:rFonts w:ascii="Arial" w:hAnsi="Arial" w:cs="Arial"/>
          <w:sz w:val="20"/>
          <w:szCs w:val="20"/>
        </w:rPr>
        <w:t>ghi nhận</w:t>
      </w:r>
      <w:r w:rsidR="006E0FC0" w:rsidRPr="00DE6E76">
        <w:rPr>
          <w:rFonts w:ascii="Arial" w:hAnsi="Arial" w:cs="Arial"/>
          <w:sz w:val="20"/>
          <w:szCs w:val="20"/>
        </w:rPr>
        <w:t xml:space="preserve"> kết quả tồi tệ nhất t</w:t>
      </w:r>
      <w:r w:rsidR="005C4A60" w:rsidRPr="00DE6E76">
        <w:rPr>
          <w:rFonts w:ascii="Arial" w:hAnsi="Arial" w:cs="Arial"/>
          <w:sz w:val="20"/>
          <w:szCs w:val="20"/>
        </w:rPr>
        <w:t xml:space="preserve">ừ năm </w:t>
      </w:r>
      <w:r w:rsidR="005C4A60" w:rsidRPr="00DE6E76">
        <w:rPr>
          <w:rFonts w:ascii="Arial" w:hAnsi="Arial" w:cs="Arial"/>
          <w:sz w:val="20"/>
          <w:szCs w:val="20"/>
        </w:rPr>
        <w:lastRenderedPageBreak/>
        <w:t>2011 tới nay. Khi đó</w:t>
      </w:r>
      <w:r w:rsidR="006E0FC0" w:rsidRPr="00DE6E76">
        <w:rPr>
          <w:rFonts w:ascii="Arial" w:hAnsi="Arial" w:cs="Arial"/>
          <w:sz w:val="20"/>
          <w:szCs w:val="20"/>
        </w:rPr>
        <w:t>, chỉ số này giảm</w:t>
      </w:r>
      <w:r w:rsidR="005C4A60" w:rsidRPr="00DE6E76">
        <w:rPr>
          <w:rFonts w:ascii="Arial" w:hAnsi="Arial" w:cs="Arial"/>
          <w:sz w:val="20"/>
          <w:szCs w:val="20"/>
        </w:rPr>
        <w:t xml:space="preserve"> tới 21</w:t>
      </w:r>
      <w:proofErr w:type="gramStart"/>
      <w:r w:rsidR="005C4A60" w:rsidRPr="00DE6E76">
        <w:rPr>
          <w:rFonts w:ascii="Arial" w:hAnsi="Arial" w:cs="Arial"/>
          <w:sz w:val="20"/>
          <w:szCs w:val="20"/>
        </w:rPr>
        <w:t>,68</w:t>
      </w:r>
      <w:proofErr w:type="gramEnd"/>
      <w:r w:rsidR="005C4A60" w:rsidRPr="00DE6E76">
        <w:rPr>
          <w:rFonts w:ascii="Arial" w:hAnsi="Arial" w:cs="Arial"/>
          <w:sz w:val="20"/>
          <w:szCs w:val="20"/>
        </w:rPr>
        <w:t>%. Với mức giảm 14</w:t>
      </w:r>
      <w:proofErr w:type="gramStart"/>
      <w:r w:rsidR="005C4A60" w:rsidRPr="00DE6E76">
        <w:rPr>
          <w:rFonts w:ascii="Arial" w:hAnsi="Arial" w:cs="Arial"/>
          <w:sz w:val="20"/>
          <w:szCs w:val="20"/>
        </w:rPr>
        <w:t>,7</w:t>
      </w:r>
      <w:proofErr w:type="gramEnd"/>
      <w:r w:rsidR="005C4A60" w:rsidRPr="00DE6E76">
        <w:rPr>
          <w:rFonts w:ascii="Arial" w:hAnsi="Arial" w:cs="Arial"/>
          <w:sz w:val="20"/>
          <w:szCs w:val="20"/>
        </w:rPr>
        <w:t>%, chỉ số chứng khoán Thâm Quyến còn ghi nhận mức suy giảm sâu hơn.</w:t>
      </w:r>
    </w:p>
    <w:p w:rsidR="00D57B8B" w:rsidRPr="00DE6E76" w:rsidRDefault="00D57B8B" w:rsidP="00DE6E76">
      <w:pPr>
        <w:shd w:val="clear" w:color="auto" w:fill="FFFFFF"/>
        <w:spacing w:after="120" w:line="240" w:lineRule="auto"/>
        <w:jc w:val="both"/>
        <w:rPr>
          <w:rFonts w:ascii="Arial" w:eastAsia="Times New Roman" w:hAnsi="Arial" w:cs="Arial"/>
          <w:sz w:val="20"/>
          <w:szCs w:val="20"/>
        </w:rPr>
      </w:pPr>
      <w:r w:rsidRPr="00DE6E76">
        <w:rPr>
          <w:rFonts w:ascii="Arial" w:eastAsia="Times New Roman" w:hAnsi="Arial" w:cs="Arial"/>
          <w:sz w:val="20"/>
          <w:szCs w:val="20"/>
        </w:rPr>
        <w:t xml:space="preserve">Mặc dù phải trải qua nhiều thăng trầm, chỉ số JSX Index tại Indonesia vẫn kết thúc năm 2016 ở mức 5.302,57 điểm, tăng 15% so với đầu năm. Nguyên nhân cơ bản là do nền kinh tế này phát triển khá ổn định nhờ dựa trên nhu cầu </w:t>
      </w:r>
      <w:r w:rsidR="0001055E" w:rsidRPr="00DE6E76">
        <w:rPr>
          <w:rFonts w:ascii="Arial" w:eastAsia="Times New Roman" w:hAnsi="Arial" w:cs="Arial"/>
          <w:sz w:val="20"/>
          <w:szCs w:val="20"/>
        </w:rPr>
        <w:t xml:space="preserve">tiêu dùng </w:t>
      </w:r>
      <w:r w:rsidRPr="00DE6E76">
        <w:rPr>
          <w:rFonts w:ascii="Arial" w:eastAsia="Times New Roman" w:hAnsi="Arial" w:cs="Arial"/>
          <w:sz w:val="20"/>
          <w:szCs w:val="20"/>
        </w:rPr>
        <w:t>trong nướ</w:t>
      </w:r>
      <w:r w:rsidR="0001055E" w:rsidRPr="00DE6E76">
        <w:rPr>
          <w:rFonts w:ascii="Arial" w:eastAsia="Times New Roman" w:hAnsi="Arial" w:cs="Arial"/>
          <w:sz w:val="20"/>
          <w:szCs w:val="20"/>
        </w:rPr>
        <w:t xml:space="preserve">c, và giá dầu phục hồi mạnh trong năm 2016 đã khuyến khích các nhà đầu tư đẩy mạnh sản xuất, </w:t>
      </w:r>
      <w:proofErr w:type="gramStart"/>
      <w:r w:rsidR="0001055E" w:rsidRPr="00DE6E76">
        <w:rPr>
          <w:rFonts w:ascii="Arial" w:eastAsia="Times New Roman" w:hAnsi="Arial" w:cs="Arial"/>
          <w:sz w:val="20"/>
          <w:szCs w:val="20"/>
        </w:rPr>
        <w:t>kinh</w:t>
      </w:r>
      <w:proofErr w:type="gramEnd"/>
      <w:r w:rsidR="0001055E" w:rsidRPr="00DE6E76">
        <w:rPr>
          <w:rFonts w:ascii="Arial" w:eastAsia="Times New Roman" w:hAnsi="Arial" w:cs="Arial"/>
          <w:sz w:val="20"/>
          <w:szCs w:val="20"/>
        </w:rPr>
        <w:t xml:space="preserve"> doanh. </w:t>
      </w:r>
      <w:r w:rsidRPr="00DE6E76">
        <w:rPr>
          <w:rFonts w:ascii="Arial" w:eastAsia="Times New Roman" w:hAnsi="Arial" w:cs="Arial"/>
          <w:sz w:val="20"/>
          <w:szCs w:val="20"/>
        </w:rPr>
        <w:t xml:space="preserve"> </w:t>
      </w:r>
    </w:p>
    <w:p w:rsidR="005D0BA8" w:rsidRPr="00DE6E76" w:rsidRDefault="003945C9" w:rsidP="00DE6E76">
      <w:pPr>
        <w:spacing w:after="120" w:line="240" w:lineRule="auto"/>
        <w:jc w:val="both"/>
        <w:rPr>
          <w:rFonts w:ascii="Arial" w:hAnsi="Arial" w:cs="Arial"/>
          <w:sz w:val="20"/>
          <w:szCs w:val="20"/>
          <w:shd w:val="clear" w:color="auto" w:fill="FFFFFF"/>
        </w:rPr>
      </w:pPr>
      <w:r w:rsidRPr="00DE6E76">
        <w:rPr>
          <w:rFonts w:ascii="Arial" w:hAnsi="Arial" w:cs="Arial"/>
          <w:sz w:val="20"/>
          <w:szCs w:val="20"/>
          <w:shd w:val="clear" w:color="auto" w:fill="FFFFFF"/>
        </w:rPr>
        <w:t>Tại Việt Nam, chỉ số VN-Index kết thúc phiên giao dịch ở mức 664</w:t>
      </w:r>
      <w:proofErr w:type="gramStart"/>
      <w:r w:rsidRPr="00DE6E76">
        <w:rPr>
          <w:rFonts w:ascii="Arial" w:hAnsi="Arial" w:cs="Arial"/>
          <w:sz w:val="20"/>
          <w:szCs w:val="20"/>
          <w:shd w:val="clear" w:color="auto" w:fill="FFFFFF"/>
        </w:rPr>
        <w:t>,87</w:t>
      </w:r>
      <w:proofErr w:type="gramEnd"/>
      <w:r w:rsidRPr="00DE6E76">
        <w:rPr>
          <w:rFonts w:ascii="Arial" w:hAnsi="Arial" w:cs="Arial"/>
          <w:sz w:val="20"/>
          <w:szCs w:val="20"/>
          <w:shd w:val="clear" w:color="auto" w:fill="FFFFFF"/>
        </w:rPr>
        <w:t xml:space="preserve"> điểm, tăng 0,15 điểm (0,02%) so với phiên trước và tăng 14,82% so với cuối năm 2015. </w:t>
      </w:r>
      <w:proofErr w:type="gramStart"/>
      <w:r w:rsidRPr="00DE6E76">
        <w:rPr>
          <w:rFonts w:ascii="Arial" w:hAnsi="Arial" w:cs="Arial"/>
          <w:sz w:val="20"/>
          <w:szCs w:val="20"/>
          <w:shd w:val="clear" w:color="auto" w:fill="FFFFFF"/>
        </w:rPr>
        <w:t>Toàn sàn có 135 mã tăng, 94 mã giảm và 69 mã đứ</w:t>
      </w:r>
      <w:r w:rsidR="00082A85" w:rsidRPr="00DE6E76">
        <w:rPr>
          <w:rFonts w:ascii="Arial" w:hAnsi="Arial" w:cs="Arial"/>
          <w:sz w:val="20"/>
          <w:szCs w:val="20"/>
          <w:shd w:val="clear" w:color="auto" w:fill="FFFFFF"/>
        </w:rPr>
        <w:t>ng giá.</w:t>
      </w:r>
      <w:proofErr w:type="gramEnd"/>
      <w:r w:rsidR="00082A85" w:rsidRPr="00DE6E76">
        <w:rPr>
          <w:rFonts w:ascii="Arial" w:hAnsi="Arial" w:cs="Arial"/>
          <w:sz w:val="20"/>
          <w:szCs w:val="20"/>
          <w:shd w:val="clear" w:color="auto" w:fill="FFFFFF"/>
        </w:rPr>
        <w:t xml:space="preserve"> Tuy nhiên</w:t>
      </w:r>
      <w:r w:rsidRPr="00DE6E76">
        <w:rPr>
          <w:rFonts w:ascii="Arial" w:hAnsi="Arial" w:cs="Arial"/>
          <w:sz w:val="20"/>
          <w:szCs w:val="20"/>
          <w:shd w:val="clear" w:color="auto" w:fill="FFFFFF"/>
        </w:rPr>
        <w:t>, chỉ số HNX-Index tăng 0</w:t>
      </w:r>
      <w:proofErr w:type="gramStart"/>
      <w:r w:rsidRPr="00DE6E76">
        <w:rPr>
          <w:rFonts w:ascii="Arial" w:hAnsi="Arial" w:cs="Arial"/>
          <w:sz w:val="20"/>
          <w:szCs w:val="20"/>
          <w:shd w:val="clear" w:color="auto" w:fill="FFFFFF"/>
        </w:rPr>
        <w:t>,56</w:t>
      </w:r>
      <w:proofErr w:type="gramEnd"/>
      <w:r w:rsidRPr="00DE6E76">
        <w:rPr>
          <w:rFonts w:ascii="Arial" w:hAnsi="Arial" w:cs="Arial"/>
          <w:sz w:val="20"/>
          <w:szCs w:val="20"/>
          <w:shd w:val="clear" w:color="auto" w:fill="FFFFFF"/>
        </w:rPr>
        <w:t xml:space="preserve"> điểm (0,7%) lên mức 80,12 điểm và </w:t>
      </w:r>
      <w:r w:rsidR="00082A85" w:rsidRPr="00DE6E76">
        <w:rPr>
          <w:rFonts w:ascii="Arial" w:hAnsi="Arial" w:cs="Arial"/>
          <w:sz w:val="20"/>
          <w:szCs w:val="20"/>
          <w:shd w:val="clear" w:color="auto" w:fill="FFFFFF"/>
        </w:rPr>
        <w:t xml:space="preserve">chỉ </w:t>
      </w:r>
      <w:r w:rsidRPr="00DE6E76">
        <w:rPr>
          <w:rFonts w:ascii="Arial" w:hAnsi="Arial" w:cs="Arial"/>
          <w:sz w:val="20"/>
          <w:szCs w:val="20"/>
          <w:shd w:val="clear" w:color="auto" w:fill="FFFFFF"/>
        </w:rPr>
        <w:t xml:space="preserve">tăng </w:t>
      </w:r>
      <w:r w:rsidR="00082A85" w:rsidRPr="00DE6E76">
        <w:rPr>
          <w:rFonts w:ascii="Arial" w:hAnsi="Arial" w:cs="Arial"/>
          <w:sz w:val="20"/>
          <w:szCs w:val="20"/>
          <w:shd w:val="clear" w:color="auto" w:fill="FFFFFF"/>
        </w:rPr>
        <w:t xml:space="preserve">khiêm tốn </w:t>
      </w:r>
      <w:r w:rsidRPr="00DE6E76">
        <w:rPr>
          <w:rFonts w:ascii="Arial" w:hAnsi="Arial" w:cs="Arial"/>
          <w:sz w:val="20"/>
          <w:szCs w:val="20"/>
          <w:shd w:val="clear" w:color="auto" w:fill="FFFFFF"/>
        </w:rPr>
        <w:t>0,2% so vớ</w:t>
      </w:r>
      <w:r w:rsidR="00082A85" w:rsidRPr="00DE6E76">
        <w:rPr>
          <w:rFonts w:ascii="Arial" w:hAnsi="Arial" w:cs="Arial"/>
          <w:sz w:val="20"/>
          <w:szCs w:val="20"/>
          <w:shd w:val="clear" w:color="auto" w:fill="FFFFFF"/>
        </w:rPr>
        <w:t>i năm 2015</w:t>
      </w:r>
      <w:r w:rsidR="003C066E" w:rsidRPr="00DE6E76">
        <w:rPr>
          <w:rFonts w:ascii="Arial" w:hAnsi="Arial" w:cs="Arial"/>
          <w:sz w:val="20"/>
          <w:szCs w:val="20"/>
          <w:shd w:val="clear" w:color="auto" w:fill="FFFFFF"/>
        </w:rPr>
        <w:t>.</w:t>
      </w:r>
    </w:p>
    <w:p w:rsidR="00F32122" w:rsidRPr="00DE6E76" w:rsidRDefault="007921EA" w:rsidP="00DE6E76">
      <w:pPr>
        <w:spacing w:after="120" w:line="240" w:lineRule="auto"/>
        <w:jc w:val="both"/>
        <w:rPr>
          <w:rFonts w:ascii="Arial" w:hAnsi="Arial" w:cs="Arial"/>
          <w:i/>
          <w:sz w:val="20"/>
          <w:szCs w:val="20"/>
          <w:shd w:val="clear" w:color="auto" w:fill="FFFFFF"/>
        </w:rPr>
      </w:pPr>
      <w:r w:rsidRPr="00DE6E76">
        <w:rPr>
          <w:rFonts w:ascii="Arial" w:hAnsi="Arial" w:cs="Arial"/>
          <w:b/>
          <w:i/>
          <w:sz w:val="20"/>
          <w:szCs w:val="20"/>
          <w:shd w:val="clear" w:color="auto" w:fill="FFFFFF"/>
        </w:rPr>
        <w:t>Xuân Thanh</w:t>
      </w:r>
      <w:r w:rsidR="00DE6E76">
        <w:rPr>
          <w:rFonts w:ascii="Arial" w:hAnsi="Arial" w:cs="Arial"/>
          <w:b/>
          <w:i/>
          <w:sz w:val="20"/>
          <w:szCs w:val="20"/>
          <w:shd w:val="clear" w:color="auto" w:fill="FFFFFF"/>
        </w:rPr>
        <w:t xml:space="preserve"> </w:t>
      </w:r>
      <w:r w:rsidR="00DE6E76" w:rsidRPr="00DE6E76">
        <w:rPr>
          <w:rFonts w:ascii="Arial" w:hAnsi="Arial" w:cs="Arial"/>
          <w:i/>
          <w:sz w:val="20"/>
          <w:szCs w:val="20"/>
          <w:shd w:val="clear" w:color="auto" w:fill="FFFFFF"/>
        </w:rPr>
        <w:t>(</w:t>
      </w:r>
      <w:r w:rsidR="00F32122" w:rsidRPr="00DE6E76">
        <w:rPr>
          <w:rFonts w:ascii="Arial" w:hAnsi="Arial" w:cs="Arial"/>
          <w:i/>
          <w:sz w:val="20"/>
          <w:szCs w:val="20"/>
          <w:shd w:val="clear" w:color="auto" w:fill="FFFFFF"/>
        </w:rPr>
        <w:t>Nguồn: Bloomberg, Quỹ Tiền tệ quốc tế</w:t>
      </w:r>
      <w:r w:rsidR="00082A85" w:rsidRPr="00DE6E76">
        <w:rPr>
          <w:rFonts w:ascii="Arial" w:hAnsi="Arial" w:cs="Arial"/>
          <w:i/>
          <w:sz w:val="20"/>
          <w:szCs w:val="20"/>
          <w:shd w:val="clear" w:color="auto" w:fill="FFFFFF"/>
        </w:rPr>
        <w:t>, Reuters,</w:t>
      </w:r>
      <w:r w:rsidR="00DE6E76">
        <w:rPr>
          <w:rFonts w:ascii="Arial" w:hAnsi="Arial" w:cs="Arial"/>
          <w:i/>
          <w:sz w:val="20"/>
          <w:szCs w:val="20"/>
          <w:shd w:val="clear" w:color="auto" w:fill="FFFFFF"/>
        </w:rPr>
        <w:t xml:space="preserve"> WS. Journal)</w:t>
      </w:r>
    </w:p>
    <w:sectPr w:rsidR="00F32122" w:rsidRPr="00DE6E76" w:rsidSect="005840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771" w:rsidRDefault="00653771" w:rsidP="005C4A60">
      <w:pPr>
        <w:spacing w:after="0" w:line="240" w:lineRule="auto"/>
      </w:pPr>
      <w:r>
        <w:separator/>
      </w:r>
    </w:p>
  </w:endnote>
  <w:endnote w:type="continuationSeparator" w:id="0">
    <w:p w:rsidR="00653771" w:rsidRDefault="00653771" w:rsidP="005C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81" w:rsidRDefault="00565881" w:rsidP="00DE6E76">
    <w:pPr>
      <w:pStyle w:val="Footer"/>
    </w:pPr>
  </w:p>
  <w:p w:rsidR="00565881" w:rsidRDefault="00565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771" w:rsidRDefault="00653771" w:rsidP="005C4A60">
      <w:pPr>
        <w:spacing w:after="0" w:line="240" w:lineRule="auto"/>
      </w:pPr>
      <w:r>
        <w:separator/>
      </w:r>
    </w:p>
  </w:footnote>
  <w:footnote w:type="continuationSeparator" w:id="0">
    <w:p w:rsidR="00653771" w:rsidRDefault="00653771" w:rsidP="005C4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43"/>
    <w:multiLevelType w:val="hybridMultilevel"/>
    <w:tmpl w:val="7264C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F17B6A"/>
    <w:multiLevelType w:val="multilevel"/>
    <w:tmpl w:val="E0EC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75CCC"/>
    <w:multiLevelType w:val="multilevel"/>
    <w:tmpl w:val="8AA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8E387A"/>
    <w:multiLevelType w:val="multilevel"/>
    <w:tmpl w:val="995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14709"/>
    <w:multiLevelType w:val="multilevel"/>
    <w:tmpl w:val="EE3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7E0739"/>
    <w:multiLevelType w:val="multilevel"/>
    <w:tmpl w:val="7FB8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8C3141"/>
    <w:multiLevelType w:val="hybridMultilevel"/>
    <w:tmpl w:val="91168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BC5C5E"/>
    <w:multiLevelType w:val="hybridMultilevel"/>
    <w:tmpl w:val="9BE4E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0B3C52"/>
    <w:multiLevelType w:val="multilevel"/>
    <w:tmpl w:val="CF6C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A3556"/>
    <w:multiLevelType w:val="multilevel"/>
    <w:tmpl w:val="EA5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9F3904"/>
    <w:multiLevelType w:val="multilevel"/>
    <w:tmpl w:val="FF9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9E76BA"/>
    <w:multiLevelType w:val="multilevel"/>
    <w:tmpl w:val="FCDE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5"/>
  </w:num>
  <w:num w:numId="4">
    <w:abstractNumId w:val="2"/>
  </w:num>
  <w:num w:numId="5">
    <w:abstractNumId w:val="3"/>
  </w:num>
  <w:num w:numId="6">
    <w:abstractNumId w:val="1"/>
  </w:num>
  <w:num w:numId="7">
    <w:abstractNumId w:val="4"/>
  </w:num>
  <w:num w:numId="8">
    <w:abstractNumId w:val="11"/>
  </w:num>
  <w:num w:numId="9">
    <w:abstractNumId w:val="10"/>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40"/>
    <w:rsid w:val="0001055E"/>
    <w:rsid w:val="00014D05"/>
    <w:rsid w:val="00014D40"/>
    <w:rsid w:val="00040CEE"/>
    <w:rsid w:val="00082A85"/>
    <w:rsid w:val="00226D5D"/>
    <w:rsid w:val="00240614"/>
    <w:rsid w:val="0027523D"/>
    <w:rsid w:val="00276BC2"/>
    <w:rsid w:val="00296DE0"/>
    <w:rsid w:val="00336E97"/>
    <w:rsid w:val="00357CDD"/>
    <w:rsid w:val="003718C5"/>
    <w:rsid w:val="00372A3B"/>
    <w:rsid w:val="003945C9"/>
    <w:rsid w:val="003C066E"/>
    <w:rsid w:val="004222DF"/>
    <w:rsid w:val="00447C15"/>
    <w:rsid w:val="004F0E33"/>
    <w:rsid w:val="00562870"/>
    <w:rsid w:val="00565881"/>
    <w:rsid w:val="005840C2"/>
    <w:rsid w:val="00585758"/>
    <w:rsid w:val="005C4A60"/>
    <w:rsid w:val="005D0BA8"/>
    <w:rsid w:val="00653771"/>
    <w:rsid w:val="006549B8"/>
    <w:rsid w:val="006B285E"/>
    <w:rsid w:val="006E0FC0"/>
    <w:rsid w:val="0078302C"/>
    <w:rsid w:val="007921EA"/>
    <w:rsid w:val="007A67C1"/>
    <w:rsid w:val="0089184C"/>
    <w:rsid w:val="008B58C9"/>
    <w:rsid w:val="008C1934"/>
    <w:rsid w:val="008C53F2"/>
    <w:rsid w:val="00946C1E"/>
    <w:rsid w:val="009756D4"/>
    <w:rsid w:val="009D1E0D"/>
    <w:rsid w:val="00A01228"/>
    <w:rsid w:val="00A046C2"/>
    <w:rsid w:val="00AC4FBD"/>
    <w:rsid w:val="00B06839"/>
    <w:rsid w:val="00B15DB7"/>
    <w:rsid w:val="00BB3767"/>
    <w:rsid w:val="00BD3BA1"/>
    <w:rsid w:val="00C12CBF"/>
    <w:rsid w:val="00C3033D"/>
    <w:rsid w:val="00C76E9D"/>
    <w:rsid w:val="00D5242A"/>
    <w:rsid w:val="00D57B8B"/>
    <w:rsid w:val="00D654EB"/>
    <w:rsid w:val="00D9699C"/>
    <w:rsid w:val="00DC6F65"/>
    <w:rsid w:val="00DE69D4"/>
    <w:rsid w:val="00DE6E76"/>
    <w:rsid w:val="00DF4ADB"/>
    <w:rsid w:val="00E05E33"/>
    <w:rsid w:val="00E84A4D"/>
    <w:rsid w:val="00ED0FDA"/>
    <w:rsid w:val="00F110B0"/>
    <w:rsid w:val="00F32122"/>
    <w:rsid w:val="00F35707"/>
    <w:rsid w:val="00F7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4D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4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14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D40"/>
  </w:style>
  <w:style w:type="character" w:styleId="Hyperlink">
    <w:name w:val="Hyperlink"/>
    <w:basedOn w:val="DefaultParagraphFont"/>
    <w:uiPriority w:val="99"/>
    <w:semiHidden/>
    <w:unhideWhenUsed/>
    <w:rsid w:val="00014D40"/>
    <w:rPr>
      <w:color w:val="0000FF"/>
      <w:u w:val="single"/>
    </w:rPr>
  </w:style>
  <w:style w:type="character" w:styleId="Strong">
    <w:name w:val="Strong"/>
    <w:basedOn w:val="DefaultParagraphFont"/>
    <w:uiPriority w:val="22"/>
    <w:qFormat/>
    <w:rsid w:val="00E05E33"/>
    <w:rPr>
      <w:b/>
      <w:bCs/>
    </w:rPr>
  </w:style>
  <w:style w:type="character" w:customStyle="1" w:styleId="lede-text-onlyhighlight">
    <w:name w:val="lede-text-only__highlight"/>
    <w:basedOn w:val="DefaultParagraphFont"/>
    <w:rsid w:val="007A67C1"/>
  </w:style>
  <w:style w:type="paragraph" w:styleId="HTMLAddress">
    <w:name w:val="HTML Address"/>
    <w:basedOn w:val="Normal"/>
    <w:link w:val="HTMLAddressChar"/>
    <w:uiPriority w:val="99"/>
    <w:semiHidden/>
    <w:unhideWhenUsed/>
    <w:rsid w:val="007A67C1"/>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A67C1"/>
    <w:rPr>
      <w:rFonts w:ascii="Times New Roman" w:eastAsia="Times New Roman" w:hAnsi="Times New Roman" w:cs="Times New Roman"/>
      <w:i/>
      <w:iCs/>
      <w:sz w:val="24"/>
      <w:szCs w:val="24"/>
    </w:rPr>
  </w:style>
  <w:style w:type="paragraph" w:styleId="ListParagraph">
    <w:name w:val="List Paragraph"/>
    <w:basedOn w:val="Normal"/>
    <w:uiPriority w:val="34"/>
    <w:qFormat/>
    <w:rsid w:val="007A67C1"/>
    <w:pPr>
      <w:ind w:left="720"/>
      <w:contextualSpacing/>
    </w:pPr>
  </w:style>
  <w:style w:type="table" w:styleId="TableGrid">
    <w:name w:val="Table Grid"/>
    <w:basedOn w:val="TableNormal"/>
    <w:uiPriority w:val="59"/>
    <w:rsid w:val="00ED0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4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A60"/>
  </w:style>
  <w:style w:type="paragraph" w:styleId="Footer">
    <w:name w:val="footer"/>
    <w:basedOn w:val="Normal"/>
    <w:link w:val="FooterChar"/>
    <w:uiPriority w:val="99"/>
    <w:unhideWhenUsed/>
    <w:rsid w:val="005C4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4D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4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14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D40"/>
  </w:style>
  <w:style w:type="character" w:styleId="Hyperlink">
    <w:name w:val="Hyperlink"/>
    <w:basedOn w:val="DefaultParagraphFont"/>
    <w:uiPriority w:val="99"/>
    <w:semiHidden/>
    <w:unhideWhenUsed/>
    <w:rsid w:val="00014D40"/>
    <w:rPr>
      <w:color w:val="0000FF"/>
      <w:u w:val="single"/>
    </w:rPr>
  </w:style>
  <w:style w:type="character" w:styleId="Strong">
    <w:name w:val="Strong"/>
    <w:basedOn w:val="DefaultParagraphFont"/>
    <w:uiPriority w:val="22"/>
    <w:qFormat/>
    <w:rsid w:val="00E05E33"/>
    <w:rPr>
      <w:b/>
      <w:bCs/>
    </w:rPr>
  </w:style>
  <w:style w:type="character" w:customStyle="1" w:styleId="lede-text-onlyhighlight">
    <w:name w:val="lede-text-only__highlight"/>
    <w:basedOn w:val="DefaultParagraphFont"/>
    <w:rsid w:val="007A67C1"/>
  </w:style>
  <w:style w:type="paragraph" w:styleId="HTMLAddress">
    <w:name w:val="HTML Address"/>
    <w:basedOn w:val="Normal"/>
    <w:link w:val="HTMLAddressChar"/>
    <w:uiPriority w:val="99"/>
    <w:semiHidden/>
    <w:unhideWhenUsed/>
    <w:rsid w:val="007A67C1"/>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A67C1"/>
    <w:rPr>
      <w:rFonts w:ascii="Times New Roman" w:eastAsia="Times New Roman" w:hAnsi="Times New Roman" w:cs="Times New Roman"/>
      <w:i/>
      <w:iCs/>
      <w:sz w:val="24"/>
      <w:szCs w:val="24"/>
    </w:rPr>
  </w:style>
  <w:style w:type="paragraph" w:styleId="ListParagraph">
    <w:name w:val="List Paragraph"/>
    <w:basedOn w:val="Normal"/>
    <w:uiPriority w:val="34"/>
    <w:qFormat/>
    <w:rsid w:val="007A67C1"/>
    <w:pPr>
      <w:ind w:left="720"/>
      <w:contextualSpacing/>
    </w:pPr>
  </w:style>
  <w:style w:type="table" w:styleId="TableGrid">
    <w:name w:val="Table Grid"/>
    <w:basedOn w:val="TableNormal"/>
    <w:uiPriority w:val="59"/>
    <w:rsid w:val="00ED0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4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A60"/>
  </w:style>
  <w:style w:type="paragraph" w:styleId="Footer">
    <w:name w:val="footer"/>
    <w:basedOn w:val="Normal"/>
    <w:link w:val="FooterChar"/>
    <w:uiPriority w:val="99"/>
    <w:unhideWhenUsed/>
    <w:rsid w:val="005C4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1378">
      <w:bodyDiv w:val="1"/>
      <w:marLeft w:val="0"/>
      <w:marRight w:val="0"/>
      <w:marTop w:val="0"/>
      <w:marBottom w:val="0"/>
      <w:divBdr>
        <w:top w:val="none" w:sz="0" w:space="0" w:color="auto"/>
        <w:left w:val="none" w:sz="0" w:space="0" w:color="auto"/>
        <w:bottom w:val="none" w:sz="0" w:space="0" w:color="auto"/>
        <w:right w:val="none" w:sz="0" w:space="0" w:color="auto"/>
      </w:divBdr>
    </w:div>
    <w:div w:id="157698222">
      <w:bodyDiv w:val="1"/>
      <w:marLeft w:val="0"/>
      <w:marRight w:val="0"/>
      <w:marTop w:val="0"/>
      <w:marBottom w:val="0"/>
      <w:divBdr>
        <w:top w:val="none" w:sz="0" w:space="0" w:color="auto"/>
        <w:left w:val="none" w:sz="0" w:space="0" w:color="auto"/>
        <w:bottom w:val="none" w:sz="0" w:space="0" w:color="auto"/>
        <w:right w:val="none" w:sz="0" w:space="0" w:color="auto"/>
      </w:divBdr>
    </w:div>
    <w:div w:id="158355173">
      <w:bodyDiv w:val="1"/>
      <w:marLeft w:val="0"/>
      <w:marRight w:val="0"/>
      <w:marTop w:val="0"/>
      <w:marBottom w:val="0"/>
      <w:divBdr>
        <w:top w:val="none" w:sz="0" w:space="0" w:color="auto"/>
        <w:left w:val="none" w:sz="0" w:space="0" w:color="auto"/>
        <w:bottom w:val="none" w:sz="0" w:space="0" w:color="auto"/>
        <w:right w:val="none" w:sz="0" w:space="0" w:color="auto"/>
      </w:divBdr>
    </w:div>
    <w:div w:id="223444568">
      <w:bodyDiv w:val="1"/>
      <w:marLeft w:val="0"/>
      <w:marRight w:val="0"/>
      <w:marTop w:val="0"/>
      <w:marBottom w:val="0"/>
      <w:divBdr>
        <w:top w:val="none" w:sz="0" w:space="0" w:color="auto"/>
        <w:left w:val="none" w:sz="0" w:space="0" w:color="auto"/>
        <w:bottom w:val="none" w:sz="0" w:space="0" w:color="auto"/>
        <w:right w:val="none" w:sz="0" w:space="0" w:color="auto"/>
      </w:divBdr>
      <w:divsChild>
        <w:div w:id="1590233120">
          <w:marLeft w:val="0"/>
          <w:marRight w:val="0"/>
          <w:marTop w:val="0"/>
          <w:marBottom w:val="0"/>
          <w:divBdr>
            <w:top w:val="none" w:sz="0" w:space="0" w:color="auto"/>
            <w:left w:val="none" w:sz="0" w:space="0" w:color="auto"/>
            <w:bottom w:val="none" w:sz="0" w:space="0" w:color="auto"/>
            <w:right w:val="none" w:sz="0" w:space="0" w:color="auto"/>
          </w:divBdr>
          <w:divsChild>
            <w:div w:id="1773276340">
              <w:marLeft w:val="0"/>
              <w:marRight w:val="0"/>
              <w:marTop w:val="100"/>
              <w:marBottom w:val="100"/>
              <w:divBdr>
                <w:top w:val="none" w:sz="0" w:space="0" w:color="auto"/>
                <w:left w:val="none" w:sz="0" w:space="0" w:color="auto"/>
                <w:bottom w:val="none" w:sz="0" w:space="0" w:color="auto"/>
                <w:right w:val="none" w:sz="0" w:space="0" w:color="auto"/>
              </w:divBdr>
              <w:divsChild>
                <w:div w:id="19666361">
                  <w:marLeft w:val="0"/>
                  <w:marRight w:val="0"/>
                  <w:marTop w:val="0"/>
                  <w:marBottom w:val="0"/>
                  <w:divBdr>
                    <w:top w:val="none" w:sz="0" w:space="0" w:color="auto"/>
                    <w:left w:val="none" w:sz="0" w:space="0" w:color="auto"/>
                    <w:bottom w:val="none" w:sz="0" w:space="0" w:color="auto"/>
                    <w:right w:val="none" w:sz="0" w:space="0" w:color="auto"/>
                  </w:divBdr>
                  <w:divsChild>
                    <w:div w:id="1601720625">
                      <w:marLeft w:val="0"/>
                      <w:marRight w:val="0"/>
                      <w:marTop w:val="0"/>
                      <w:marBottom w:val="0"/>
                      <w:divBdr>
                        <w:top w:val="none" w:sz="0" w:space="0" w:color="auto"/>
                        <w:left w:val="none" w:sz="0" w:space="0" w:color="auto"/>
                        <w:bottom w:val="none" w:sz="0" w:space="0" w:color="auto"/>
                        <w:right w:val="none" w:sz="0" w:space="0" w:color="auto"/>
                      </w:divBdr>
                    </w:div>
                    <w:div w:id="15882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77942">
          <w:marLeft w:val="0"/>
          <w:marRight w:val="0"/>
          <w:marTop w:val="100"/>
          <w:marBottom w:val="100"/>
          <w:divBdr>
            <w:top w:val="none" w:sz="0" w:space="0" w:color="auto"/>
            <w:left w:val="none" w:sz="0" w:space="0" w:color="auto"/>
            <w:bottom w:val="none" w:sz="0" w:space="0" w:color="auto"/>
            <w:right w:val="none" w:sz="0" w:space="0" w:color="auto"/>
          </w:divBdr>
          <w:divsChild>
            <w:div w:id="12778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39221">
      <w:bodyDiv w:val="1"/>
      <w:marLeft w:val="0"/>
      <w:marRight w:val="0"/>
      <w:marTop w:val="0"/>
      <w:marBottom w:val="0"/>
      <w:divBdr>
        <w:top w:val="none" w:sz="0" w:space="0" w:color="auto"/>
        <w:left w:val="none" w:sz="0" w:space="0" w:color="auto"/>
        <w:bottom w:val="none" w:sz="0" w:space="0" w:color="auto"/>
        <w:right w:val="none" w:sz="0" w:space="0" w:color="auto"/>
      </w:divBdr>
    </w:div>
    <w:div w:id="668749082">
      <w:bodyDiv w:val="1"/>
      <w:marLeft w:val="0"/>
      <w:marRight w:val="0"/>
      <w:marTop w:val="0"/>
      <w:marBottom w:val="0"/>
      <w:divBdr>
        <w:top w:val="none" w:sz="0" w:space="0" w:color="auto"/>
        <w:left w:val="none" w:sz="0" w:space="0" w:color="auto"/>
        <w:bottom w:val="none" w:sz="0" w:space="0" w:color="auto"/>
        <w:right w:val="none" w:sz="0" w:space="0" w:color="auto"/>
      </w:divBdr>
    </w:div>
    <w:div w:id="872691248">
      <w:bodyDiv w:val="1"/>
      <w:marLeft w:val="0"/>
      <w:marRight w:val="0"/>
      <w:marTop w:val="0"/>
      <w:marBottom w:val="0"/>
      <w:divBdr>
        <w:top w:val="none" w:sz="0" w:space="0" w:color="auto"/>
        <w:left w:val="none" w:sz="0" w:space="0" w:color="auto"/>
        <w:bottom w:val="none" w:sz="0" w:space="0" w:color="auto"/>
        <w:right w:val="none" w:sz="0" w:space="0" w:color="auto"/>
      </w:divBdr>
    </w:div>
    <w:div w:id="929385980">
      <w:bodyDiv w:val="1"/>
      <w:marLeft w:val="0"/>
      <w:marRight w:val="0"/>
      <w:marTop w:val="0"/>
      <w:marBottom w:val="0"/>
      <w:divBdr>
        <w:top w:val="none" w:sz="0" w:space="0" w:color="auto"/>
        <w:left w:val="none" w:sz="0" w:space="0" w:color="auto"/>
        <w:bottom w:val="none" w:sz="0" w:space="0" w:color="auto"/>
        <w:right w:val="none" w:sz="0" w:space="0" w:color="auto"/>
      </w:divBdr>
    </w:div>
    <w:div w:id="1017387268">
      <w:bodyDiv w:val="1"/>
      <w:marLeft w:val="0"/>
      <w:marRight w:val="0"/>
      <w:marTop w:val="0"/>
      <w:marBottom w:val="0"/>
      <w:divBdr>
        <w:top w:val="none" w:sz="0" w:space="0" w:color="auto"/>
        <w:left w:val="none" w:sz="0" w:space="0" w:color="auto"/>
        <w:bottom w:val="none" w:sz="0" w:space="0" w:color="auto"/>
        <w:right w:val="none" w:sz="0" w:space="0" w:color="auto"/>
      </w:divBdr>
    </w:div>
    <w:div w:id="1104763248">
      <w:bodyDiv w:val="1"/>
      <w:marLeft w:val="0"/>
      <w:marRight w:val="0"/>
      <w:marTop w:val="0"/>
      <w:marBottom w:val="0"/>
      <w:divBdr>
        <w:top w:val="none" w:sz="0" w:space="0" w:color="auto"/>
        <w:left w:val="none" w:sz="0" w:space="0" w:color="auto"/>
        <w:bottom w:val="none" w:sz="0" w:space="0" w:color="auto"/>
        <w:right w:val="none" w:sz="0" w:space="0" w:color="auto"/>
      </w:divBdr>
    </w:div>
    <w:div w:id="1202669501">
      <w:bodyDiv w:val="1"/>
      <w:marLeft w:val="0"/>
      <w:marRight w:val="0"/>
      <w:marTop w:val="0"/>
      <w:marBottom w:val="0"/>
      <w:divBdr>
        <w:top w:val="none" w:sz="0" w:space="0" w:color="auto"/>
        <w:left w:val="none" w:sz="0" w:space="0" w:color="auto"/>
        <w:bottom w:val="none" w:sz="0" w:space="0" w:color="auto"/>
        <w:right w:val="none" w:sz="0" w:space="0" w:color="auto"/>
      </w:divBdr>
    </w:div>
    <w:div w:id="1247768661">
      <w:bodyDiv w:val="1"/>
      <w:marLeft w:val="0"/>
      <w:marRight w:val="0"/>
      <w:marTop w:val="0"/>
      <w:marBottom w:val="0"/>
      <w:divBdr>
        <w:top w:val="none" w:sz="0" w:space="0" w:color="auto"/>
        <w:left w:val="none" w:sz="0" w:space="0" w:color="auto"/>
        <w:bottom w:val="none" w:sz="0" w:space="0" w:color="auto"/>
        <w:right w:val="none" w:sz="0" w:space="0" w:color="auto"/>
      </w:divBdr>
    </w:div>
    <w:div w:id="1250045199">
      <w:bodyDiv w:val="1"/>
      <w:marLeft w:val="0"/>
      <w:marRight w:val="0"/>
      <w:marTop w:val="0"/>
      <w:marBottom w:val="0"/>
      <w:divBdr>
        <w:top w:val="none" w:sz="0" w:space="0" w:color="auto"/>
        <w:left w:val="none" w:sz="0" w:space="0" w:color="auto"/>
        <w:bottom w:val="none" w:sz="0" w:space="0" w:color="auto"/>
        <w:right w:val="none" w:sz="0" w:space="0" w:color="auto"/>
      </w:divBdr>
    </w:div>
    <w:div w:id="1253663844">
      <w:bodyDiv w:val="1"/>
      <w:marLeft w:val="0"/>
      <w:marRight w:val="0"/>
      <w:marTop w:val="0"/>
      <w:marBottom w:val="0"/>
      <w:divBdr>
        <w:top w:val="none" w:sz="0" w:space="0" w:color="auto"/>
        <w:left w:val="none" w:sz="0" w:space="0" w:color="auto"/>
        <w:bottom w:val="none" w:sz="0" w:space="0" w:color="auto"/>
        <w:right w:val="none" w:sz="0" w:space="0" w:color="auto"/>
      </w:divBdr>
    </w:div>
    <w:div w:id="1305163769">
      <w:bodyDiv w:val="1"/>
      <w:marLeft w:val="0"/>
      <w:marRight w:val="0"/>
      <w:marTop w:val="0"/>
      <w:marBottom w:val="0"/>
      <w:divBdr>
        <w:top w:val="none" w:sz="0" w:space="0" w:color="auto"/>
        <w:left w:val="none" w:sz="0" w:space="0" w:color="auto"/>
        <w:bottom w:val="none" w:sz="0" w:space="0" w:color="auto"/>
        <w:right w:val="none" w:sz="0" w:space="0" w:color="auto"/>
      </w:divBdr>
    </w:div>
    <w:div w:id="1307973331">
      <w:bodyDiv w:val="1"/>
      <w:marLeft w:val="0"/>
      <w:marRight w:val="0"/>
      <w:marTop w:val="0"/>
      <w:marBottom w:val="0"/>
      <w:divBdr>
        <w:top w:val="none" w:sz="0" w:space="0" w:color="auto"/>
        <w:left w:val="none" w:sz="0" w:space="0" w:color="auto"/>
        <w:bottom w:val="none" w:sz="0" w:space="0" w:color="auto"/>
        <w:right w:val="none" w:sz="0" w:space="0" w:color="auto"/>
      </w:divBdr>
    </w:div>
    <w:div w:id="1404336193">
      <w:bodyDiv w:val="1"/>
      <w:marLeft w:val="0"/>
      <w:marRight w:val="0"/>
      <w:marTop w:val="0"/>
      <w:marBottom w:val="0"/>
      <w:divBdr>
        <w:top w:val="none" w:sz="0" w:space="0" w:color="auto"/>
        <w:left w:val="none" w:sz="0" w:space="0" w:color="auto"/>
        <w:bottom w:val="none" w:sz="0" w:space="0" w:color="auto"/>
        <w:right w:val="none" w:sz="0" w:space="0" w:color="auto"/>
      </w:divBdr>
    </w:div>
    <w:div w:id="1477457473">
      <w:bodyDiv w:val="1"/>
      <w:marLeft w:val="0"/>
      <w:marRight w:val="0"/>
      <w:marTop w:val="0"/>
      <w:marBottom w:val="0"/>
      <w:divBdr>
        <w:top w:val="none" w:sz="0" w:space="0" w:color="auto"/>
        <w:left w:val="none" w:sz="0" w:space="0" w:color="auto"/>
        <w:bottom w:val="none" w:sz="0" w:space="0" w:color="auto"/>
        <w:right w:val="none" w:sz="0" w:space="0" w:color="auto"/>
      </w:divBdr>
    </w:div>
    <w:div w:id="20722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2017-01-03T01:02:00Z</cp:lastPrinted>
  <dcterms:created xsi:type="dcterms:W3CDTF">2017-01-03T02:16:00Z</dcterms:created>
  <dcterms:modified xsi:type="dcterms:W3CDTF">2017-01-03T02:19:00Z</dcterms:modified>
</cp:coreProperties>
</file>