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90A" w:rsidRPr="00D46887" w:rsidRDefault="00FD66EF" w:rsidP="00D46887">
      <w:pPr>
        <w:shd w:val="clear" w:color="auto" w:fill="FFFFFF"/>
        <w:spacing w:after="60" w:line="240" w:lineRule="auto"/>
        <w:jc w:val="both"/>
        <w:rPr>
          <w:rFonts w:ascii="Arial" w:eastAsia="Times New Roman" w:hAnsi="Arial" w:cs="Arial"/>
          <w:sz w:val="20"/>
          <w:szCs w:val="20"/>
        </w:rPr>
      </w:pPr>
      <w:r w:rsidRPr="00D46887">
        <w:rPr>
          <w:rFonts w:ascii="Arial" w:eastAsia="Times New Roman" w:hAnsi="Arial" w:cs="Arial"/>
          <w:sz w:val="20"/>
          <w:szCs w:val="20"/>
        </w:rPr>
        <w:t>Báo cáo nhận định</w:t>
      </w:r>
      <w:r w:rsidR="00ED08D9" w:rsidRPr="00D46887">
        <w:rPr>
          <w:rFonts w:ascii="Arial" w:eastAsia="Times New Roman" w:hAnsi="Arial" w:cs="Arial"/>
          <w:sz w:val="20"/>
          <w:szCs w:val="20"/>
        </w:rPr>
        <w:t>, trao đổi hàng hóa toàn cầu năm 2016 ghi nhận mức tăng thấp nhất trong thời g</w:t>
      </w:r>
      <w:r w:rsidR="008A590A" w:rsidRPr="00D46887">
        <w:rPr>
          <w:rFonts w:ascii="Arial" w:eastAsia="Times New Roman" w:hAnsi="Arial" w:cs="Arial"/>
          <w:sz w:val="20"/>
          <w:szCs w:val="20"/>
        </w:rPr>
        <w:t>ian qua với kết quả tăng</w:t>
      </w:r>
      <w:r w:rsidR="00ED08D9" w:rsidRPr="00D46887">
        <w:rPr>
          <w:rFonts w:ascii="Arial" w:eastAsia="Times New Roman" w:hAnsi="Arial" w:cs="Arial"/>
          <w:sz w:val="20"/>
          <w:szCs w:val="20"/>
        </w:rPr>
        <w:t xml:space="preserve"> khoảng 1,0%, thấp h</w:t>
      </w:r>
      <w:r w:rsidR="008A590A" w:rsidRPr="00D46887">
        <w:rPr>
          <w:rFonts w:ascii="Arial" w:eastAsia="Times New Roman" w:hAnsi="Arial" w:cs="Arial"/>
          <w:sz w:val="20"/>
          <w:szCs w:val="20"/>
        </w:rPr>
        <w:t>ơn nhiều so với kết quả tăng 2,0</w:t>
      </w:r>
      <w:r w:rsidR="00ED08D9" w:rsidRPr="00D46887">
        <w:rPr>
          <w:rFonts w:ascii="Arial" w:eastAsia="Times New Roman" w:hAnsi="Arial" w:cs="Arial"/>
          <w:sz w:val="20"/>
          <w:szCs w:val="20"/>
        </w:rPr>
        <w:t xml:space="preserve">% trong năm 2015 và 2,7% trong năm 2014. Đáng chú ý, xu hướng thương mại tăng thấp trong năm 2016 xảy ra cả tại hầu khắp các nước trên thế giới, khác hẳn với những năm trước </w:t>
      </w:r>
      <w:r w:rsidR="00BF14D7" w:rsidRPr="00D46887">
        <w:rPr>
          <w:rFonts w:ascii="Arial" w:eastAsia="Times New Roman" w:hAnsi="Arial" w:cs="Arial"/>
          <w:sz w:val="20"/>
          <w:szCs w:val="20"/>
        </w:rPr>
        <w:t xml:space="preserve">đó </w:t>
      </w:r>
      <w:r w:rsidR="00ED08D9" w:rsidRPr="00D46887">
        <w:rPr>
          <w:rFonts w:ascii="Arial" w:eastAsia="Times New Roman" w:hAnsi="Arial" w:cs="Arial"/>
          <w:sz w:val="20"/>
          <w:szCs w:val="20"/>
        </w:rPr>
        <w:t xml:space="preserve">là chỉ xảy ra tại các nước thu nhập cao. </w:t>
      </w:r>
      <w:proofErr w:type="gramStart"/>
      <w:r w:rsidR="00ED08D9" w:rsidRPr="00D46887">
        <w:rPr>
          <w:rFonts w:ascii="Arial" w:eastAsia="Times New Roman" w:hAnsi="Arial" w:cs="Arial"/>
          <w:sz w:val="20"/>
          <w:szCs w:val="20"/>
        </w:rPr>
        <w:t>Tuy nhiên, trao đổi dịch vụ ghi nhận một năm phát triển bền vững nhất kể từ sau khủng hoảng tài chính toàn cầu.</w:t>
      </w:r>
      <w:proofErr w:type="gramEnd"/>
      <w:r w:rsidR="00ED08D9" w:rsidRPr="00D46887">
        <w:rPr>
          <w:rFonts w:ascii="Arial" w:eastAsia="Times New Roman" w:hAnsi="Arial" w:cs="Arial"/>
          <w:sz w:val="20"/>
          <w:szCs w:val="20"/>
        </w:rPr>
        <w:t xml:space="preserve"> </w:t>
      </w:r>
    </w:p>
    <w:p w:rsidR="008A590A" w:rsidRPr="00D46887" w:rsidRDefault="008A590A" w:rsidP="00D46887">
      <w:pPr>
        <w:shd w:val="clear" w:color="auto" w:fill="FFFFFF"/>
        <w:spacing w:after="60" w:line="240" w:lineRule="auto"/>
        <w:jc w:val="both"/>
        <w:rPr>
          <w:rFonts w:ascii="Arial" w:eastAsia="Times New Roman" w:hAnsi="Arial" w:cs="Arial"/>
          <w:sz w:val="20"/>
          <w:szCs w:val="20"/>
        </w:rPr>
      </w:pPr>
      <w:r w:rsidRPr="00D46887">
        <w:rPr>
          <w:rFonts w:ascii="Arial" w:eastAsia="Times New Roman" w:hAnsi="Arial" w:cs="Arial"/>
          <w:sz w:val="20"/>
          <w:szCs w:val="20"/>
        </w:rPr>
        <w:t xml:space="preserve">Sau năm 2008, hoạt động thương mại và dịch vụ trên thế giới phát triển </w:t>
      </w:r>
      <w:proofErr w:type="gramStart"/>
      <w:r w:rsidRPr="00D46887">
        <w:rPr>
          <w:rFonts w:ascii="Arial" w:eastAsia="Times New Roman" w:hAnsi="Arial" w:cs="Arial"/>
          <w:sz w:val="20"/>
          <w:szCs w:val="20"/>
        </w:rPr>
        <w:t>theo</w:t>
      </w:r>
      <w:proofErr w:type="gramEnd"/>
      <w:r w:rsidRPr="00D46887">
        <w:rPr>
          <w:rFonts w:ascii="Arial" w:eastAsia="Times New Roman" w:hAnsi="Arial" w:cs="Arial"/>
          <w:sz w:val="20"/>
          <w:szCs w:val="20"/>
        </w:rPr>
        <w:t xml:space="preserve"> quỹ đạo khác nhau. </w:t>
      </w:r>
      <w:proofErr w:type="gramStart"/>
      <w:r w:rsidRPr="00D46887">
        <w:rPr>
          <w:rFonts w:ascii="Arial" w:eastAsia="Times New Roman" w:hAnsi="Arial" w:cs="Arial"/>
          <w:sz w:val="20"/>
          <w:szCs w:val="20"/>
        </w:rPr>
        <w:t xml:space="preserve">Trong thời kỳ khủng hoảng và hiện nay, trao đổi dịch vụ thể hiện xu hướng phát triển </w:t>
      </w:r>
      <w:r w:rsidR="00BF14D7" w:rsidRPr="00D46887">
        <w:rPr>
          <w:rFonts w:ascii="Arial" w:eastAsia="Times New Roman" w:hAnsi="Arial" w:cs="Arial"/>
          <w:sz w:val="20"/>
          <w:szCs w:val="20"/>
        </w:rPr>
        <w:t xml:space="preserve">khá </w:t>
      </w:r>
      <w:r w:rsidRPr="00D46887">
        <w:rPr>
          <w:rFonts w:ascii="Arial" w:eastAsia="Times New Roman" w:hAnsi="Arial" w:cs="Arial"/>
          <w:sz w:val="20"/>
          <w:szCs w:val="20"/>
        </w:rPr>
        <w:t>bền vững, trong khi trao đổi hàng hóa có xu hướng tăng chậm dần.</w:t>
      </w:r>
      <w:proofErr w:type="gramEnd"/>
      <w:r w:rsidRPr="00D46887">
        <w:rPr>
          <w:rFonts w:ascii="Arial" w:eastAsia="Times New Roman" w:hAnsi="Arial" w:cs="Arial"/>
          <w:sz w:val="20"/>
          <w:szCs w:val="20"/>
        </w:rPr>
        <w:t xml:space="preserve"> </w:t>
      </w:r>
      <w:proofErr w:type="gramStart"/>
      <w:r w:rsidRPr="00D46887">
        <w:rPr>
          <w:rFonts w:ascii="Arial" w:eastAsia="Times New Roman" w:hAnsi="Arial" w:cs="Arial"/>
          <w:sz w:val="20"/>
          <w:szCs w:val="20"/>
        </w:rPr>
        <w:t>Trong giai đoạn 2012-2016, thương mại toàn cầu tăng trung bình 3%/năm, thấp hơn kết quả tăng trung bình 7%/năm trong giai đoạn 1994-2008.</w:t>
      </w:r>
      <w:proofErr w:type="gramEnd"/>
      <w:r w:rsidRPr="00D46887">
        <w:rPr>
          <w:rFonts w:ascii="Arial" w:eastAsia="Times New Roman" w:hAnsi="Arial" w:cs="Arial"/>
          <w:sz w:val="20"/>
          <w:szCs w:val="20"/>
        </w:rPr>
        <w:t xml:space="preserve"> Tương tự, năng suất lao động trong giai đoạn 2012-2016 cũng chỉ t</w:t>
      </w:r>
      <w:r w:rsidR="00FD66EF" w:rsidRPr="00D46887">
        <w:rPr>
          <w:rFonts w:ascii="Arial" w:eastAsia="Times New Roman" w:hAnsi="Arial" w:cs="Arial"/>
          <w:sz w:val="20"/>
          <w:szCs w:val="20"/>
        </w:rPr>
        <w:t>ăng khoảng 1%/năm, thấp hơn tốc độ</w:t>
      </w:r>
      <w:r w:rsidRPr="00D46887">
        <w:rPr>
          <w:rFonts w:ascii="Arial" w:eastAsia="Times New Roman" w:hAnsi="Arial" w:cs="Arial"/>
          <w:sz w:val="20"/>
          <w:szCs w:val="20"/>
        </w:rPr>
        <w:t xml:space="preserve"> tăng </w:t>
      </w:r>
      <w:proofErr w:type="gramStart"/>
      <w:r w:rsidRPr="00D46887">
        <w:rPr>
          <w:rFonts w:ascii="Arial" w:eastAsia="Times New Roman" w:hAnsi="Arial" w:cs="Arial"/>
          <w:sz w:val="20"/>
          <w:szCs w:val="20"/>
        </w:rPr>
        <w:t>trung  bình</w:t>
      </w:r>
      <w:proofErr w:type="gramEnd"/>
      <w:r w:rsidRPr="00D46887">
        <w:rPr>
          <w:rFonts w:ascii="Arial" w:eastAsia="Times New Roman" w:hAnsi="Arial" w:cs="Arial"/>
          <w:sz w:val="20"/>
          <w:szCs w:val="20"/>
        </w:rPr>
        <w:t xml:space="preserve"> 2%/năm trong giai đoạn 1994-2008.</w:t>
      </w:r>
    </w:p>
    <w:p w:rsidR="00ED08D9" w:rsidRPr="00D46887" w:rsidRDefault="00ED08D9" w:rsidP="00D46887">
      <w:pPr>
        <w:shd w:val="clear" w:color="auto" w:fill="FFFFFF"/>
        <w:spacing w:after="60" w:line="240" w:lineRule="auto"/>
        <w:jc w:val="both"/>
        <w:rPr>
          <w:rFonts w:ascii="Arial" w:eastAsia="Times New Roman" w:hAnsi="Arial" w:cs="Arial"/>
          <w:sz w:val="20"/>
          <w:szCs w:val="20"/>
        </w:rPr>
      </w:pPr>
      <w:r w:rsidRPr="00D46887">
        <w:rPr>
          <w:rFonts w:ascii="Arial" w:eastAsia="Times New Roman" w:hAnsi="Arial" w:cs="Arial"/>
          <w:sz w:val="20"/>
          <w:szCs w:val="20"/>
        </w:rPr>
        <w:t xml:space="preserve">Kết quả phát triển thương mại năm 2016 phản ánh hàng loạt thay đổi mang tính cơ cấu, bao gồm sự phát triển chín muồi của các chuỗi </w:t>
      </w:r>
      <w:proofErr w:type="gramStart"/>
      <w:r w:rsidRPr="00D46887">
        <w:rPr>
          <w:rFonts w:ascii="Arial" w:eastAsia="Times New Roman" w:hAnsi="Arial" w:cs="Arial"/>
          <w:sz w:val="20"/>
          <w:szCs w:val="20"/>
        </w:rPr>
        <w:t>giá  trị</w:t>
      </w:r>
      <w:proofErr w:type="gramEnd"/>
      <w:r w:rsidRPr="00D46887">
        <w:rPr>
          <w:rFonts w:ascii="Arial" w:eastAsia="Times New Roman" w:hAnsi="Arial" w:cs="Arial"/>
          <w:sz w:val="20"/>
          <w:szCs w:val="20"/>
        </w:rPr>
        <w:t xml:space="preserve"> toàn cầu (GVCs), quá trình tự do hóa thương mại tăng chậm dần, một số yếu tố mang tính chu kỳ như kinh tế toàn cầu tăng c</w:t>
      </w:r>
      <w:r w:rsidR="006E7C35" w:rsidRPr="00D46887">
        <w:rPr>
          <w:rFonts w:ascii="Arial" w:eastAsia="Times New Roman" w:hAnsi="Arial" w:cs="Arial"/>
          <w:sz w:val="20"/>
          <w:szCs w:val="20"/>
        </w:rPr>
        <w:t>h</w:t>
      </w:r>
      <w:r w:rsidRPr="00D46887">
        <w:rPr>
          <w:rFonts w:ascii="Arial" w:eastAsia="Times New Roman" w:hAnsi="Arial" w:cs="Arial"/>
          <w:sz w:val="20"/>
          <w:szCs w:val="20"/>
        </w:rPr>
        <w:t>ậm và giá cả hàng hóa ở mức thấp</w:t>
      </w:r>
      <w:r w:rsidR="008A590A" w:rsidRPr="00D46887">
        <w:rPr>
          <w:rFonts w:ascii="Arial" w:eastAsia="Times New Roman" w:hAnsi="Arial" w:cs="Arial"/>
          <w:sz w:val="20"/>
          <w:szCs w:val="20"/>
        </w:rPr>
        <w:t>, nỗ lực tái cân bằng kinh tế tại Trung Quốc</w:t>
      </w:r>
      <w:r w:rsidR="00FD66EF" w:rsidRPr="00D46887">
        <w:rPr>
          <w:rFonts w:ascii="Arial" w:eastAsia="Times New Roman" w:hAnsi="Arial" w:cs="Arial"/>
          <w:sz w:val="20"/>
          <w:szCs w:val="20"/>
        </w:rPr>
        <w:t xml:space="preserve">. </w:t>
      </w:r>
      <w:proofErr w:type="gramStart"/>
      <w:r w:rsidR="00FD66EF" w:rsidRPr="00D46887">
        <w:rPr>
          <w:rFonts w:ascii="Arial" w:eastAsia="Times New Roman" w:hAnsi="Arial" w:cs="Arial"/>
          <w:sz w:val="20"/>
          <w:szCs w:val="20"/>
        </w:rPr>
        <w:t>Ngoài ra, bất ổn chính sách</w:t>
      </w:r>
      <w:r w:rsidRPr="00D46887">
        <w:rPr>
          <w:rFonts w:ascii="Arial" w:eastAsia="Times New Roman" w:hAnsi="Arial" w:cs="Arial"/>
          <w:sz w:val="20"/>
          <w:szCs w:val="20"/>
        </w:rPr>
        <w:t xml:space="preserve"> cũng ảnh hưởng tiêu cực đến hoạt động thương mại trong năm 2016.</w:t>
      </w:r>
      <w:proofErr w:type="gramEnd"/>
      <w:r w:rsidRPr="00D46887">
        <w:rPr>
          <w:rFonts w:ascii="Arial" w:eastAsia="Times New Roman" w:hAnsi="Arial" w:cs="Arial"/>
          <w:sz w:val="20"/>
          <w:szCs w:val="20"/>
        </w:rPr>
        <w:t xml:space="preserve">  </w:t>
      </w:r>
    </w:p>
    <w:p w:rsidR="00ED08D9" w:rsidRPr="00D46887" w:rsidRDefault="00ED08D9" w:rsidP="00D46887">
      <w:pPr>
        <w:shd w:val="clear" w:color="auto" w:fill="FFFFFF"/>
        <w:spacing w:after="60" w:line="240" w:lineRule="auto"/>
        <w:jc w:val="center"/>
        <w:rPr>
          <w:rFonts w:ascii="Arial" w:eastAsia="Times New Roman" w:hAnsi="Arial" w:cs="Arial"/>
          <w:b/>
          <w:i/>
          <w:sz w:val="20"/>
          <w:szCs w:val="20"/>
        </w:rPr>
      </w:pPr>
      <w:r w:rsidRPr="00D46887">
        <w:rPr>
          <w:rFonts w:ascii="Arial" w:eastAsia="Times New Roman" w:hAnsi="Arial" w:cs="Arial"/>
          <w:b/>
          <w:i/>
          <w:sz w:val="20"/>
          <w:szCs w:val="20"/>
        </w:rPr>
        <w:t>Tăng trưởng thương mại và dịch vụ toàn cầu 2012-2016 (% so với năm trước)</w:t>
      </w:r>
    </w:p>
    <w:tbl>
      <w:tblPr>
        <w:tblStyle w:val="TableGrid"/>
        <w:tblW w:w="0" w:type="auto"/>
        <w:jc w:val="center"/>
        <w:tblInd w:w="738" w:type="dxa"/>
        <w:tblLook w:val="04A0" w:firstRow="1" w:lastRow="0" w:firstColumn="1" w:lastColumn="0" w:noHBand="0" w:noVBand="1"/>
      </w:tblPr>
      <w:tblGrid>
        <w:gridCol w:w="1224"/>
        <w:gridCol w:w="2520"/>
        <w:gridCol w:w="2250"/>
        <w:gridCol w:w="2466"/>
      </w:tblGrid>
      <w:tr w:rsidR="00744DB3" w:rsidRPr="00E97C5B" w:rsidTr="00F97A4F">
        <w:trPr>
          <w:jc w:val="center"/>
        </w:trPr>
        <w:tc>
          <w:tcPr>
            <w:tcW w:w="1224" w:type="dxa"/>
            <w:vAlign w:val="center"/>
          </w:tcPr>
          <w:p w:rsidR="00ED08D9" w:rsidRPr="00E97C5B" w:rsidRDefault="00D46887" w:rsidP="00D46887">
            <w:pPr>
              <w:jc w:val="center"/>
              <w:rPr>
                <w:rFonts w:ascii="Arial" w:eastAsia="Times New Roman" w:hAnsi="Arial" w:cs="Arial"/>
                <w:b/>
                <w:sz w:val="20"/>
                <w:szCs w:val="20"/>
              </w:rPr>
            </w:pPr>
            <w:r w:rsidRPr="00E97C5B">
              <w:rPr>
                <w:rFonts w:ascii="Arial" w:eastAsia="Times New Roman" w:hAnsi="Arial" w:cs="Arial"/>
                <w:b/>
                <w:sz w:val="20"/>
                <w:szCs w:val="20"/>
              </w:rPr>
              <w:t>Năm</w:t>
            </w:r>
          </w:p>
        </w:tc>
        <w:tc>
          <w:tcPr>
            <w:tcW w:w="2520" w:type="dxa"/>
            <w:vAlign w:val="center"/>
          </w:tcPr>
          <w:p w:rsidR="00ED08D9" w:rsidRPr="00E97C5B" w:rsidRDefault="00ED08D9" w:rsidP="00F97A4F">
            <w:pPr>
              <w:jc w:val="center"/>
              <w:rPr>
                <w:rFonts w:ascii="Arial" w:eastAsia="Times New Roman" w:hAnsi="Arial" w:cs="Arial"/>
                <w:b/>
                <w:sz w:val="20"/>
                <w:szCs w:val="20"/>
              </w:rPr>
            </w:pPr>
            <w:r w:rsidRPr="00E97C5B">
              <w:rPr>
                <w:rFonts w:ascii="Arial" w:eastAsia="Times New Roman" w:hAnsi="Arial" w:cs="Arial"/>
                <w:b/>
                <w:sz w:val="20"/>
                <w:szCs w:val="20"/>
              </w:rPr>
              <w:t>Thương mại và</w:t>
            </w:r>
            <w:r w:rsidR="00F97A4F" w:rsidRPr="00E97C5B">
              <w:rPr>
                <w:rFonts w:ascii="Arial" w:eastAsia="Times New Roman" w:hAnsi="Arial" w:cs="Arial"/>
                <w:b/>
                <w:sz w:val="20"/>
                <w:szCs w:val="20"/>
              </w:rPr>
              <w:t xml:space="preserve"> </w:t>
            </w:r>
            <w:r w:rsidRPr="00E97C5B">
              <w:rPr>
                <w:rFonts w:ascii="Arial" w:eastAsia="Times New Roman" w:hAnsi="Arial" w:cs="Arial"/>
                <w:b/>
                <w:sz w:val="20"/>
                <w:szCs w:val="20"/>
              </w:rPr>
              <w:t>dịch vụ</w:t>
            </w:r>
          </w:p>
        </w:tc>
        <w:tc>
          <w:tcPr>
            <w:tcW w:w="2250" w:type="dxa"/>
            <w:vAlign w:val="center"/>
          </w:tcPr>
          <w:p w:rsidR="00ED08D9" w:rsidRPr="00E97C5B" w:rsidRDefault="00ED08D9" w:rsidP="00F97A4F">
            <w:pPr>
              <w:jc w:val="center"/>
              <w:rPr>
                <w:rFonts w:ascii="Arial" w:eastAsia="Times New Roman" w:hAnsi="Arial" w:cs="Arial"/>
                <w:b/>
                <w:sz w:val="20"/>
                <w:szCs w:val="20"/>
              </w:rPr>
            </w:pPr>
            <w:r w:rsidRPr="00E97C5B">
              <w:rPr>
                <w:rFonts w:ascii="Arial" w:eastAsia="Times New Roman" w:hAnsi="Arial" w:cs="Arial"/>
                <w:b/>
                <w:sz w:val="20"/>
                <w:szCs w:val="20"/>
              </w:rPr>
              <w:t>Xuất khẩu</w:t>
            </w:r>
            <w:r w:rsidR="00F97A4F" w:rsidRPr="00E97C5B">
              <w:rPr>
                <w:rFonts w:ascii="Arial" w:eastAsia="Times New Roman" w:hAnsi="Arial" w:cs="Arial"/>
                <w:b/>
                <w:sz w:val="20"/>
                <w:szCs w:val="20"/>
              </w:rPr>
              <w:t xml:space="preserve"> </w:t>
            </w:r>
            <w:r w:rsidRPr="00E97C5B">
              <w:rPr>
                <w:rFonts w:ascii="Arial" w:eastAsia="Times New Roman" w:hAnsi="Arial" w:cs="Arial"/>
                <w:b/>
                <w:sz w:val="20"/>
                <w:szCs w:val="20"/>
              </w:rPr>
              <w:t>hàng hóa</w:t>
            </w:r>
          </w:p>
        </w:tc>
        <w:tc>
          <w:tcPr>
            <w:tcW w:w="2466" w:type="dxa"/>
            <w:vAlign w:val="center"/>
          </w:tcPr>
          <w:p w:rsidR="00ED08D9" w:rsidRPr="00E97C5B" w:rsidRDefault="00ED08D9" w:rsidP="00F97A4F">
            <w:pPr>
              <w:jc w:val="center"/>
              <w:rPr>
                <w:rFonts w:ascii="Arial" w:eastAsia="Times New Roman" w:hAnsi="Arial" w:cs="Arial"/>
                <w:b/>
                <w:sz w:val="20"/>
                <w:szCs w:val="20"/>
              </w:rPr>
            </w:pPr>
            <w:r w:rsidRPr="00E97C5B">
              <w:rPr>
                <w:rFonts w:ascii="Arial" w:eastAsia="Times New Roman" w:hAnsi="Arial" w:cs="Arial"/>
                <w:b/>
                <w:sz w:val="20"/>
                <w:szCs w:val="20"/>
              </w:rPr>
              <w:t>Nhập khẩu</w:t>
            </w:r>
            <w:r w:rsidR="00F97A4F" w:rsidRPr="00E97C5B">
              <w:rPr>
                <w:rFonts w:ascii="Arial" w:eastAsia="Times New Roman" w:hAnsi="Arial" w:cs="Arial"/>
                <w:b/>
                <w:sz w:val="20"/>
                <w:szCs w:val="20"/>
              </w:rPr>
              <w:t xml:space="preserve"> </w:t>
            </w:r>
            <w:r w:rsidRPr="00E97C5B">
              <w:rPr>
                <w:rFonts w:ascii="Arial" w:eastAsia="Times New Roman" w:hAnsi="Arial" w:cs="Arial"/>
                <w:b/>
                <w:sz w:val="20"/>
                <w:szCs w:val="20"/>
              </w:rPr>
              <w:t>hàng hóa</w:t>
            </w:r>
          </w:p>
        </w:tc>
      </w:tr>
      <w:tr w:rsidR="00744DB3" w:rsidRPr="00D46887" w:rsidTr="00F97A4F">
        <w:trPr>
          <w:jc w:val="center"/>
        </w:trPr>
        <w:tc>
          <w:tcPr>
            <w:tcW w:w="1224" w:type="dxa"/>
            <w:vAlign w:val="center"/>
          </w:tcPr>
          <w:p w:rsidR="00ED08D9" w:rsidRPr="00D840DD" w:rsidRDefault="00ED08D9" w:rsidP="00D46887">
            <w:pPr>
              <w:jc w:val="center"/>
              <w:rPr>
                <w:rFonts w:ascii="Arial" w:eastAsia="Times New Roman" w:hAnsi="Arial" w:cs="Arial"/>
                <w:sz w:val="20"/>
                <w:szCs w:val="20"/>
              </w:rPr>
            </w:pPr>
            <w:r w:rsidRPr="00D840DD">
              <w:rPr>
                <w:rFonts w:ascii="Arial" w:eastAsia="Times New Roman" w:hAnsi="Arial" w:cs="Arial"/>
                <w:sz w:val="20"/>
                <w:szCs w:val="20"/>
              </w:rPr>
              <w:t>2012</w:t>
            </w:r>
          </w:p>
        </w:tc>
        <w:tc>
          <w:tcPr>
            <w:tcW w:w="2520" w:type="dxa"/>
            <w:vAlign w:val="center"/>
          </w:tcPr>
          <w:p w:rsidR="00ED08D9" w:rsidRPr="00D840DD" w:rsidRDefault="00ED08D9" w:rsidP="00D46887">
            <w:pPr>
              <w:jc w:val="center"/>
              <w:rPr>
                <w:rFonts w:ascii="Arial" w:eastAsia="Times New Roman" w:hAnsi="Arial" w:cs="Arial"/>
                <w:sz w:val="20"/>
                <w:szCs w:val="20"/>
              </w:rPr>
            </w:pPr>
            <w:r w:rsidRPr="00D840DD">
              <w:rPr>
                <w:rFonts w:ascii="Arial" w:eastAsia="Times New Roman" w:hAnsi="Arial" w:cs="Arial"/>
                <w:sz w:val="20"/>
                <w:szCs w:val="20"/>
              </w:rPr>
              <w:t>2,8</w:t>
            </w:r>
          </w:p>
        </w:tc>
        <w:tc>
          <w:tcPr>
            <w:tcW w:w="2250" w:type="dxa"/>
            <w:vAlign w:val="center"/>
          </w:tcPr>
          <w:p w:rsidR="00ED08D9" w:rsidRPr="00D840DD" w:rsidRDefault="00ED08D9" w:rsidP="00D46887">
            <w:pPr>
              <w:jc w:val="center"/>
              <w:rPr>
                <w:rFonts w:ascii="Arial" w:eastAsia="Times New Roman" w:hAnsi="Arial" w:cs="Arial"/>
                <w:sz w:val="20"/>
                <w:szCs w:val="20"/>
              </w:rPr>
            </w:pPr>
            <w:r w:rsidRPr="00D840DD">
              <w:rPr>
                <w:rFonts w:ascii="Arial" w:eastAsia="Times New Roman" w:hAnsi="Arial" w:cs="Arial"/>
                <w:sz w:val="20"/>
                <w:szCs w:val="20"/>
              </w:rPr>
              <w:t>1,4</w:t>
            </w:r>
          </w:p>
        </w:tc>
        <w:tc>
          <w:tcPr>
            <w:tcW w:w="2466" w:type="dxa"/>
            <w:vAlign w:val="center"/>
          </w:tcPr>
          <w:p w:rsidR="00ED08D9" w:rsidRPr="00D840DD" w:rsidRDefault="00ED08D9" w:rsidP="00D46887">
            <w:pPr>
              <w:jc w:val="center"/>
              <w:rPr>
                <w:rFonts w:ascii="Arial" w:eastAsia="Times New Roman" w:hAnsi="Arial" w:cs="Arial"/>
                <w:sz w:val="20"/>
                <w:szCs w:val="20"/>
              </w:rPr>
            </w:pPr>
            <w:r w:rsidRPr="00D840DD">
              <w:rPr>
                <w:rFonts w:ascii="Arial" w:eastAsia="Times New Roman" w:hAnsi="Arial" w:cs="Arial"/>
                <w:sz w:val="20"/>
                <w:szCs w:val="20"/>
              </w:rPr>
              <w:t>1,3</w:t>
            </w:r>
          </w:p>
        </w:tc>
      </w:tr>
      <w:tr w:rsidR="00744DB3" w:rsidRPr="00D46887" w:rsidTr="00F97A4F">
        <w:trPr>
          <w:jc w:val="center"/>
        </w:trPr>
        <w:tc>
          <w:tcPr>
            <w:tcW w:w="1224" w:type="dxa"/>
            <w:vAlign w:val="center"/>
          </w:tcPr>
          <w:p w:rsidR="00ED08D9" w:rsidRPr="00D840DD" w:rsidRDefault="00ED08D9" w:rsidP="00D46887">
            <w:pPr>
              <w:jc w:val="center"/>
              <w:rPr>
                <w:rFonts w:ascii="Arial" w:eastAsia="Times New Roman" w:hAnsi="Arial" w:cs="Arial"/>
                <w:sz w:val="20"/>
                <w:szCs w:val="20"/>
              </w:rPr>
            </w:pPr>
            <w:r w:rsidRPr="00D840DD">
              <w:rPr>
                <w:rFonts w:ascii="Arial" w:eastAsia="Times New Roman" w:hAnsi="Arial" w:cs="Arial"/>
                <w:sz w:val="20"/>
                <w:szCs w:val="20"/>
              </w:rPr>
              <w:t>2013</w:t>
            </w:r>
          </w:p>
        </w:tc>
        <w:tc>
          <w:tcPr>
            <w:tcW w:w="2520" w:type="dxa"/>
            <w:vAlign w:val="center"/>
          </w:tcPr>
          <w:p w:rsidR="00ED08D9" w:rsidRPr="00D840DD" w:rsidRDefault="00ED08D9" w:rsidP="00D46887">
            <w:pPr>
              <w:jc w:val="center"/>
              <w:rPr>
                <w:rFonts w:ascii="Arial" w:eastAsia="Times New Roman" w:hAnsi="Arial" w:cs="Arial"/>
                <w:sz w:val="20"/>
                <w:szCs w:val="20"/>
              </w:rPr>
            </w:pPr>
            <w:r w:rsidRPr="00D840DD">
              <w:rPr>
                <w:rFonts w:ascii="Arial" w:eastAsia="Times New Roman" w:hAnsi="Arial" w:cs="Arial"/>
                <w:sz w:val="20"/>
                <w:szCs w:val="20"/>
              </w:rPr>
              <w:t>3,5</w:t>
            </w:r>
          </w:p>
        </w:tc>
        <w:tc>
          <w:tcPr>
            <w:tcW w:w="2250" w:type="dxa"/>
            <w:vAlign w:val="center"/>
          </w:tcPr>
          <w:p w:rsidR="00ED08D9" w:rsidRPr="00D840DD" w:rsidRDefault="00ED08D9" w:rsidP="00D46887">
            <w:pPr>
              <w:jc w:val="center"/>
              <w:rPr>
                <w:rFonts w:ascii="Arial" w:eastAsia="Times New Roman" w:hAnsi="Arial" w:cs="Arial"/>
                <w:sz w:val="20"/>
                <w:szCs w:val="20"/>
              </w:rPr>
            </w:pPr>
            <w:r w:rsidRPr="00D840DD">
              <w:rPr>
                <w:rFonts w:ascii="Arial" w:eastAsia="Times New Roman" w:hAnsi="Arial" w:cs="Arial"/>
                <w:sz w:val="20"/>
                <w:szCs w:val="20"/>
              </w:rPr>
              <w:t>2,4</w:t>
            </w:r>
          </w:p>
        </w:tc>
        <w:tc>
          <w:tcPr>
            <w:tcW w:w="2466" w:type="dxa"/>
            <w:vAlign w:val="center"/>
          </w:tcPr>
          <w:p w:rsidR="00ED08D9" w:rsidRPr="00D840DD" w:rsidRDefault="00ED08D9" w:rsidP="00D46887">
            <w:pPr>
              <w:jc w:val="center"/>
              <w:rPr>
                <w:rFonts w:ascii="Arial" w:eastAsia="Times New Roman" w:hAnsi="Arial" w:cs="Arial"/>
                <w:sz w:val="20"/>
                <w:szCs w:val="20"/>
              </w:rPr>
            </w:pPr>
            <w:r w:rsidRPr="00D840DD">
              <w:rPr>
                <w:rFonts w:ascii="Arial" w:eastAsia="Times New Roman" w:hAnsi="Arial" w:cs="Arial"/>
                <w:sz w:val="20"/>
                <w:szCs w:val="20"/>
              </w:rPr>
              <w:t>2,0</w:t>
            </w:r>
          </w:p>
        </w:tc>
      </w:tr>
      <w:tr w:rsidR="00744DB3" w:rsidRPr="00D46887" w:rsidTr="00F97A4F">
        <w:trPr>
          <w:jc w:val="center"/>
        </w:trPr>
        <w:tc>
          <w:tcPr>
            <w:tcW w:w="1224" w:type="dxa"/>
            <w:vAlign w:val="center"/>
          </w:tcPr>
          <w:p w:rsidR="00ED08D9" w:rsidRPr="00D840DD" w:rsidRDefault="008A590A" w:rsidP="00D46887">
            <w:pPr>
              <w:jc w:val="center"/>
              <w:rPr>
                <w:rFonts w:ascii="Arial" w:eastAsia="Times New Roman" w:hAnsi="Arial" w:cs="Arial"/>
                <w:sz w:val="20"/>
                <w:szCs w:val="20"/>
              </w:rPr>
            </w:pPr>
            <w:r w:rsidRPr="00D840DD">
              <w:rPr>
                <w:rFonts w:ascii="Arial" w:eastAsia="Times New Roman" w:hAnsi="Arial" w:cs="Arial"/>
                <w:sz w:val="20"/>
                <w:szCs w:val="20"/>
              </w:rPr>
              <w:t>2014</w:t>
            </w:r>
          </w:p>
        </w:tc>
        <w:tc>
          <w:tcPr>
            <w:tcW w:w="2520" w:type="dxa"/>
            <w:vAlign w:val="center"/>
          </w:tcPr>
          <w:p w:rsidR="00ED08D9" w:rsidRPr="00D840DD" w:rsidRDefault="00ED08D9" w:rsidP="00D46887">
            <w:pPr>
              <w:jc w:val="center"/>
              <w:rPr>
                <w:rFonts w:ascii="Arial" w:eastAsia="Times New Roman" w:hAnsi="Arial" w:cs="Arial"/>
                <w:sz w:val="20"/>
                <w:szCs w:val="20"/>
              </w:rPr>
            </w:pPr>
            <w:r w:rsidRPr="00D840DD">
              <w:rPr>
                <w:rFonts w:ascii="Arial" w:eastAsia="Times New Roman" w:hAnsi="Arial" w:cs="Arial"/>
                <w:sz w:val="20"/>
                <w:szCs w:val="20"/>
              </w:rPr>
              <w:t>3,8</w:t>
            </w:r>
          </w:p>
        </w:tc>
        <w:tc>
          <w:tcPr>
            <w:tcW w:w="2250" w:type="dxa"/>
            <w:vAlign w:val="center"/>
          </w:tcPr>
          <w:p w:rsidR="00ED08D9" w:rsidRPr="00D840DD" w:rsidRDefault="00ED08D9" w:rsidP="00D46887">
            <w:pPr>
              <w:jc w:val="center"/>
              <w:rPr>
                <w:rFonts w:ascii="Arial" w:eastAsia="Times New Roman" w:hAnsi="Arial" w:cs="Arial"/>
                <w:sz w:val="20"/>
                <w:szCs w:val="20"/>
              </w:rPr>
            </w:pPr>
            <w:r w:rsidRPr="00D840DD">
              <w:rPr>
                <w:rFonts w:ascii="Arial" w:eastAsia="Times New Roman" w:hAnsi="Arial" w:cs="Arial"/>
                <w:sz w:val="20"/>
                <w:szCs w:val="20"/>
              </w:rPr>
              <w:t>2,8</w:t>
            </w:r>
          </w:p>
        </w:tc>
        <w:tc>
          <w:tcPr>
            <w:tcW w:w="2466" w:type="dxa"/>
            <w:vAlign w:val="center"/>
          </w:tcPr>
          <w:p w:rsidR="00ED08D9" w:rsidRPr="00D840DD" w:rsidRDefault="00ED08D9" w:rsidP="00D46887">
            <w:pPr>
              <w:jc w:val="center"/>
              <w:rPr>
                <w:rFonts w:ascii="Arial" w:eastAsia="Times New Roman" w:hAnsi="Arial" w:cs="Arial"/>
                <w:sz w:val="20"/>
                <w:szCs w:val="20"/>
              </w:rPr>
            </w:pPr>
            <w:r w:rsidRPr="00D840DD">
              <w:rPr>
                <w:rFonts w:ascii="Arial" w:eastAsia="Times New Roman" w:hAnsi="Arial" w:cs="Arial"/>
                <w:sz w:val="20"/>
                <w:szCs w:val="20"/>
              </w:rPr>
              <w:t>2,6</w:t>
            </w:r>
          </w:p>
        </w:tc>
      </w:tr>
      <w:tr w:rsidR="00744DB3" w:rsidRPr="00D46887" w:rsidTr="00F97A4F">
        <w:trPr>
          <w:jc w:val="center"/>
        </w:trPr>
        <w:tc>
          <w:tcPr>
            <w:tcW w:w="1224" w:type="dxa"/>
            <w:vAlign w:val="center"/>
          </w:tcPr>
          <w:p w:rsidR="00ED08D9" w:rsidRPr="00D840DD" w:rsidRDefault="00ED08D9" w:rsidP="00D46887">
            <w:pPr>
              <w:jc w:val="center"/>
              <w:rPr>
                <w:rFonts w:ascii="Arial" w:eastAsia="Times New Roman" w:hAnsi="Arial" w:cs="Arial"/>
                <w:sz w:val="20"/>
                <w:szCs w:val="20"/>
              </w:rPr>
            </w:pPr>
            <w:r w:rsidRPr="00D840DD">
              <w:rPr>
                <w:rFonts w:ascii="Arial" w:eastAsia="Times New Roman" w:hAnsi="Arial" w:cs="Arial"/>
                <w:sz w:val="20"/>
                <w:szCs w:val="20"/>
              </w:rPr>
              <w:t>2015</w:t>
            </w:r>
          </w:p>
        </w:tc>
        <w:tc>
          <w:tcPr>
            <w:tcW w:w="2520" w:type="dxa"/>
            <w:vAlign w:val="center"/>
          </w:tcPr>
          <w:p w:rsidR="00ED08D9" w:rsidRPr="00D840DD" w:rsidRDefault="00ED08D9" w:rsidP="00D46887">
            <w:pPr>
              <w:jc w:val="center"/>
              <w:rPr>
                <w:rFonts w:ascii="Arial" w:eastAsia="Times New Roman" w:hAnsi="Arial" w:cs="Arial"/>
                <w:sz w:val="20"/>
                <w:szCs w:val="20"/>
              </w:rPr>
            </w:pPr>
            <w:r w:rsidRPr="00D840DD">
              <w:rPr>
                <w:rFonts w:ascii="Arial" w:eastAsia="Times New Roman" w:hAnsi="Arial" w:cs="Arial"/>
                <w:sz w:val="20"/>
                <w:szCs w:val="20"/>
              </w:rPr>
              <w:t>2,7</w:t>
            </w:r>
          </w:p>
        </w:tc>
        <w:tc>
          <w:tcPr>
            <w:tcW w:w="2250" w:type="dxa"/>
            <w:vAlign w:val="center"/>
          </w:tcPr>
          <w:p w:rsidR="00ED08D9" w:rsidRPr="00D840DD" w:rsidRDefault="00ED08D9" w:rsidP="00D46887">
            <w:pPr>
              <w:jc w:val="center"/>
              <w:rPr>
                <w:rFonts w:ascii="Arial" w:eastAsia="Times New Roman" w:hAnsi="Arial" w:cs="Arial"/>
                <w:sz w:val="20"/>
                <w:szCs w:val="20"/>
              </w:rPr>
            </w:pPr>
            <w:r w:rsidRPr="00D840DD">
              <w:rPr>
                <w:rFonts w:ascii="Arial" w:eastAsia="Times New Roman" w:hAnsi="Arial" w:cs="Arial"/>
                <w:sz w:val="20"/>
                <w:szCs w:val="20"/>
              </w:rPr>
              <w:t>2,1</w:t>
            </w:r>
          </w:p>
        </w:tc>
        <w:tc>
          <w:tcPr>
            <w:tcW w:w="2466" w:type="dxa"/>
            <w:vAlign w:val="center"/>
          </w:tcPr>
          <w:p w:rsidR="00ED08D9" w:rsidRPr="00D840DD" w:rsidRDefault="00ED08D9" w:rsidP="00D46887">
            <w:pPr>
              <w:jc w:val="center"/>
              <w:rPr>
                <w:rFonts w:ascii="Arial" w:eastAsia="Times New Roman" w:hAnsi="Arial" w:cs="Arial"/>
                <w:sz w:val="20"/>
                <w:szCs w:val="20"/>
              </w:rPr>
            </w:pPr>
            <w:r w:rsidRPr="00D840DD">
              <w:rPr>
                <w:rFonts w:ascii="Arial" w:eastAsia="Times New Roman" w:hAnsi="Arial" w:cs="Arial"/>
                <w:sz w:val="20"/>
                <w:szCs w:val="20"/>
              </w:rPr>
              <w:t>1,9</w:t>
            </w:r>
          </w:p>
        </w:tc>
      </w:tr>
      <w:tr w:rsidR="00744DB3" w:rsidRPr="00D46887" w:rsidTr="00F97A4F">
        <w:trPr>
          <w:jc w:val="center"/>
        </w:trPr>
        <w:tc>
          <w:tcPr>
            <w:tcW w:w="1224" w:type="dxa"/>
            <w:vAlign w:val="center"/>
          </w:tcPr>
          <w:p w:rsidR="00ED08D9" w:rsidRPr="00D840DD" w:rsidRDefault="00ED08D9" w:rsidP="00D46887">
            <w:pPr>
              <w:spacing w:after="60"/>
              <w:jc w:val="center"/>
              <w:rPr>
                <w:rFonts w:ascii="Arial" w:eastAsia="Times New Roman" w:hAnsi="Arial" w:cs="Arial"/>
                <w:sz w:val="20"/>
                <w:szCs w:val="20"/>
              </w:rPr>
            </w:pPr>
            <w:r w:rsidRPr="00D840DD">
              <w:rPr>
                <w:rFonts w:ascii="Arial" w:eastAsia="Times New Roman" w:hAnsi="Arial" w:cs="Arial"/>
                <w:sz w:val="20"/>
                <w:szCs w:val="20"/>
              </w:rPr>
              <w:t>2016*</w:t>
            </w:r>
          </w:p>
        </w:tc>
        <w:tc>
          <w:tcPr>
            <w:tcW w:w="2520" w:type="dxa"/>
            <w:vAlign w:val="center"/>
          </w:tcPr>
          <w:p w:rsidR="00ED08D9" w:rsidRPr="00D840DD" w:rsidRDefault="00ED08D9" w:rsidP="00D46887">
            <w:pPr>
              <w:spacing w:after="60"/>
              <w:jc w:val="center"/>
              <w:rPr>
                <w:rFonts w:ascii="Arial" w:eastAsia="Times New Roman" w:hAnsi="Arial" w:cs="Arial"/>
                <w:sz w:val="20"/>
                <w:szCs w:val="20"/>
              </w:rPr>
            </w:pPr>
            <w:r w:rsidRPr="00D840DD">
              <w:rPr>
                <w:rFonts w:ascii="Arial" w:eastAsia="Times New Roman" w:hAnsi="Arial" w:cs="Arial"/>
                <w:sz w:val="20"/>
                <w:szCs w:val="20"/>
              </w:rPr>
              <w:t>1,9</w:t>
            </w:r>
          </w:p>
        </w:tc>
        <w:tc>
          <w:tcPr>
            <w:tcW w:w="2250" w:type="dxa"/>
            <w:vAlign w:val="center"/>
          </w:tcPr>
          <w:p w:rsidR="00ED08D9" w:rsidRPr="00D840DD" w:rsidRDefault="00ED08D9" w:rsidP="00D46887">
            <w:pPr>
              <w:spacing w:after="60"/>
              <w:jc w:val="center"/>
              <w:rPr>
                <w:rFonts w:ascii="Arial" w:eastAsia="Times New Roman" w:hAnsi="Arial" w:cs="Arial"/>
                <w:sz w:val="20"/>
                <w:szCs w:val="20"/>
              </w:rPr>
            </w:pPr>
            <w:r w:rsidRPr="00D840DD">
              <w:rPr>
                <w:rFonts w:ascii="Arial" w:eastAsia="Times New Roman" w:hAnsi="Arial" w:cs="Arial"/>
                <w:sz w:val="20"/>
                <w:szCs w:val="20"/>
              </w:rPr>
              <w:t>1,1</w:t>
            </w:r>
          </w:p>
        </w:tc>
        <w:tc>
          <w:tcPr>
            <w:tcW w:w="2466" w:type="dxa"/>
            <w:vAlign w:val="center"/>
          </w:tcPr>
          <w:p w:rsidR="00ED08D9" w:rsidRPr="00D840DD" w:rsidRDefault="00ED08D9" w:rsidP="00D46887">
            <w:pPr>
              <w:spacing w:after="60"/>
              <w:jc w:val="center"/>
              <w:rPr>
                <w:rFonts w:ascii="Arial" w:eastAsia="Times New Roman" w:hAnsi="Arial" w:cs="Arial"/>
                <w:sz w:val="20"/>
                <w:szCs w:val="20"/>
              </w:rPr>
            </w:pPr>
            <w:r w:rsidRPr="00D840DD">
              <w:rPr>
                <w:rFonts w:ascii="Arial" w:eastAsia="Times New Roman" w:hAnsi="Arial" w:cs="Arial"/>
                <w:sz w:val="20"/>
                <w:szCs w:val="20"/>
              </w:rPr>
              <w:t>1,1</w:t>
            </w:r>
          </w:p>
        </w:tc>
      </w:tr>
    </w:tbl>
    <w:p w:rsidR="00FD66EF" w:rsidRPr="00D46887" w:rsidRDefault="00ED08D9" w:rsidP="00D46887">
      <w:pPr>
        <w:shd w:val="clear" w:color="auto" w:fill="FFFFFF"/>
        <w:spacing w:before="120" w:after="0" w:line="240" w:lineRule="auto"/>
        <w:ind w:firstLine="360"/>
        <w:jc w:val="both"/>
        <w:rPr>
          <w:rFonts w:ascii="Arial" w:eastAsia="Times New Roman" w:hAnsi="Arial" w:cs="Arial"/>
          <w:i/>
          <w:sz w:val="16"/>
          <w:szCs w:val="16"/>
        </w:rPr>
      </w:pPr>
      <w:r w:rsidRPr="00D46887">
        <w:rPr>
          <w:rFonts w:ascii="Arial" w:eastAsia="Times New Roman" w:hAnsi="Arial" w:cs="Arial"/>
          <w:i/>
          <w:sz w:val="16"/>
          <w:szCs w:val="16"/>
        </w:rPr>
        <w:t xml:space="preserve">Nguồn: Báo cáo của IMF về triển vọng kinh tế toàn cầu; Trung tâm kế hoạch thuộc Văn phòng Phân tích chính sách kinh </w:t>
      </w:r>
      <w:r w:rsidR="00FD66EF" w:rsidRPr="00D46887">
        <w:rPr>
          <w:rFonts w:ascii="Arial" w:eastAsia="Times New Roman" w:hAnsi="Arial" w:cs="Arial"/>
          <w:i/>
          <w:sz w:val="16"/>
          <w:szCs w:val="16"/>
        </w:rPr>
        <w:t xml:space="preserve">tế Hà </w:t>
      </w:r>
      <w:proofErr w:type="gramStart"/>
      <w:r w:rsidR="00FD66EF" w:rsidRPr="00D46887">
        <w:rPr>
          <w:rFonts w:ascii="Arial" w:eastAsia="Times New Roman" w:hAnsi="Arial" w:cs="Arial"/>
          <w:i/>
          <w:sz w:val="16"/>
          <w:szCs w:val="16"/>
        </w:rPr>
        <w:t>Lan</w:t>
      </w:r>
      <w:proofErr w:type="gramEnd"/>
      <w:r w:rsidR="00FD66EF" w:rsidRPr="00D46887">
        <w:rPr>
          <w:rFonts w:ascii="Arial" w:eastAsia="Times New Roman" w:hAnsi="Arial" w:cs="Arial"/>
          <w:i/>
          <w:sz w:val="16"/>
          <w:szCs w:val="16"/>
        </w:rPr>
        <w:t>;</w:t>
      </w:r>
    </w:p>
    <w:p w:rsidR="00ED08D9" w:rsidRPr="00D46887" w:rsidRDefault="00ED08D9" w:rsidP="00D46887">
      <w:pPr>
        <w:shd w:val="clear" w:color="auto" w:fill="FFFFFF"/>
        <w:spacing w:after="60" w:line="240" w:lineRule="auto"/>
        <w:ind w:firstLine="360"/>
        <w:jc w:val="both"/>
        <w:rPr>
          <w:rFonts w:ascii="Arial" w:eastAsia="Times New Roman" w:hAnsi="Arial" w:cs="Arial"/>
          <w:i/>
          <w:sz w:val="16"/>
          <w:szCs w:val="16"/>
        </w:rPr>
      </w:pPr>
      <w:r w:rsidRPr="00D46887">
        <w:rPr>
          <w:rFonts w:ascii="Arial" w:eastAsia="Times New Roman" w:hAnsi="Arial" w:cs="Arial"/>
          <w:i/>
          <w:sz w:val="16"/>
          <w:szCs w:val="16"/>
        </w:rPr>
        <w:t>(*): Tính đến cuối tháng 11/2016</w:t>
      </w:r>
    </w:p>
    <w:p w:rsidR="00BF14D7" w:rsidRPr="00D46887" w:rsidRDefault="00BF14D7" w:rsidP="00D46887">
      <w:pPr>
        <w:shd w:val="clear" w:color="auto" w:fill="FFFFFF"/>
        <w:spacing w:after="60" w:line="240" w:lineRule="auto"/>
        <w:jc w:val="both"/>
        <w:rPr>
          <w:rFonts w:ascii="Arial" w:eastAsia="Times New Roman" w:hAnsi="Arial" w:cs="Arial"/>
          <w:sz w:val="20"/>
          <w:szCs w:val="20"/>
        </w:rPr>
      </w:pPr>
      <w:r w:rsidRPr="00D46887">
        <w:rPr>
          <w:rFonts w:ascii="Arial" w:eastAsia="Times New Roman" w:hAnsi="Arial" w:cs="Arial"/>
          <w:sz w:val="20"/>
          <w:szCs w:val="20"/>
        </w:rPr>
        <w:t>Nghiên cứu cho thấy tương qua</w:t>
      </w:r>
      <w:bookmarkStart w:id="0" w:name="_GoBack"/>
      <w:bookmarkEnd w:id="0"/>
      <w:r w:rsidRPr="00D46887">
        <w:rPr>
          <w:rFonts w:ascii="Arial" w:eastAsia="Times New Roman" w:hAnsi="Arial" w:cs="Arial"/>
          <w:sz w:val="20"/>
          <w:szCs w:val="20"/>
        </w:rPr>
        <w:t xml:space="preserve">n tỷ lệ nghịch giữa bất ổn chính sách và thương mại toàn cầu: </w:t>
      </w:r>
      <w:r w:rsidR="006E7C35" w:rsidRPr="00D46887">
        <w:rPr>
          <w:rFonts w:ascii="Arial" w:eastAsia="Times New Roman" w:hAnsi="Arial" w:cs="Arial"/>
          <w:sz w:val="20"/>
          <w:szCs w:val="20"/>
        </w:rPr>
        <w:t>B</w:t>
      </w:r>
      <w:r w:rsidRPr="00D46887">
        <w:rPr>
          <w:rFonts w:ascii="Arial" w:eastAsia="Times New Roman" w:hAnsi="Arial" w:cs="Arial"/>
          <w:sz w:val="20"/>
          <w:szCs w:val="20"/>
        </w:rPr>
        <w:t xml:space="preserve">ất ổn càng tăng, hoạt động thương mại càng giảm. </w:t>
      </w:r>
      <w:proofErr w:type="gramStart"/>
      <w:r w:rsidRPr="00D46887">
        <w:rPr>
          <w:rFonts w:ascii="Arial" w:eastAsia="Times New Roman" w:hAnsi="Arial" w:cs="Arial"/>
          <w:sz w:val="20"/>
          <w:szCs w:val="20"/>
        </w:rPr>
        <w:t>Trong đó, các hiệp định thương mại đóng góp tích cực cho tăng trưởng thương mại, và thương mại đang tăng chậm do sự thiếu vắng những hiệp định thương mại.</w:t>
      </w:r>
      <w:proofErr w:type="gramEnd"/>
      <w:r w:rsidRPr="00D46887">
        <w:rPr>
          <w:rFonts w:ascii="Arial" w:eastAsia="Times New Roman" w:hAnsi="Arial" w:cs="Arial"/>
          <w:sz w:val="20"/>
          <w:szCs w:val="20"/>
        </w:rPr>
        <w:t xml:space="preserve"> </w:t>
      </w:r>
      <w:proofErr w:type="gramStart"/>
      <w:r w:rsidRPr="00D46887">
        <w:rPr>
          <w:rFonts w:ascii="Arial" w:eastAsia="Times New Roman" w:hAnsi="Arial" w:cs="Arial"/>
          <w:sz w:val="20"/>
          <w:szCs w:val="20"/>
        </w:rPr>
        <w:t>Khó khăn trong các cuộc đàm phán thương mại có thể cản trở thương mại, làm gia tăng bất ổn chính trị.</w:t>
      </w:r>
      <w:proofErr w:type="gramEnd"/>
      <w:r w:rsidRPr="00D46887">
        <w:rPr>
          <w:rFonts w:ascii="Arial" w:eastAsia="Times New Roman" w:hAnsi="Arial" w:cs="Arial"/>
          <w:sz w:val="20"/>
          <w:szCs w:val="20"/>
        </w:rPr>
        <w:t xml:space="preserve"> Thương mại tăng chậm trong thời gian qua cũng đóng góp vào sự phát triển ỳ ạch của các GVC, qua đó giải thích phần nào xu hướng tăng chậm dần của năng suất </w:t>
      </w:r>
      <w:proofErr w:type="gramStart"/>
      <w:r w:rsidRPr="00D46887">
        <w:rPr>
          <w:rFonts w:ascii="Arial" w:eastAsia="Times New Roman" w:hAnsi="Arial" w:cs="Arial"/>
          <w:sz w:val="20"/>
          <w:szCs w:val="20"/>
        </w:rPr>
        <w:t>lao</w:t>
      </w:r>
      <w:proofErr w:type="gramEnd"/>
      <w:r w:rsidRPr="00D46887">
        <w:rPr>
          <w:rFonts w:ascii="Arial" w:eastAsia="Times New Roman" w:hAnsi="Arial" w:cs="Arial"/>
          <w:sz w:val="20"/>
          <w:szCs w:val="20"/>
        </w:rPr>
        <w:t xml:space="preserve"> động. Đến lượt nó, sự giảm tốc trong việc mở rộng GVC cũng làm giảm quy mô tăng trưởng năng suất </w:t>
      </w:r>
      <w:proofErr w:type="gramStart"/>
      <w:r w:rsidRPr="00D46887">
        <w:rPr>
          <w:rFonts w:ascii="Arial" w:eastAsia="Times New Roman" w:hAnsi="Arial" w:cs="Arial"/>
          <w:sz w:val="20"/>
          <w:szCs w:val="20"/>
        </w:rPr>
        <w:t>lao</w:t>
      </w:r>
      <w:proofErr w:type="gramEnd"/>
      <w:r w:rsidRPr="00D46887">
        <w:rPr>
          <w:rFonts w:ascii="Arial" w:eastAsia="Times New Roman" w:hAnsi="Arial" w:cs="Arial"/>
          <w:sz w:val="20"/>
          <w:szCs w:val="20"/>
        </w:rPr>
        <w:t xml:space="preserve"> động. </w:t>
      </w:r>
    </w:p>
    <w:p w:rsidR="00ED08D9" w:rsidRPr="00D46887" w:rsidRDefault="00ED08D9" w:rsidP="00D46887">
      <w:pPr>
        <w:shd w:val="clear" w:color="auto" w:fill="FFFFFF"/>
        <w:spacing w:after="60" w:line="240" w:lineRule="auto"/>
        <w:jc w:val="both"/>
        <w:rPr>
          <w:rFonts w:ascii="Arial" w:eastAsia="Times New Roman" w:hAnsi="Arial" w:cs="Arial"/>
          <w:sz w:val="20"/>
          <w:szCs w:val="20"/>
        </w:rPr>
      </w:pPr>
      <w:proofErr w:type="gramStart"/>
      <w:r w:rsidRPr="00D46887">
        <w:rPr>
          <w:rFonts w:ascii="Arial" w:eastAsia="Times New Roman" w:hAnsi="Arial" w:cs="Arial"/>
          <w:sz w:val="20"/>
          <w:szCs w:val="20"/>
        </w:rPr>
        <w:t xml:space="preserve">Năm 2016, thương mại tăng chậm là </w:t>
      </w:r>
      <w:r w:rsidR="004079D0" w:rsidRPr="00D46887">
        <w:rPr>
          <w:rFonts w:ascii="Arial" w:eastAsia="Times New Roman" w:hAnsi="Arial" w:cs="Arial"/>
          <w:sz w:val="20"/>
          <w:szCs w:val="20"/>
        </w:rPr>
        <w:t xml:space="preserve">nét </w:t>
      </w:r>
      <w:r w:rsidRPr="00D46887">
        <w:rPr>
          <w:rFonts w:ascii="Arial" w:eastAsia="Times New Roman" w:hAnsi="Arial" w:cs="Arial"/>
          <w:sz w:val="20"/>
          <w:szCs w:val="20"/>
        </w:rPr>
        <w:t>đặc trưng của các nước phát triển và đang phát triển.</w:t>
      </w:r>
      <w:proofErr w:type="gramEnd"/>
      <w:r w:rsidRPr="00D46887">
        <w:rPr>
          <w:rFonts w:ascii="Arial" w:eastAsia="Times New Roman" w:hAnsi="Arial" w:cs="Arial"/>
          <w:sz w:val="20"/>
          <w:szCs w:val="20"/>
        </w:rPr>
        <w:t xml:space="preserve"> Trong hai năm 2012 và 2013, thương mại tại các nước mới nổi vẫn khá bền vững, trong khi các nước phát triển vật lộn với khó khăn trong việc phục hồi kinh tế sau khủng hoảng tài chính toàn cầu. Trong hai năm 2014-2015, thương mại thế giới đã phát triển </w:t>
      </w:r>
      <w:proofErr w:type="gramStart"/>
      <w:r w:rsidRPr="00D46887">
        <w:rPr>
          <w:rFonts w:ascii="Arial" w:eastAsia="Times New Roman" w:hAnsi="Arial" w:cs="Arial"/>
          <w:sz w:val="20"/>
          <w:szCs w:val="20"/>
        </w:rPr>
        <w:t>theo</w:t>
      </w:r>
      <w:proofErr w:type="gramEnd"/>
      <w:r w:rsidRPr="00D46887">
        <w:rPr>
          <w:rFonts w:ascii="Arial" w:eastAsia="Times New Roman" w:hAnsi="Arial" w:cs="Arial"/>
          <w:sz w:val="20"/>
          <w:szCs w:val="20"/>
        </w:rPr>
        <w:t xml:space="preserve"> chiều hướng ngược lại, khi giá cả hàng hóa giảm thấp và Trung Quốc tập trung vào việc tái cân bằng kinh tế vĩ mô. </w:t>
      </w:r>
      <w:proofErr w:type="gramStart"/>
      <w:r w:rsidRPr="00D46887">
        <w:rPr>
          <w:rFonts w:ascii="Arial" w:eastAsia="Times New Roman" w:hAnsi="Arial" w:cs="Arial"/>
          <w:sz w:val="20"/>
          <w:szCs w:val="20"/>
        </w:rPr>
        <w:t>Trái với những năm sau khủng hoảng, thương mại tăng chậm xảy ra cả tại hầu khắp các nước trên thế giới, cả tại các nước phát triển và các nước đang phát triển.</w:t>
      </w:r>
      <w:proofErr w:type="gramEnd"/>
      <w:r w:rsidRPr="00D46887">
        <w:rPr>
          <w:rFonts w:ascii="Arial" w:eastAsia="Times New Roman" w:hAnsi="Arial" w:cs="Arial"/>
          <w:sz w:val="20"/>
          <w:szCs w:val="20"/>
        </w:rPr>
        <w:t xml:space="preserve"> </w:t>
      </w:r>
      <w:proofErr w:type="gramStart"/>
      <w:r w:rsidRPr="00D46887">
        <w:rPr>
          <w:rFonts w:ascii="Arial" w:eastAsia="Times New Roman" w:hAnsi="Arial" w:cs="Arial"/>
          <w:sz w:val="20"/>
          <w:szCs w:val="20"/>
        </w:rPr>
        <w:t xml:space="preserve">Tuy nhiên, một số nước và khu vực vẫn </w:t>
      </w:r>
      <w:r w:rsidR="004079D0" w:rsidRPr="00D46887">
        <w:rPr>
          <w:rFonts w:ascii="Arial" w:eastAsia="Times New Roman" w:hAnsi="Arial" w:cs="Arial"/>
          <w:sz w:val="20"/>
          <w:szCs w:val="20"/>
        </w:rPr>
        <w:t>duy trì được tốc độ phát triển thương mại với</w:t>
      </w:r>
      <w:r w:rsidRPr="00D46887">
        <w:rPr>
          <w:rFonts w:ascii="Arial" w:eastAsia="Times New Roman" w:hAnsi="Arial" w:cs="Arial"/>
          <w:sz w:val="20"/>
          <w:szCs w:val="20"/>
        </w:rPr>
        <w:t xml:space="preserve"> </w:t>
      </w:r>
      <w:r w:rsidR="004079D0" w:rsidRPr="00D46887">
        <w:rPr>
          <w:rFonts w:ascii="Arial" w:eastAsia="Times New Roman" w:hAnsi="Arial" w:cs="Arial"/>
          <w:sz w:val="20"/>
          <w:szCs w:val="20"/>
        </w:rPr>
        <w:t>kết quả tương đối lạc quan.</w:t>
      </w:r>
      <w:proofErr w:type="gramEnd"/>
    </w:p>
    <w:p w:rsidR="00ED08D9" w:rsidRPr="00D46887" w:rsidRDefault="00ED08D9" w:rsidP="00D46887">
      <w:pPr>
        <w:shd w:val="clear" w:color="auto" w:fill="FFFFFF"/>
        <w:spacing w:after="60" w:line="240" w:lineRule="auto"/>
        <w:jc w:val="both"/>
        <w:rPr>
          <w:rFonts w:ascii="Arial" w:eastAsia="Times New Roman" w:hAnsi="Arial" w:cs="Arial"/>
          <w:sz w:val="20"/>
          <w:szCs w:val="20"/>
        </w:rPr>
      </w:pPr>
      <w:r w:rsidRPr="00D46887">
        <w:rPr>
          <w:rFonts w:ascii="Arial" w:eastAsia="Times New Roman" w:hAnsi="Arial" w:cs="Arial"/>
          <w:sz w:val="20"/>
          <w:szCs w:val="20"/>
        </w:rPr>
        <w:t xml:space="preserve">Về tác động của các yếu tố mang tính cơ cấu, tự do hóa thương mại chậm chạp đã đóng góp vào sự suy giảm thương mại và tăng trưởng kinh tế </w:t>
      </w:r>
      <w:r w:rsidR="004079D0" w:rsidRPr="00D46887">
        <w:rPr>
          <w:rFonts w:ascii="Arial" w:eastAsia="Times New Roman" w:hAnsi="Arial" w:cs="Arial"/>
          <w:sz w:val="20"/>
          <w:szCs w:val="20"/>
        </w:rPr>
        <w:t>trong những năm gần đây. Ngoài ra</w:t>
      </w:r>
      <w:r w:rsidR="00BF14D7" w:rsidRPr="00D46887">
        <w:rPr>
          <w:rFonts w:ascii="Arial" w:eastAsia="Times New Roman" w:hAnsi="Arial" w:cs="Arial"/>
          <w:sz w:val="20"/>
          <w:szCs w:val="20"/>
        </w:rPr>
        <w:t xml:space="preserve">, những thay đổi nhanh chóng </w:t>
      </w:r>
      <w:proofErr w:type="gramStart"/>
      <w:r w:rsidR="00BF14D7" w:rsidRPr="00D46887">
        <w:rPr>
          <w:rFonts w:ascii="Arial" w:eastAsia="Times New Roman" w:hAnsi="Arial" w:cs="Arial"/>
          <w:sz w:val="20"/>
          <w:szCs w:val="20"/>
        </w:rPr>
        <w:t>theo</w:t>
      </w:r>
      <w:proofErr w:type="gramEnd"/>
      <w:r w:rsidR="00BF14D7" w:rsidRPr="00D46887">
        <w:rPr>
          <w:rFonts w:ascii="Arial" w:eastAsia="Times New Roman" w:hAnsi="Arial" w:cs="Arial"/>
          <w:sz w:val="20"/>
          <w:szCs w:val="20"/>
        </w:rPr>
        <w:t xml:space="preserve"> hướng</w:t>
      </w:r>
      <w:r w:rsidRPr="00D46887">
        <w:rPr>
          <w:rFonts w:ascii="Arial" w:eastAsia="Times New Roman" w:hAnsi="Arial" w:cs="Arial"/>
          <w:sz w:val="20"/>
          <w:szCs w:val="20"/>
        </w:rPr>
        <w:t xml:space="preserve"> chuyên môn hóa cũng khiến thương mại toàn cầu giảm tốc. </w:t>
      </w:r>
      <w:proofErr w:type="gramStart"/>
      <w:r w:rsidRPr="00D46887">
        <w:rPr>
          <w:rFonts w:ascii="Arial" w:eastAsia="Times New Roman" w:hAnsi="Arial" w:cs="Arial"/>
          <w:sz w:val="20"/>
          <w:szCs w:val="20"/>
        </w:rPr>
        <w:t>Sự phân đoạn sản xuất trong các chuỗi giá trị toàn cầu dẫn đến sự phát triển nhanh chóng của các hoạt động trao đổi linh kiện và bộ phận hàng hóa.</w:t>
      </w:r>
      <w:proofErr w:type="gramEnd"/>
      <w:r w:rsidRPr="00D46887">
        <w:rPr>
          <w:rFonts w:ascii="Arial" w:eastAsia="Times New Roman" w:hAnsi="Arial" w:cs="Arial"/>
          <w:sz w:val="20"/>
          <w:szCs w:val="20"/>
        </w:rPr>
        <w:t xml:space="preserve"> </w:t>
      </w:r>
      <w:proofErr w:type="gramStart"/>
      <w:r w:rsidRPr="00D46887">
        <w:rPr>
          <w:rFonts w:ascii="Arial" w:eastAsia="Times New Roman" w:hAnsi="Arial" w:cs="Arial"/>
          <w:sz w:val="20"/>
          <w:szCs w:val="20"/>
        </w:rPr>
        <w:t>Khi quá trình này chín muồi, trao đổi thương mại sẽ tăng chậm lại.</w:t>
      </w:r>
      <w:proofErr w:type="gramEnd"/>
    </w:p>
    <w:p w:rsidR="00ED08D9" w:rsidRPr="00D46887" w:rsidRDefault="00ED08D9" w:rsidP="00D46887">
      <w:pPr>
        <w:shd w:val="clear" w:color="auto" w:fill="FFFFFF"/>
        <w:spacing w:after="60" w:line="240" w:lineRule="auto"/>
        <w:jc w:val="both"/>
        <w:rPr>
          <w:rFonts w:ascii="Arial" w:eastAsia="Times New Roman" w:hAnsi="Arial" w:cs="Arial"/>
          <w:sz w:val="20"/>
          <w:szCs w:val="20"/>
        </w:rPr>
      </w:pPr>
      <w:proofErr w:type="gramStart"/>
      <w:r w:rsidRPr="00D46887">
        <w:rPr>
          <w:rFonts w:ascii="Arial" w:eastAsia="Times New Roman" w:hAnsi="Arial" w:cs="Arial"/>
          <w:sz w:val="20"/>
          <w:szCs w:val="20"/>
        </w:rPr>
        <w:t>Từ giữa năm 2014, giá cả hàng hóa bắt đầu giảm sâu, nổi bật là chất đốt, ảnh hưởng tiêu cực đến hoạt động thương mại tại các nước xuất khẩu hàng hóa.</w:t>
      </w:r>
      <w:proofErr w:type="gramEnd"/>
      <w:r w:rsidRPr="00D46887">
        <w:rPr>
          <w:rFonts w:ascii="Arial" w:eastAsia="Times New Roman" w:hAnsi="Arial" w:cs="Arial"/>
          <w:sz w:val="20"/>
          <w:szCs w:val="20"/>
        </w:rPr>
        <w:t xml:space="preserve"> Sau khi chạm đáy, giá cả bắt phục hồi dần từ đầu năm 2016, nhưng vẫn ở mức thấp cho đến cuối năm, làm giảm đáng kể </w:t>
      </w:r>
      <w:proofErr w:type="gramStart"/>
      <w:r w:rsidRPr="00D46887">
        <w:rPr>
          <w:rFonts w:ascii="Arial" w:eastAsia="Times New Roman" w:hAnsi="Arial" w:cs="Arial"/>
          <w:sz w:val="20"/>
          <w:szCs w:val="20"/>
        </w:rPr>
        <w:t>kim</w:t>
      </w:r>
      <w:proofErr w:type="gramEnd"/>
      <w:r w:rsidRPr="00D46887">
        <w:rPr>
          <w:rFonts w:ascii="Arial" w:eastAsia="Times New Roman" w:hAnsi="Arial" w:cs="Arial"/>
          <w:sz w:val="20"/>
          <w:szCs w:val="20"/>
        </w:rPr>
        <w:t xml:space="preserve"> ngạch xuất nhập khẩu của nhiều nước trên thế giới. </w:t>
      </w:r>
    </w:p>
    <w:p w:rsidR="00ED08D9" w:rsidRPr="00D46887" w:rsidRDefault="00ED08D9" w:rsidP="00D46887">
      <w:pPr>
        <w:shd w:val="clear" w:color="auto" w:fill="FFFFFF"/>
        <w:spacing w:after="60" w:line="240" w:lineRule="auto"/>
        <w:jc w:val="both"/>
        <w:rPr>
          <w:rFonts w:ascii="Arial" w:eastAsia="Times New Roman" w:hAnsi="Arial" w:cs="Arial"/>
          <w:sz w:val="20"/>
          <w:szCs w:val="20"/>
        </w:rPr>
      </w:pPr>
      <w:r w:rsidRPr="00D46887">
        <w:rPr>
          <w:rFonts w:ascii="Arial" w:eastAsia="Times New Roman" w:hAnsi="Arial" w:cs="Arial"/>
          <w:sz w:val="20"/>
          <w:szCs w:val="20"/>
        </w:rPr>
        <w:t xml:space="preserve">Trung Quốc đang nỗ lực thực hiện các biện pháp cải cách kinh tế </w:t>
      </w:r>
      <w:proofErr w:type="gramStart"/>
      <w:r w:rsidRPr="00D46887">
        <w:rPr>
          <w:rFonts w:ascii="Arial" w:eastAsia="Times New Roman" w:hAnsi="Arial" w:cs="Arial"/>
          <w:sz w:val="20"/>
          <w:szCs w:val="20"/>
        </w:rPr>
        <w:t>theo</w:t>
      </w:r>
      <w:proofErr w:type="gramEnd"/>
      <w:r w:rsidRPr="00D46887">
        <w:rPr>
          <w:rFonts w:ascii="Arial" w:eastAsia="Times New Roman" w:hAnsi="Arial" w:cs="Arial"/>
          <w:sz w:val="20"/>
          <w:szCs w:val="20"/>
        </w:rPr>
        <w:t xml:space="preserve"> hướng giảm dần sự lệ thuộc vào xuất khẩu và nguồn vốn đầu tư, nên hoạt động xuất nhập khẩu có xu hướng tăng thấp hơn so với thời kỳ trước năm 2015. </w:t>
      </w:r>
      <w:proofErr w:type="gramStart"/>
      <w:r w:rsidRPr="00D46887">
        <w:rPr>
          <w:rFonts w:ascii="Arial" w:eastAsia="Times New Roman" w:hAnsi="Arial" w:cs="Arial"/>
          <w:sz w:val="20"/>
          <w:szCs w:val="20"/>
        </w:rPr>
        <w:t>Trong đó, xuất khẩu trong năm 2016 cũng tăng thấp hơn so với năm 2015, phản ánh nhu cầu yếu ớt trên toàn thế giới.</w:t>
      </w:r>
      <w:proofErr w:type="gramEnd"/>
    </w:p>
    <w:p w:rsidR="00ED08D9" w:rsidRPr="00D46887" w:rsidRDefault="00ED08D9" w:rsidP="00D46887">
      <w:pPr>
        <w:shd w:val="clear" w:color="auto" w:fill="FFFFFF"/>
        <w:spacing w:after="60" w:line="240" w:lineRule="auto"/>
        <w:jc w:val="both"/>
        <w:rPr>
          <w:rFonts w:ascii="Arial" w:eastAsia="Times New Roman" w:hAnsi="Arial" w:cs="Arial"/>
          <w:sz w:val="20"/>
          <w:szCs w:val="20"/>
        </w:rPr>
      </w:pPr>
      <w:r w:rsidRPr="00D46887">
        <w:rPr>
          <w:rFonts w:ascii="Arial" w:eastAsia="Times New Roman" w:hAnsi="Arial" w:cs="Arial"/>
          <w:sz w:val="20"/>
          <w:szCs w:val="20"/>
        </w:rPr>
        <w:t>Trong năm 2016, bất ổn chính sách gia tăng có thể cản trở hoạt động thương mại thông</w:t>
      </w:r>
      <w:r w:rsidR="004079D0" w:rsidRPr="00D46887">
        <w:rPr>
          <w:rFonts w:ascii="Arial" w:eastAsia="Times New Roman" w:hAnsi="Arial" w:cs="Arial"/>
          <w:sz w:val="20"/>
          <w:szCs w:val="20"/>
        </w:rPr>
        <w:t xml:space="preserve"> qua hai kênh chủ yếu sau đây</w:t>
      </w:r>
      <w:r w:rsidRPr="00D46887">
        <w:rPr>
          <w:rFonts w:ascii="Arial" w:eastAsia="Times New Roman" w:hAnsi="Arial" w:cs="Arial"/>
          <w:sz w:val="20"/>
          <w:szCs w:val="20"/>
        </w:rPr>
        <w:t>:</w:t>
      </w:r>
    </w:p>
    <w:p w:rsidR="00ED08D9" w:rsidRPr="00D46887" w:rsidRDefault="004079D0" w:rsidP="00D46887">
      <w:pPr>
        <w:pStyle w:val="ListParagraph"/>
        <w:shd w:val="clear" w:color="auto" w:fill="FFFFFF"/>
        <w:spacing w:after="60" w:line="240" w:lineRule="auto"/>
        <w:ind w:left="0"/>
        <w:jc w:val="both"/>
        <w:rPr>
          <w:rFonts w:ascii="Arial" w:eastAsia="Times New Roman" w:hAnsi="Arial" w:cs="Arial"/>
          <w:sz w:val="20"/>
          <w:szCs w:val="20"/>
        </w:rPr>
      </w:pPr>
      <w:proofErr w:type="gramStart"/>
      <w:r w:rsidRPr="00D46887">
        <w:rPr>
          <w:rFonts w:ascii="Arial" w:eastAsia="Times New Roman" w:hAnsi="Arial" w:cs="Arial"/>
          <w:i/>
          <w:sz w:val="20"/>
          <w:szCs w:val="20"/>
        </w:rPr>
        <w:lastRenderedPageBreak/>
        <w:t>Thứ nhất,</w:t>
      </w:r>
      <w:r w:rsidRPr="00D46887">
        <w:rPr>
          <w:rFonts w:ascii="Arial" w:eastAsia="Times New Roman" w:hAnsi="Arial" w:cs="Arial"/>
          <w:sz w:val="20"/>
          <w:szCs w:val="20"/>
        </w:rPr>
        <w:t xml:space="preserve"> l</w:t>
      </w:r>
      <w:r w:rsidR="00ED08D9" w:rsidRPr="00D46887">
        <w:rPr>
          <w:rFonts w:ascii="Arial" w:eastAsia="Times New Roman" w:hAnsi="Arial" w:cs="Arial"/>
          <w:sz w:val="20"/>
          <w:szCs w:val="20"/>
        </w:rPr>
        <w:t>àm suy giảm tăng trưởng kinh tế, qua đó kìm hãm các hoạt động xuất nhập khẩu hàng hóa.</w:t>
      </w:r>
      <w:proofErr w:type="gramEnd"/>
      <w:r w:rsidR="00ED08D9" w:rsidRPr="00D46887">
        <w:rPr>
          <w:rFonts w:ascii="Arial" w:eastAsia="Times New Roman" w:hAnsi="Arial" w:cs="Arial"/>
          <w:sz w:val="20"/>
          <w:szCs w:val="20"/>
        </w:rPr>
        <w:t xml:space="preserve"> Trong môi trường chính sách không chắc chắn, các doanh nghiệp có thể trì hoãn các quyết định đầu tư, người tiêu dùng cắt giảm chi tiêu, các ngân hàng nâng chi phí cho vay;</w:t>
      </w:r>
    </w:p>
    <w:p w:rsidR="00ED08D9" w:rsidRPr="00D46887" w:rsidRDefault="004079D0" w:rsidP="00D46887">
      <w:pPr>
        <w:pStyle w:val="ListParagraph"/>
        <w:shd w:val="clear" w:color="auto" w:fill="FFFFFF"/>
        <w:spacing w:after="60" w:line="240" w:lineRule="auto"/>
        <w:ind w:left="0"/>
        <w:jc w:val="both"/>
        <w:rPr>
          <w:rFonts w:ascii="Arial" w:eastAsia="Times New Roman" w:hAnsi="Arial" w:cs="Arial"/>
          <w:sz w:val="20"/>
          <w:szCs w:val="20"/>
        </w:rPr>
      </w:pPr>
      <w:proofErr w:type="gramStart"/>
      <w:r w:rsidRPr="00D46887">
        <w:rPr>
          <w:rFonts w:ascii="Arial" w:eastAsia="Times New Roman" w:hAnsi="Arial" w:cs="Arial"/>
          <w:i/>
          <w:sz w:val="20"/>
          <w:szCs w:val="20"/>
        </w:rPr>
        <w:t>Thứ hai</w:t>
      </w:r>
      <w:r w:rsidRPr="00D46887">
        <w:rPr>
          <w:rFonts w:ascii="Arial" w:eastAsia="Times New Roman" w:hAnsi="Arial" w:cs="Arial"/>
          <w:sz w:val="20"/>
          <w:szCs w:val="20"/>
        </w:rPr>
        <w:t>, b</w:t>
      </w:r>
      <w:r w:rsidR="00ED08D9" w:rsidRPr="00D46887">
        <w:rPr>
          <w:rFonts w:ascii="Arial" w:eastAsia="Times New Roman" w:hAnsi="Arial" w:cs="Arial"/>
          <w:sz w:val="20"/>
          <w:szCs w:val="20"/>
        </w:rPr>
        <w:t>ất ổn chính sách cũng bắt nguồn từ những bất ổn trong chính sách thương mại, và điều này tác động trực tiếp đến các hoạt động xuất nhập khẩu.</w:t>
      </w:r>
      <w:proofErr w:type="gramEnd"/>
      <w:r w:rsidR="00ED08D9" w:rsidRPr="00D46887">
        <w:rPr>
          <w:rFonts w:ascii="Arial" w:eastAsia="Times New Roman" w:hAnsi="Arial" w:cs="Arial"/>
          <w:sz w:val="20"/>
          <w:szCs w:val="20"/>
        </w:rPr>
        <w:t xml:space="preserve">    </w:t>
      </w:r>
    </w:p>
    <w:p w:rsidR="00ED08D9" w:rsidRPr="00D46887" w:rsidRDefault="00ED08D9" w:rsidP="00D46887">
      <w:pPr>
        <w:shd w:val="clear" w:color="auto" w:fill="FFFFFF"/>
        <w:spacing w:after="60" w:line="240" w:lineRule="auto"/>
        <w:jc w:val="both"/>
        <w:rPr>
          <w:rFonts w:ascii="Arial" w:eastAsia="Times New Roman" w:hAnsi="Arial" w:cs="Arial"/>
          <w:sz w:val="20"/>
          <w:szCs w:val="20"/>
        </w:rPr>
      </w:pPr>
      <w:r w:rsidRPr="00D46887">
        <w:rPr>
          <w:rFonts w:ascii="Arial" w:eastAsia="Times New Roman" w:hAnsi="Arial" w:cs="Arial"/>
          <w:sz w:val="20"/>
          <w:szCs w:val="20"/>
        </w:rPr>
        <w:t>Kết q</w:t>
      </w:r>
      <w:r w:rsidR="004079D0" w:rsidRPr="00D46887">
        <w:rPr>
          <w:rFonts w:ascii="Arial" w:eastAsia="Times New Roman" w:hAnsi="Arial" w:cs="Arial"/>
          <w:sz w:val="20"/>
          <w:szCs w:val="20"/>
        </w:rPr>
        <w:t>uả phân tích hồi quy khẳng định</w:t>
      </w:r>
      <w:r w:rsidRPr="00D46887">
        <w:rPr>
          <w:rFonts w:ascii="Arial" w:eastAsia="Times New Roman" w:hAnsi="Arial" w:cs="Arial"/>
          <w:sz w:val="20"/>
          <w:szCs w:val="20"/>
        </w:rPr>
        <w:t xml:space="preserve"> mối liên hệ chặt chẽ giữa chính sách kinh tế và tăng trưởng thương mại. Cụ thể là, nếu mức độ thiếu chắc chắn của </w:t>
      </w:r>
      <w:r w:rsidR="004079D0" w:rsidRPr="00D46887">
        <w:rPr>
          <w:rFonts w:ascii="Arial" w:eastAsia="Times New Roman" w:hAnsi="Arial" w:cs="Arial"/>
          <w:sz w:val="20"/>
          <w:szCs w:val="20"/>
        </w:rPr>
        <w:t xml:space="preserve">các quy định </w:t>
      </w:r>
      <w:r w:rsidRPr="00D46887">
        <w:rPr>
          <w:rFonts w:ascii="Arial" w:eastAsia="Times New Roman" w:hAnsi="Arial" w:cs="Arial"/>
          <w:sz w:val="20"/>
          <w:szCs w:val="20"/>
        </w:rPr>
        <w:t>chính sách tăng 1%, trao đổi thương mại và dịch vụ sẽ giảm khoảng 0</w:t>
      </w:r>
      <w:proofErr w:type="gramStart"/>
      <w:r w:rsidRPr="00D46887">
        <w:rPr>
          <w:rFonts w:ascii="Arial" w:eastAsia="Times New Roman" w:hAnsi="Arial" w:cs="Arial"/>
          <w:sz w:val="20"/>
          <w:szCs w:val="20"/>
        </w:rPr>
        <w:t>,02</w:t>
      </w:r>
      <w:proofErr w:type="gramEnd"/>
      <w:r w:rsidRPr="00D46887">
        <w:rPr>
          <w:rFonts w:ascii="Arial" w:eastAsia="Times New Roman" w:hAnsi="Arial" w:cs="Arial"/>
          <w:sz w:val="20"/>
          <w:szCs w:val="20"/>
        </w:rPr>
        <w:t xml:space="preserve">%. </w:t>
      </w:r>
      <w:proofErr w:type="gramStart"/>
      <w:r w:rsidRPr="00D46887">
        <w:rPr>
          <w:rFonts w:ascii="Arial" w:eastAsia="Times New Roman" w:hAnsi="Arial" w:cs="Arial"/>
          <w:sz w:val="20"/>
          <w:szCs w:val="20"/>
        </w:rPr>
        <w:t>Riêng trong năm 2016, chính sách thiếu chắc chắn đã đóng góp tới 75% mức suy giảm thương mại toàn cầu.</w:t>
      </w:r>
      <w:proofErr w:type="gramEnd"/>
    </w:p>
    <w:p w:rsidR="00ED08D9" w:rsidRPr="00D46887" w:rsidRDefault="004079D0" w:rsidP="00D46887">
      <w:pPr>
        <w:shd w:val="clear" w:color="auto" w:fill="FFFFFF"/>
        <w:spacing w:after="60" w:line="240" w:lineRule="auto"/>
        <w:jc w:val="both"/>
        <w:rPr>
          <w:rFonts w:ascii="Arial" w:eastAsia="Times New Roman" w:hAnsi="Arial" w:cs="Arial"/>
          <w:sz w:val="20"/>
          <w:szCs w:val="20"/>
        </w:rPr>
      </w:pPr>
      <w:proofErr w:type="gramStart"/>
      <w:r w:rsidRPr="00D46887">
        <w:rPr>
          <w:rFonts w:ascii="Arial" w:eastAsia="Times New Roman" w:hAnsi="Arial" w:cs="Arial"/>
          <w:sz w:val="20"/>
          <w:szCs w:val="20"/>
        </w:rPr>
        <w:t>Phân tích hồi quy cũng cho thấy, c</w:t>
      </w:r>
      <w:r w:rsidR="00ED08D9" w:rsidRPr="00D46887">
        <w:rPr>
          <w:rFonts w:ascii="Arial" w:eastAsia="Times New Roman" w:hAnsi="Arial" w:cs="Arial"/>
          <w:sz w:val="20"/>
          <w:szCs w:val="20"/>
        </w:rPr>
        <w:t>hủ nghĩa bảo hộ không giải thích được mô hình thương mại năm 2016, nhưng chính sách thương mại không chắc chắn đã làm gia tăng mức độ bất ổn chính sách.</w:t>
      </w:r>
      <w:proofErr w:type="gramEnd"/>
      <w:r w:rsidR="00ED08D9" w:rsidRPr="00D46887">
        <w:rPr>
          <w:rFonts w:ascii="Arial" w:eastAsia="Times New Roman" w:hAnsi="Arial" w:cs="Arial"/>
          <w:sz w:val="20"/>
          <w:szCs w:val="20"/>
        </w:rPr>
        <w:t xml:space="preserve"> Các biện pháp hạn chế thương mại đã góp phần làm tăng lượng hàng tồn kho, gây tắc nghẽn các hoạt động </w:t>
      </w:r>
      <w:r w:rsidR="007B4E60" w:rsidRPr="00D46887">
        <w:rPr>
          <w:rFonts w:ascii="Arial" w:eastAsia="Times New Roman" w:hAnsi="Arial" w:cs="Arial"/>
          <w:sz w:val="20"/>
          <w:szCs w:val="20"/>
        </w:rPr>
        <w:t xml:space="preserve">thương mại. </w:t>
      </w:r>
      <w:proofErr w:type="gramStart"/>
      <w:r w:rsidR="00ED08D9" w:rsidRPr="00D46887">
        <w:rPr>
          <w:rFonts w:ascii="Arial" w:eastAsia="Times New Roman" w:hAnsi="Arial" w:cs="Arial"/>
          <w:sz w:val="20"/>
          <w:szCs w:val="20"/>
        </w:rPr>
        <w:t>Mặc dù không có bằng chứng trực tiếp về bất ổn chính sách thương mại trong năm 2016, nhưng tác hại của bất ổn về các chính sách kinh tế phần nào phản ánh những bất ổn trong các quan hệ thương mại quốc tế.</w:t>
      </w:r>
      <w:proofErr w:type="gramEnd"/>
      <w:r w:rsidR="00ED08D9" w:rsidRPr="00D46887">
        <w:rPr>
          <w:rFonts w:ascii="Arial" w:eastAsia="Times New Roman" w:hAnsi="Arial" w:cs="Arial"/>
          <w:sz w:val="20"/>
          <w:szCs w:val="20"/>
        </w:rPr>
        <w:t xml:space="preserve"> </w:t>
      </w:r>
    </w:p>
    <w:p w:rsidR="00ED08D9" w:rsidRPr="00D46887" w:rsidRDefault="004079D0" w:rsidP="00D46887">
      <w:pPr>
        <w:shd w:val="clear" w:color="auto" w:fill="FFFFFF"/>
        <w:spacing w:after="60" w:line="240" w:lineRule="auto"/>
        <w:jc w:val="both"/>
        <w:rPr>
          <w:rFonts w:ascii="Arial" w:eastAsia="Times New Roman" w:hAnsi="Arial" w:cs="Arial"/>
          <w:sz w:val="20"/>
          <w:szCs w:val="20"/>
        </w:rPr>
      </w:pPr>
      <w:r w:rsidRPr="00D46887">
        <w:rPr>
          <w:rFonts w:ascii="Arial" w:eastAsia="Times New Roman" w:hAnsi="Arial" w:cs="Arial"/>
          <w:sz w:val="20"/>
          <w:szCs w:val="20"/>
        </w:rPr>
        <w:t>Trong quá trình nghiên cứu, c</w:t>
      </w:r>
      <w:r w:rsidR="00ED08D9" w:rsidRPr="00D46887">
        <w:rPr>
          <w:rFonts w:ascii="Arial" w:eastAsia="Times New Roman" w:hAnsi="Arial" w:cs="Arial"/>
          <w:sz w:val="20"/>
          <w:szCs w:val="20"/>
        </w:rPr>
        <w:t xml:space="preserve">ác chuyên gia cũng chứng kiến sự suy giảm về tăng trưởng thương mại và năng suất </w:t>
      </w:r>
      <w:proofErr w:type="gramStart"/>
      <w:r w:rsidR="00ED08D9" w:rsidRPr="00D46887">
        <w:rPr>
          <w:rFonts w:ascii="Arial" w:eastAsia="Times New Roman" w:hAnsi="Arial" w:cs="Arial"/>
          <w:sz w:val="20"/>
          <w:szCs w:val="20"/>
        </w:rPr>
        <w:t>lao</w:t>
      </w:r>
      <w:proofErr w:type="gramEnd"/>
      <w:r w:rsidR="00ED08D9" w:rsidRPr="00D46887">
        <w:rPr>
          <w:rFonts w:ascii="Arial" w:eastAsia="Times New Roman" w:hAnsi="Arial" w:cs="Arial"/>
          <w:sz w:val="20"/>
          <w:szCs w:val="20"/>
        </w:rPr>
        <w:t xml:space="preserve"> động. </w:t>
      </w:r>
      <w:r w:rsidRPr="00D46887">
        <w:rPr>
          <w:rFonts w:ascii="Arial" w:eastAsia="Times New Roman" w:hAnsi="Arial" w:cs="Arial"/>
          <w:sz w:val="20"/>
          <w:szCs w:val="20"/>
        </w:rPr>
        <w:t>Cùng với xu hướng tăng chậm dần của các hoạt động xuất nhập khẩu hàng hóa</w:t>
      </w:r>
      <w:r w:rsidR="00744DB3" w:rsidRPr="00D46887">
        <w:rPr>
          <w:rFonts w:ascii="Arial" w:eastAsia="Times New Roman" w:hAnsi="Arial" w:cs="Arial"/>
          <w:sz w:val="20"/>
          <w:szCs w:val="20"/>
        </w:rPr>
        <w:t xml:space="preserve">, </w:t>
      </w:r>
      <w:r w:rsidR="00ED08D9" w:rsidRPr="00D46887">
        <w:rPr>
          <w:rFonts w:ascii="Arial" w:eastAsia="Times New Roman" w:hAnsi="Arial" w:cs="Arial"/>
          <w:sz w:val="20"/>
          <w:szCs w:val="20"/>
        </w:rPr>
        <w:t xml:space="preserve">năng suất </w:t>
      </w:r>
      <w:proofErr w:type="gramStart"/>
      <w:r w:rsidR="00ED08D9" w:rsidRPr="00D46887">
        <w:rPr>
          <w:rFonts w:ascii="Arial" w:eastAsia="Times New Roman" w:hAnsi="Arial" w:cs="Arial"/>
          <w:sz w:val="20"/>
          <w:szCs w:val="20"/>
        </w:rPr>
        <w:t>lao</w:t>
      </w:r>
      <w:proofErr w:type="gramEnd"/>
      <w:r w:rsidR="00ED08D9" w:rsidRPr="00D46887">
        <w:rPr>
          <w:rFonts w:ascii="Arial" w:eastAsia="Times New Roman" w:hAnsi="Arial" w:cs="Arial"/>
          <w:sz w:val="20"/>
          <w:szCs w:val="20"/>
        </w:rPr>
        <w:t xml:space="preserve"> động trong thời kỳ sau khủng hoảng tài chính toàn cầu chỉ tăng trung bình 1%/năm, trong khi tăng trung bình 2%/năm trong giai đoạn 1994-2008. </w:t>
      </w:r>
    </w:p>
    <w:p w:rsidR="00ED08D9" w:rsidRPr="00D46887" w:rsidRDefault="00ED08D9" w:rsidP="00D46887">
      <w:pPr>
        <w:shd w:val="clear" w:color="auto" w:fill="FFFFFF"/>
        <w:spacing w:after="60" w:line="240" w:lineRule="auto"/>
        <w:jc w:val="both"/>
        <w:rPr>
          <w:rFonts w:ascii="Arial" w:eastAsia="Times New Roman" w:hAnsi="Arial" w:cs="Arial"/>
          <w:sz w:val="20"/>
          <w:szCs w:val="20"/>
        </w:rPr>
      </w:pPr>
      <w:r w:rsidRPr="00D46887">
        <w:rPr>
          <w:rFonts w:ascii="Arial" w:eastAsia="Times New Roman" w:hAnsi="Arial" w:cs="Arial"/>
          <w:sz w:val="20"/>
          <w:szCs w:val="20"/>
        </w:rPr>
        <w:t xml:space="preserve">Về sự phát triển của các chuỗi giá trị toàn cầu, một thước đo quan trọng là tỷ trọng giá trị tăng thêm ở nước ngoài trong tổng giá trị xuất khẩu. </w:t>
      </w:r>
      <w:proofErr w:type="gramStart"/>
      <w:r w:rsidRPr="00D46887">
        <w:rPr>
          <w:rFonts w:ascii="Arial" w:eastAsia="Times New Roman" w:hAnsi="Arial" w:cs="Arial"/>
          <w:sz w:val="20"/>
          <w:szCs w:val="20"/>
        </w:rPr>
        <w:t xml:space="preserve">Các dữ liệu đầu vào và đầu ra cho thấy, tỷ trọng này không tăng, thậm chí giảm </w:t>
      </w:r>
      <w:r w:rsidR="00744DB3" w:rsidRPr="00D46887">
        <w:rPr>
          <w:rFonts w:ascii="Arial" w:eastAsia="Times New Roman" w:hAnsi="Arial" w:cs="Arial"/>
          <w:sz w:val="20"/>
          <w:szCs w:val="20"/>
        </w:rPr>
        <w:t xml:space="preserve">mạnh </w:t>
      </w:r>
      <w:r w:rsidRPr="00D46887">
        <w:rPr>
          <w:rFonts w:ascii="Arial" w:eastAsia="Times New Roman" w:hAnsi="Arial" w:cs="Arial"/>
          <w:sz w:val="20"/>
          <w:szCs w:val="20"/>
        </w:rPr>
        <w:t>kể từ năm 2011.</w:t>
      </w:r>
      <w:proofErr w:type="gramEnd"/>
      <w:r w:rsidRPr="00D46887">
        <w:rPr>
          <w:rFonts w:ascii="Arial" w:eastAsia="Times New Roman" w:hAnsi="Arial" w:cs="Arial"/>
          <w:sz w:val="20"/>
          <w:szCs w:val="20"/>
        </w:rPr>
        <w:t xml:space="preserve"> </w:t>
      </w:r>
      <w:proofErr w:type="gramStart"/>
      <w:r w:rsidRPr="00D46887">
        <w:rPr>
          <w:rFonts w:ascii="Arial" w:eastAsia="Times New Roman" w:hAnsi="Arial" w:cs="Arial"/>
          <w:sz w:val="20"/>
          <w:szCs w:val="20"/>
        </w:rPr>
        <w:t>Trong thập kỷ trước, mức độ tham gia của chuỗi giá trị toàn cầu t</w:t>
      </w:r>
      <w:r w:rsidR="000303F6" w:rsidRPr="00D46887">
        <w:rPr>
          <w:rFonts w:ascii="Arial" w:eastAsia="Times New Roman" w:hAnsi="Arial" w:cs="Arial"/>
          <w:sz w:val="20"/>
          <w:szCs w:val="20"/>
        </w:rPr>
        <w:t>iếp tục tăng, nhưng thấp</w:t>
      </w:r>
      <w:r w:rsidR="00744DB3" w:rsidRPr="00D46887">
        <w:rPr>
          <w:rFonts w:ascii="Arial" w:eastAsia="Times New Roman" w:hAnsi="Arial" w:cs="Arial"/>
          <w:sz w:val="20"/>
          <w:szCs w:val="20"/>
        </w:rPr>
        <w:t xml:space="preserve"> hơn so </w:t>
      </w:r>
      <w:r w:rsidRPr="00D46887">
        <w:rPr>
          <w:rFonts w:ascii="Arial" w:eastAsia="Times New Roman" w:hAnsi="Arial" w:cs="Arial"/>
          <w:sz w:val="20"/>
          <w:szCs w:val="20"/>
        </w:rPr>
        <w:t>với thập kỷ trước đó</w:t>
      </w:r>
      <w:r w:rsidR="00744DB3" w:rsidRPr="00D46887">
        <w:rPr>
          <w:rFonts w:ascii="Arial" w:eastAsia="Times New Roman" w:hAnsi="Arial" w:cs="Arial"/>
          <w:sz w:val="20"/>
          <w:szCs w:val="20"/>
        </w:rPr>
        <w:t>, t</w:t>
      </w:r>
      <w:r w:rsidRPr="00D46887">
        <w:rPr>
          <w:rFonts w:ascii="Arial" w:eastAsia="Times New Roman" w:hAnsi="Arial" w:cs="Arial"/>
          <w:sz w:val="20"/>
          <w:szCs w:val="20"/>
        </w:rPr>
        <w:t>ỷ lệ hàng hóa nhập khẩu trong hàng xuất khẩu cũng chứng kiến những thay đổi tương tự.</w:t>
      </w:r>
      <w:proofErr w:type="gramEnd"/>
      <w:r w:rsidRPr="00D46887">
        <w:rPr>
          <w:rFonts w:ascii="Arial" w:eastAsia="Times New Roman" w:hAnsi="Arial" w:cs="Arial"/>
          <w:sz w:val="20"/>
          <w:szCs w:val="20"/>
        </w:rPr>
        <w:t xml:space="preserve">   </w:t>
      </w:r>
    </w:p>
    <w:p w:rsidR="00BF14D7" w:rsidRPr="00D46887" w:rsidRDefault="00ED08D9" w:rsidP="00D46887">
      <w:pPr>
        <w:shd w:val="clear" w:color="auto" w:fill="FFFFFF"/>
        <w:spacing w:after="60" w:line="240" w:lineRule="auto"/>
        <w:jc w:val="both"/>
        <w:rPr>
          <w:rFonts w:ascii="Arial" w:eastAsia="Times New Roman" w:hAnsi="Arial" w:cs="Arial"/>
          <w:sz w:val="20"/>
          <w:szCs w:val="20"/>
        </w:rPr>
      </w:pPr>
      <w:proofErr w:type="gramStart"/>
      <w:r w:rsidRPr="00D46887">
        <w:rPr>
          <w:rFonts w:ascii="Arial" w:eastAsia="Times New Roman" w:hAnsi="Arial" w:cs="Arial"/>
          <w:sz w:val="20"/>
          <w:szCs w:val="20"/>
        </w:rPr>
        <w:t>Nghiên cứu trước đây cho thấy, xu hướng phát triển chậm dần của các chuỗi giá trị toàn cầu cũng phần nào giải thích thực trạng phát triển thương mại hiện nay.</w:t>
      </w:r>
      <w:proofErr w:type="gramEnd"/>
      <w:r w:rsidRPr="00D46887">
        <w:rPr>
          <w:rFonts w:ascii="Arial" w:eastAsia="Times New Roman" w:hAnsi="Arial" w:cs="Arial"/>
          <w:sz w:val="20"/>
          <w:szCs w:val="20"/>
        </w:rPr>
        <w:t xml:space="preserve"> Cụ thể là, thương mại toàn cầu tăng chậm là do tăng trưởng kinh tế chậm chạp và những thay đổi mang tính dài hạn trong quan hệ giữa thương mại và GDP. </w:t>
      </w:r>
      <w:proofErr w:type="gramStart"/>
      <w:r w:rsidRPr="00D46887">
        <w:rPr>
          <w:rFonts w:ascii="Arial" w:eastAsia="Times New Roman" w:hAnsi="Arial" w:cs="Arial"/>
          <w:sz w:val="20"/>
          <w:szCs w:val="20"/>
        </w:rPr>
        <w:t>Trong những năm 90 của thế kỷ trước, độ co dãn của thương mại toàn c</w:t>
      </w:r>
      <w:r w:rsidR="007B4E60" w:rsidRPr="00D46887">
        <w:rPr>
          <w:rFonts w:ascii="Arial" w:eastAsia="Times New Roman" w:hAnsi="Arial" w:cs="Arial"/>
          <w:sz w:val="20"/>
          <w:szCs w:val="20"/>
        </w:rPr>
        <w:t>ầu so GDP lớn hơn 2</w:t>
      </w:r>
      <w:r w:rsidRPr="00D46887">
        <w:rPr>
          <w:rFonts w:ascii="Arial" w:eastAsia="Times New Roman" w:hAnsi="Arial" w:cs="Arial"/>
          <w:sz w:val="20"/>
          <w:szCs w:val="20"/>
        </w:rPr>
        <w:t>, nhưng giảm còn một nửa và tiếp tục giảm sâu trong những năm 2000.</w:t>
      </w:r>
      <w:proofErr w:type="gramEnd"/>
      <w:r w:rsidRPr="00D46887">
        <w:rPr>
          <w:rFonts w:ascii="Arial" w:eastAsia="Times New Roman" w:hAnsi="Arial" w:cs="Arial"/>
          <w:sz w:val="20"/>
          <w:szCs w:val="20"/>
        </w:rPr>
        <w:t xml:space="preserve"> </w:t>
      </w:r>
      <w:r w:rsidR="00BF14D7" w:rsidRPr="00D46887">
        <w:rPr>
          <w:rFonts w:ascii="Arial" w:eastAsia="Times New Roman" w:hAnsi="Arial" w:cs="Arial"/>
          <w:sz w:val="20"/>
          <w:szCs w:val="20"/>
        </w:rPr>
        <w:t xml:space="preserve">Tốc độ phát triển khác nhau của các chuỗi giá trị toàn cầu là một yếu tố quan trọng làm thay đổi tương quan dài hạn giữa thương mại toàn cầu và GDP, những thay đổi trong các GVC trong giai đoạn 1990-2014 đóng góp khoảng 50% mức suy giảm </w:t>
      </w:r>
      <w:r w:rsidR="000303F6" w:rsidRPr="00D46887">
        <w:rPr>
          <w:rFonts w:ascii="Arial" w:eastAsia="Times New Roman" w:hAnsi="Arial" w:cs="Arial"/>
          <w:sz w:val="20"/>
          <w:szCs w:val="20"/>
        </w:rPr>
        <w:t xml:space="preserve">của </w:t>
      </w:r>
      <w:r w:rsidR="00BF14D7" w:rsidRPr="00D46887">
        <w:rPr>
          <w:rFonts w:ascii="Arial" w:eastAsia="Times New Roman" w:hAnsi="Arial" w:cs="Arial"/>
          <w:sz w:val="20"/>
          <w:szCs w:val="20"/>
        </w:rPr>
        <w:t xml:space="preserve">độ co dãn của thương mại so với thu nhập trên toàn thế giới. </w:t>
      </w:r>
    </w:p>
    <w:p w:rsidR="006E7C35" w:rsidRPr="00D46887" w:rsidRDefault="006E7C35" w:rsidP="00D46887">
      <w:pPr>
        <w:shd w:val="clear" w:color="auto" w:fill="FFFFFF"/>
        <w:spacing w:after="60" w:line="240" w:lineRule="auto"/>
        <w:jc w:val="both"/>
        <w:rPr>
          <w:rFonts w:ascii="Arial" w:eastAsia="Times New Roman" w:hAnsi="Arial" w:cs="Arial"/>
          <w:b/>
          <w:i/>
          <w:sz w:val="20"/>
          <w:szCs w:val="20"/>
        </w:rPr>
      </w:pPr>
      <w:r w:rsidRPr="00D46887">
        <w:rPr>
          <w:rFonts w:ascii="Arial" w:eastAsia="Times New Roman" w:hAnsi="Arial" w:cs="Arial"/>
          <w:b/>
          <w:i/>
          <w:sz w:val="20"/>
          <w:szCs w:val="20"/>
        </w:rPr>
        <w:t>Xuân Thanh</w:t>
      </w:r>
    </w:p>
    <w:sectPr w:rsidR="006E7C35" w:rsidRPr="00D46887" w:rsidSect="006E7C35">
      <w:footerReference w:type="default" r:id="rId8"/>
      <w:pgSz w:w="12240" w:h="15840"/>
      <w:pgMar w:top="1152" w:right="1440"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C4F" w:rsidRDefault="00EA2C4F" w:rsidP="009C2033">
      <w:pPr>
        <w:spacing w:after="0" w:line="240" w:lineRule="auto"/>
      </w:pPr>
      <w:r>
        <w:separator/>
      </w:r>
    </w:p>
  </w:endnote>
  <w:endnote w:type="continuationSeparator" w:id="0">
    <w:p w:rsidR="00EA2C4F" w:rsidRDefault="00EA2C4F" w:rsidP="009C2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4666728"/>
      <w:docPartObj>
        <w:docPartGallery w:val="Page Numbers (Bottom of Page)"/>
        <w:docPartUnique/>
      </w:docPartObj>
    </w:sdtPr>
    <w:sdtEndPr>
      <w:rPr>
        <w:noProof/>
      </w:rPr>
    </w:sdtEndPr>
    <w:sdtContent>
      <w:p w:rsidR="00744DB3" w:rsidRDefault="005A6BC4">
        <w:pPr>
          <w:pStyle w:val="Footer"/>
          <w:jc w:val="right"/>
        </w:pPr>
        <w:r>
          <w:fldChar w:fldCharType="begin"/>
        </w:r>
        <w:r w:rsidR="00744DB3">
          <w:instrText xml:space="preserve"> PAGE   \* MERGEFORMAT </w:instrText>
        </w:r>
        <w:r>
          <w:fldChar w:fldCharType="separate"/>
        </w:r>
        <w:r w:rsidR="00A160C2">
          <w:rPr>
            <w:noProof/>
          </w:rPr>
          <w:t>2</w:t>
        </w:r>
        <w:r>
          <w:rPr>
            <w:noProof/>
          </w:rPr>
          <w:fldChar w:fldCharType="end"/>
        </w:r>
      </w:p>
    </w:sdtContent>
  </w:sdt>
  <w:p w:rsidR="00744DB3" w:rsidRDefault="00744D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C4F" w:rsidRDefault="00EA2C4F" w:rsidP="009C2033">
      <w:pPr>
        <w:spacing w:after="0" w:line="240" w:lineRule="auto"/>
      </w:pPr>
      <w:r>
        <w:separator/>
      </w:r>
    </w:p>
  </w:footnote>
  <w:footnote w:type="continuationSeparator" w:id="0">
    <w:p w:rsidR="00EA2C4F" w:rsidRDefault="00EA2C4F" w:rsidP="009C20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6398"/>
    <w:multiLevelType w:val="hybridMultilevel"/>
    <w:tmpl w:val="2842B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69258B"/>
    <w:multiLevelType w:val="hybridMultilevel"/>
    <w:tmpl w:val="1834C4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3CA58B1"/>
    <w:multiLevelType w:val="multilevel"/>
    <w:tmpl w:val="9B883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F040A9"/>
    <w:multiLevelType w:val="multilevel"/>
    <w:tmpl w:val="C626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6F7A23"/>
    <w:multiLevelType w:val="multilevel"/>
    <w:tmpl w:val="DB00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7A07F3"/>
    <w:multiLevelType w:val="hybridMultilevel"/>
    <w:tmpl w:val="526C89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E7A69AD"/>
    <w:multiLevelType w:val="hybridMultilevel"/>
    <w:tmpl w:val="A516B482"/>
    <w:lvl w:ilvl="0" w:tplc="CBAAE0E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A664DD9"/>
    <w:multiLevelType w:val="hybridMultilevel"/>
    <w:tmpl w:val="8910BCA6"/>
    <w:lvl w:ilvl="0" w:tplc="CBAAE0E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1E6BEF"/>
    <w:multiLevelType w:val="hybridMultilevel"/>
    <w:tmpl w:val="F2A0A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8"/>
  </w:num>
  <w:num w:numId="5">
    <w:abstractNumId w:val="1"/>
  </w:num>
  <w:num w:numId="6">
    <w:abstractNumId w:val="5"/>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3E6"/>
    <w:rsid w:val="000303F6"/>
    <w:rsid w:val="001302FB"/>
    <w:rsid w:val="00181B0F"/>
    <w:rsid w:val="001B6766"/>
    <w:rsid w:val="001F7D50"/>
    <w:rsid w:val="002123E6"/>
    <w:rsid w:val="00213CE4"/>
    <w:rsid w:val="00225011"/>
    <w:rsid w:val="00272CD6"/>
    <w:rsid w:val="004079D0"/>
    <w:rsid w:val="00495B84"/>
    <w:rsid w:val="004A24C8"/>
    <w:rsid w:val="004A5FCC"/>
    <w:rsid w:val="004E2342"/>
    <w:rsid w:val="00550ED4"/>
    <w:rsid w:val="005967E4"/>
    <w:rsid w:val="005A6BC4"/>
    <w:rsid w:val="005E0546"/>
    <w:rsid w:val="006D0843"/>
    <w:rsid w:val="006E7C35"/>
    <w:rsid w:val="00744DB3"/>
    <w:rsid w:val="007B4E60"/>
    <w:rsid w:val="007F636A"/>
    <w:rsid w:val="00800E29"/>
    <w:rsid w:val="008124A8"/>
    <w:rsid w:val="00827B69"/>
    <w:rsid w:val="0088451E"/>
    <w:rsid w:val="008A0C0C"/>
    <w:rsid w:val="008A590A"/>
    <w:rsid w:val="008E40C6"/>
    <w:rsid w:val="008E713F"/>
    <w:rsid w:val="00914040"/>
    <w:rsid w:val="00956A2E"/>
    <w:rsid w:val="009C2033"/>
    <w:rsid w:val="00A160C2"/>
    <w:rsid w:val="00AA200D"/>
    <w:rsid w:val="00AD0961"/>
    <w:rsid w:val="00B12576"/>
    <w:rsid w:val="00B5705B"/>
    <w:rsid w:val="00B80BEE"/>
    <w:rsid w:val="00B826A6"/>
    <w:rsid w:val="00B84CDE"/>
    <w:rsid w:val="00B944B3"/>
    <w:rsid w:val="00BF14D7"/>
    <w:rsid w:val="00C374F9"/>
    <w:rsid w:val="00C71869"/>
    <w:rsid w:val="00CF4DF5"/>
    <w:rsid w:val="00D1079C"/>
    <w:rsid w:val="00D13A01"/>
    <w:rsid w:val="00D46887"/>
    <w:rsid w:val="00D840DD"/>
    <w:rsid w:val="00E834F6"/>
    <w:rsid w:val="00E97C5B"/>
    <w:rsid w:val="00EA2C4F"/>
    <w:rsid w:val="00ED08D9"/>
    <w:rsid w:val="00F02A2E"/>
    <w:rsid w:val="00F04D0D"/>
    <w:rsid w:val="00F97A4F"/>
    <w:rsid w:val="00FD6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B84CD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B84CDE"/>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B84C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84CDE"/>
  </w:style>
  <w:style w:type="character" w:styleId="Hyperlink">
    <w:name w:val="Hyperlink"/>
    <w:basedOn w:val="DefaultParagraphFont"/>
    <w:uiPriority w:val="99"/>
    <w:semiHidden/>
    <w:unhideWhenUsed/>
    <w:rsid w:val="00B84CDE"/>
    <w:rPr>
      <w:color w:val="0000FF"/>
      <w:u w:val="single"/>
    </w:rPr>
  </w:style>
  <w:style w:type="paragraph" w:styleId="Header">
    <w:name w:val="header"/>
    <w:basedOn w:val="Normal"/>
    <w:link w:val="HeaderChar"/>
    <w:uiPriority w:val="99"/>
    <w:unhideWhenUsed/>
    <w:rsid w:val="009C2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033"/>
  </w:style>
  <w:style w:type="paragraph" w:styleId="Footer">
    <w:name w:val="footer"/>
    <w:basedOn w:val="Normal"/>
    <w:link w:val="FooterChar"/>
    <w:uiPriority w:val="99"/>
    <w:unhideWhenUsed/>
    <w:rsid w:val="009C2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033"/>
  </w:style>
  <w:style w:type="table" w:styleId="TableGrid">
    <w:name w:val="Table Grid"/>
    <w:basedOn w:val="TableNormal"/>
    <w:uiPriority w:val="59"/>
    <w:rsid w:val="008A0C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66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B84CD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B84CDE"/>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B84C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84CDE"/>
  </w:style>
  <w:style w:type="character" w:styleId="Hyperlink">
    <w:name w:val="Hyperlink"/>
    <w:basedOn w:val="DefaultParagraphFont"/>
    <w:uiPriority w:val="99"/>
    <w:semiHidden/>
    <w:unhideWhenUsed/>
    <w:rsid w:val="00B84CDE"/>
    <w:rPr>
      <w:color w:val="0000FF"/>
      <w:u w:val="single"/>
    </w:rPr>
  </w:style>
  <w:style w:type="paragraph" w:styleId="Header">
    <w:name w:val="header"/>
    <w:basedOn w:val="Normal"/>
    <w:link w:val="HeaderChar"/>
    <w:uiPriority w:val="99"/>
    <w:unhideWhenUsed/>
    <w:rsid w:val="009C2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033"/>
  </w:style>
  <w:style w:type="paragraph" w:styleId="Footer">
    <w:name w:val="footer"/>
    <w:basedOn w:val="Normal"/>
    <w:link w:val="FooterChar"/>
    <w:uiPriority w:val="99"/>
    <w:unhideWhenUsed/>
    <w:rsid w:val="009C2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033"/>
  </w:style>
  <w:style w:type="table" w:styleId="TableGrid">
    <w:name w:val="Table Grid"/>
    <w:basedOn w:val="TableNormal"/>
    <w:uiPriority w:val="59"/>
    <w:rsid w:val="008A0C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66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19808">
      <w:bodyDiv w:val="1"/>
      <w:marLeft w:val="0"/>
      <w:marRight w:val="0"/>
      <w:marTop w:val="0"/>
      <w:marBottom w:val="0"/>
      <w:divBdr>
        <w:top w:val="none" w:sz="0" w:space="0" w:color="auto"/>
        <w:left w:val="none" w:sz="0" w:space="0" w:color="auto"/>
        <w:bottom w:val="none" w:sz="0" w:space="0" w:color="auto"/>
        <w:right w:val="none" w:sz="0" w:space="0" w:color="auto"/>
      </w:divBdr>
      <w:divsChild>
        <w:div w:id="1875460816">
          <w:marLeft w:val="0"/>
          <w:marRight w:val="0"/>
          <w:marTop w:val="0"/>
          <w:marBottom w:val="0"/>
          <w:divBdr>
            <w:top w:val="none" w:sz="0" w:space="0" w:color="auto"/>
            <w:left w:val="none" w:sz="0" w:space="0" w:color="auto"/>
            <w:bottom w:val="none" w:sz="0" w:space="0" w:color="auto"/>
            <w:right w:val="none" w:sz="0" w:space="0" w:color="auto"/>
          </w:divBdr>
          <w:divsChild>
            <w:div w:id="1995253419">
              <w:marLeft w:val="0"/>
              <w:marRight w:val="0"/>
              <w:marTop w:val="0"/>
              <w:marBottom w:val="0"/>
              <w:divBdr>
                <w:top w:val="none" w:sz="0" w:space="0" w:color="auto"/>
                <w:left w:val="none" w:sz="0" w:space="0" w:color="auto"/>
                <w:bottom w:val="none" w:sz="0" w:space="0" w:color="auto"/>
                <w:right w:val="none" w:sz="0" w:space="0" w:color="auto"/>
              </w:divBdr>
              <w:divsChild>
                <w:div w:id="460610523">
                  <w:marLeft w:val="0"/>
                  <w:marRight w:val="0"/>
                  <w:marTop w:val="0"/>
                  <w:marBottom w:val="0"/>
                  <w:divBdr>
                    <w:top w:val="none" w:sz="0" w:space="0" w:color="auto"/>
                    <w:left w:val="none" w:sz="0" w:space="0" w:color="auto"/>
                    <w:bottom w:val="none" w:sz="0" w:space="0" w:color="auto"/>
                    <w:right w:val="none" w:sz="0" w:space="0" w:color="auto"/>
                  </w:divBdr>
                  <w:divsChild>
                    <w:div w:id="717750553">
                      <w:marLeft w:val="0"/>
                      <w:marRight w:val="0"/>
                      <w:marTop w:val="0"/>
                      <w:marBottom w:val="300"/>
                      <w:divBdr>
                        <w:top w:val="none" w:sz="0" w:space="0" w:color="auto"/>
                        <w:left w:val="none" w:sz="0" w:space="0" w:color="auto"/>
                        <w:bottom w:val="none" w:sz="0" w:space="0" w:color="auto"/>
                        <w:right w:val="none" w:sz="0" w:space="0" w:color="auto"/>
                      </w:divBdr>
                    </w:div>
                    <w:div w:id="497382862">
                      <w:marLeft w:val="0"/>
                      <w:marRight w:val="0"/>
                      <w:marTop w:val="0"/>
                      <w:marBottom w:val="300"/>
                      <w:divBdr>
                        <w:top w:val="none" w:sz="0" w:space="0" w:color="auto"/>
                        <w:left w:val="none" w:sz="0" w:space="0" w:color="auto"/>
                        <w:bottom w:val="none" w:sz="0" w:space="0" w:color="auto"/>
                        <w:right w:val="none" w:sz="0" w:space="0" w:color="auto"/>
                      </w:divBdr>
                    </w:div>
                    <w:div w:id="52857225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440563429">
          <w:marLeft w:val="0"/>
          <w:marRight w:val="0"/>
          <w:marTop w:val="0"/>
          <w:marBottom w:val="0"/>
          <w:divBdr>
            <w:top w:val="none" w:sz="0" w:space="0" w:color="auto"/>
            <w:left w:val="none" w:sz="0" w:space="0" w:color="auto"/>
            <w:bottom w:val="none" w:sz="0" w:space="0" w:color="auto"/>
            <w:right w:val="none" w:sz="0" w:space="0" w:color="auto"/>
          </w:divBdr>
          <w:divsChild>
            <w:div w:id="120529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7</cp:revision>
  <cp:lastPrinted>2017-02-23T08:28:00Z</cp:lastPrinted>
  <dcterms:created xsi:type="dcterms:W3CDTF">2017-02-24T07:58:00Z</dcterms:created>
  <dcterms:modified xsi:type="dcterms:W3CDTF">2017-02-24T08:01:00Z</dcterms:modified>
</cp:coreProperties>
</file>