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73" w:rsidRPr="00811852" w:rsidRDefault="002A5273" w:rsidP="007C1A47">
      <w:pPr>
        <w:shd w:val="clear" w:color="auto" w:fill="FFFFFF"/>
        <w:spacing w:after="0" w:line="240" w:lineRule="auto"/>
        <w:jc w:val="center"/>
        <w:rPr>
          <w:rFonts w:ascii="Arial" w:eastAsia="Times New Roman" w:hAnsi="Arial" w:cs="Arial"/>
          <w:b/>
          <w:i/>
          <w:sz w:val="20"/>
          <w:szCs w:val="20"/>
        </w:rPr>
      </w:pPr>
      <w:r w:rsidRPr="00811852">
        <w:rPr>
          <w:rFonts w:ascii="Arial" w:eastAsia="Times New Roman" w:hAnsi="Arial" w:cs="Arial"/>
          <w:b/>
          <w:i/>
          <w:sz w:val="20"/>
          <w:szCs w:val="20"/>
        </w:rPr>
        <w:t xml:space="preserve">Cơ cấu dữ trữ ngoại hối quốc tế phân </w:t>
      </w:r>
      <w:proofErr w:type="gramStart"/>
      <w:r w:rsidRPr="00811852">
        <w:rPr>
          <w:rFonts w:ascii="Arial" w:eastAsia="Times New Roman" w:hAnsi="Arial" w:cs="Arial"/>
          <w:b/>
          <w:i/>
          <w:sz w:val="20"/>
          <w:szCs w:val="20"/>
        </w:rPr>
        <w:t>theo</w:t>
      </w:r>
      <w:proofErr w:type="gramEnd"/>
      <w:r w:rsidRPr="00811852">
        <w:rPr>
          <w:rFonts w:ascii="Arial" w:eastAsia="Times New Roman" w:hAnsi="Arial" w:cs="Arial"/>
          <w:b/>
          <w:i/>
          <w:sz w:val="20"/>
          <w:szCs w:val="20"/>
        </w:rPr>
        <w:t xml:space="preserve"> loại đồng tiền chủ chốt (tỷ USD)</w:t>
      </w:r>
    </w:p>
    <w:tbl>
      <w:tblPr>
        <w:tblStyle w:val="TableGrid"/>
        <w:tblW w:w="0" w:type="auto"/>
        <w:tblInd w:w="108" w:type="dxa"/>
        <w:tblLook w:val="04A0" w:firstRow="1" w:lastRow="0" w:firstColumn="1" w:lastColumn="0" w:noHBand="0" w:noVBand="1"/>
      </w:tblPr>
      <w:tblGrid>
        <w:gridCol w:w="2790"/>
        <w:gridCol w:w="1350"/>
        <w:gridCol w:w="1260"/>
        <w:gridCol w:w="1350"/>
        <w:gridCol w:w="1350"/>
        <w:gridCol w:w="1368"/>
      </w:tblGrid>
      <w:tr w:rsidR="00811852" w:rsidRPr="00811852" w:rsidTr="002A5273">
        <w:tc>
          <w:tcPr>
            <w:tcW w:w="2790" w:type="dxa"/>
          </w:tcPr>
          <w:p w:rsidR="002A5273" w:rsidRPr="00811852" w:rsidRDefault="002A5273" w:rsidP="007C1A47">
            <w:pPr>
              <w:jc w:val="both"/>
              <w:rPr>
                <w:rFonts w:ascii="Arial" w:eastAsia="Times New Roman" w:hAnsi="Arial" w:cs="Arial"/>
                <w:b/>
                <w:sz w:val="20"/>
                <w:szCs w:val="20"/>
              </w:rPr>
            </w:pPr>
          </w:p>
        </w:tc>
        <w:tc>
          <w:tcPr>
            <w:tcW w:w="1350" w:type="dxa"/>
          </w:tcPr>
          <w:p w:rsidR="002A5273" w:rsidRPr="00811852" w:rsidRDefault="002A5273" w:rsidP="007C1A47">
            <w:pPr>
              <w:jc w:val="both"/>
              <w:rPr>
                <w:rFonts w:ascii="Arial" w:eastAsia="Times New Roman" w:hAnsi="Arial" w:cs="Arial"/>
                <w:b/>
                <w:sz w:val="20"/>
                <w:szCs w:val="20"/>
              </w:rPr>
            </w:pPr>
            <w:r w:rsidRPr="00811852">
              <w:rPr>
                <w:rFonts w:ascii="Arial" w:eastAsia="Times New Roman" w:hAnsi="Arial" w:cs="Arial"/>
                <w:b/>
                <w:sz w:val="20"/>
                <w:szCs w:val="20"/>
              </w:rPr>
              <w:t>Quý IV/2015</w:t>
            </w:r>
          </w:p>
        </w:tc>
        <w:tc>
          <w:tcPr>
            <w:tcW w:w="1260" w:type="dxa"/>
          </w:tcPr>
          <w:p w:rsidR="002A5273" w:rsidRPr="00811852" w:rsidRDefault="002A5273" w:rsidP="007C1A47">
            <w:pPr>
              <w:jc w:val="both"/>
              <w:rPr>
                <w:rFonts w:ascii="Arial" w:eastAsia="Times New Roman" w:hAnsi="Arial" w:cs="Arial"/>
                <w:b/>
                <w:sz w:val="20"/>
                <w:szCs w:val="20"/>
              </w:rPr>
            </w:pPr>
            <w:r w:rsidRPr="00811852">
              <w:rPr>
                <w:rFonts w:ascii="Arial" w:eastAsia="Times New Roman" w:hAnsi="Arial" w:cs="Arial"/>
                <w:b/>
                <w:sz w:val="20"/>
                <w:szCs w:val="20"/>
              </w:rPr>
              <w:t>Quý I/2016</w:t>
            </w:r>
          </w:p>
        </w:tc>
        <w:tc>
          <w:tcPr>
            <w:tcW w:w="1350" w:type="dxa"/>
          </w:tcPr>
          <w:p w:rsidR="002A5273" w:rsidRPr="00811852" w:rsidRDefault="002A5273" w:rsidP="007C1A47">
            <w:pPr>
              <w:jc w:val="both"/>
              <w:rPr>
                <w:rFonts w:ascii="Arial" w:eastAsia="Times New Roman" w:hAnsi="Arial" w:cs="Arial"/>
                <w:b/>
                <w:sz w:val="20"/>
                <w:szCs w:val="20"/>
              </w:rPr>
            </w:pPr>
            <w:r w:rsidRPr="00811852">
              <w:rPr>
                <w:rFonts w:ascii="Arial" w:eastAsia="Times New Roman" w:hAnsi="Arial" w:cs="Arial"/>
                <w:b/>
                <w:sz w:val="20"/>
                <w:szCs w:val="20"/>
              </w:rPr>
              <w:t>Quý II/2016</w:t>
            </w:r>
          </w:p>
        </w:tc>
        <w:tc>
          <w:tcPr>
            <w:tcW w:w="1350" w:type="dxa"/>
          </w:tcPr>
          <w:p w:rsidR="002A5273" w:rsidRPr="00811852" w:rsidRDefault="002A5273" w:rsidP="007C1A47">
            <w:pPr>
              <w:jc w:val="both"/>
              <w:rPr>
                <w:rFonts w:ascii="Arial" w:eastAsia="Times New Roman" w:hAnsi="Arial" w:cs="Arial"/>
                <w:b/>
                <w:sz w:val="20"/>
                <w:szCs w:val="20"/>
              </w:rPr>
            </w:pPr>
            <w:r w:rsidRPr="00811852">
              <w:rPr>
                <w:rFonts w:ascii="Arial" w:eastAsia="Times New Roman" w:hAnsi="Arial" w:cs="Arial"/>
                <w:b/>
                <w:sz w:val="20"/>
                <w:szCs w:val="20"/>
              </w:rPr>
              <w:t>Quý III/2016</w:t>
            </w:r>
          </w:p>
        </w:tc>
        <w:tc>
          <w:tcPr>
            <w:tcW w:w="1368" w:type="dxa"/>
          </w:tcPr>
          <w:p w:rsidR="002A5273" w:rsidRPr="00811852" w:rsidRDefault="002A5273" w:rsidP="007C1A47">
            <w:pPr>
              <w:jc w:val="both"/>
              <w:rPr>
                <w:rFonts w:ascii="Arial" w:eastAsia="Times New Roman" w:hAnsi="Arial" w:cs="Arial"/>
                <w:b/>
                <w:sz w:val="20"/>
                <w:szCs w:val="20"/>
              </w:rPr>
            </w:pPr>
            <w:r w:rsidRPr="00811852">
              <w:rPr>
                <w:rFonts w:ascii="Arial" w:eastAsia="Times New Roman" w:hAnsi="Arial" w:cs="Arial"/>
                <w:b/>
                <w:sz w:val="20"/>
                <w:szCs w:val="20"/>
              </w:rPr>
              <w:t>Quý IV/2016</w:t>
            </w:r>
          </w:p>
        </w:tc>
      </w:tr>
      <w:tr w:rsidR="00811852" w:rsidRPr="00811852" w:rsidTr="002A5273">
        <w:tc>
          <w:tcPr>
            <w:tcW w:w="279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Tổng dự trữ ngoại hối quốc tế</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10.921,40</w:t>
            </w:r>
          </w:p>
        </w:tc>
        <w:tc>
          <w:tcPr>
            <w:tcW w:w="126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11.009,16</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11.037,96</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11.059,38</w:t>
            </w:r>
          </w:p>
        </w:tc>
        <w:tc>
          <w:tcPr>
            <w:tcW w:w="1368"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11.793,40</w:t>
            </w:r>
          </w:p>
        </w:tc>
      </w:tr>
      <w:tr w:rsidR="00811852" w:rsidRPr="00811852" w:rsidTr="002A5273">
        <w:tc>
          <w:tcPr>
            <w:tcW w:w="279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Dự trữ đã phân bổ</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6.817,01</w:t>
            </w:r>
          </w:p>
        </w:tc>
        <w:tc>
          <w:tcPr>
            <w:tcW w:w="126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7.193,94</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7.501,66</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7.800,97</w:t>
            </w:r>
          </w:p>
        </w:tc>
        <w:tc>
          <w:tcPr>
            <w:tcW w:w="1368"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7.900,63</w:t>
            </w:r>
          </w:p>
        </w:tc>
      </w:tr>
      <w:tr w:rsidR="00811852" w:rsidRPr="00811852" w:rsidTr="002A5273">
        <w:tc>
          <w:tcPr>
            <w:tcW w:w="279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Dữ trữ USD</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4.374,07</w:t>
            </w:r>
          </w:p>
        </w:tc>
        <w:tc>
          <w:tcPr>
            <w:tcW w:w="126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4.604,17</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4.792,23</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4.939,78</w:t>
            </w:r>
          </w:p>
        </w:tc>
        <w:tc>
          <w:tcPr>
            <w:tcW w:w="1368"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5.052,94</w:t>
            </w:r>
          </w:p>
        </w:tc>
      </w:tr>
      <w:tr w:rsidR="00811852" w:rsidRPr="00811852" w:rsidTr="002A5273">
        <w:tc>
          <w:tcPr>
            <w:tcW w:w="279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Dự trữ euro</w:t>
            </w:r>
          </w:p>
        </w:tc>
        <w:tc>
          <w:tcPr>
            <w:tcW w:w="1350" w:type="dxa"/>
          </w:tcPr>
          <w:p w:rsidR="002A5273" w:rsidRPr="00811852" w:rsidRDefault="00D91196" w:rsidP="007C1A47">
            <w:pPr>
              <w:jc w:val="both"/>
              <w:rPr>
                <w:rFonts w:ascii="Arial" w:eastAsia="Times New Roman" w:hAnsi="Arial" w:cs="Arial"/>
                <w:sz w:val="20"/>
                <w:szCs w:val="20"/>
              </w:rPr>
            </w:pPr>
            <w:r w:rsidRPr="00811852">
              <w:rPr>
                <w:rFonts w:ascii="Arial" w:hAnsi="Arial" w:cs="Arial"/>
                <w:sz w:val="20"/>
                <w:szCs w:val="20"/>
                <w:shd w:val="clear" w:color="auto" w:fill="FFFFFF"/>
              </w:rPr>
              <w:t>1.345,06</w:t>
            </w:r>
          </w:p>
        </w:tc>
        <w:tc>
          <w:tcPr>
            <w:tcW w:w="1260" w:type="dxa"/>
          </w:tcPr>
          <w:p w:rsidR="002A5273" w:rsidRPr="00811852" w:rsidRDefault="00D91196" w:rsidP="007C1A47">
            <w:pPr>
              <w:jc w:val="both"/>
              <w:rPr>
                <w:rFonts w:ascii="Arial" w:eastAsia="Times New Roman" w:hAnsi="Arial" w:cs="Arial"/>
                <w:sz w:val="20"/>
                <w:szCs w:val="20"/>
              </w:rPr>
            </w:pPr>
            <w:r w:rsidRPr="00811852">
              <w:rPr>
                <w:rFonts w:ascii="Arial" w:hAnsi="Arial" w:cs="Arial"/>
                <w:sz w:val="20"/>
                <w:szCs w:val="20"/>
                <w:shd w:val="clear" w:color="auto" w:fill="FFFFFF"/>
              </w:rPr>
              <w:t>1.449,19</w:t>
            </w:r>
          </w:p>
        </w:tc>
        <w:tc>
          <w:tcPr>
            <w:tcW w:w="1350" w:type="dxa"/>
          </w:tcPr>
          <w:p w:rsidR="002A5273" w:rsidRPr="00811852" w:rsidRDefault="00D91196" w:rsidP="007C1A47">
            <w:pPr>
              <w:jc w:val="both"/>
              <w:rPr>
                <w:rFonts w:ascii="Arial" w:eastAsia="Times New Roman" w:hAnsi="Arial" w:cs="Arial"/>
                <w:sz w:val="20"/>
                <w:szCs w:val="20"/>
              </w:rPr>
            </w:pPr>
            <w:r w:rsidRPr="00811852">
              <w:rPr>
                <w:rFonts w:ascii="Arial" w:hAnsi="Arial" w:cs="Arial"/>
                <w:sz w:val="20"/>
                <w:szCs w:val="20"/>
                <w:shd w:val="clear" w:color="auto" w:fill="FFFFFF"/>
              </w:rPr>
              <w:t>1.493,88</w:t>
            </w:r>
          </w:p>
        </w:tc>
        <w:tc>
          <w:tcPr>
            <w:tcW w:w="1350" w:type="dxa"/>
          </w:tcPr>
          <w:p w:rsidR="002A5273" w:rsidRPr="00811852" w:rsidRDefault="00D91196" w:rsidP="007C1A47">
            <w:pPr>
              <w:jc w:val="both"/>
              <w:rPr>
                <w:rFonts w:ascii="Arial" w:eastAsia="Times New Roman" w:hAnsi="Arial" w:cs="Arial"/>
                <w:sz w:val="20"/>
                <w:szCs w:val="20"/>
              </w:rPr>
            </w:pPr>
            <w:r w:rsidRPr="00811852">
              <w:rPr>
                <w:rFonts w:ascii="Arial" w:hAnsi="Arial" w:cs="Arial"/>
                <w:sz w:val="20"/>
                <w:szCs w:val="20"/>
                <w:shd w:val="clear" w:color="auto" w:fill="FFFFFF"/>
              </w:rPr>
              <w:t>1.577,68</w:t>
            </w:r>
          </w:p>
        </w:tc>
        <w:tc>
          <w:tcPr>
            <w:tcW w:w="1368" w:type="dxa"/>
          </w:tcPr>
          <w:p w:rsidR="002A5273" w:rsidRPr="00811852" w:rsidRDefault="00D91196" w:rsidP="007C1A47">
            <w:pPr>
              <w:jc w:val="both"/>
              <w:rPr>
                <w:rFonts w:ascii="Arial" w:eastAsia="Times New Roman" w:hAnsi="Arial" w:cs="Arial"/>
                <w:sz w:val="20"/>
                <w:szCs w:val="20"/>
              </w:rPr>
            </w:pPr>
            <w:r w:rsidRPr="00811852">
              <w:rPr>
                <w:rFonts w:ascii="Arial" w:hAnsi="Arial" w:cs="Arial"/>
                <w:sz w:val="20"/>
                <w:szCs w:val="20"/>
                <w:shd w:val="clear" w:color="auto" w:fill="FFFFFF"/>
              </w:rPr>
              <w:t>1.559,26</w:t>
            </w:r>
          </w:p>
        </w:tc>
      </w:tr>
      <w:tr w:rsidR="00811852" w:rsidRPr="00811852" w:rsidTr="002A5273">
        <w:tc>
          <w:tcPr>
            <w:tcW w:w="279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Dự trữ CNY</w:t>
            </w:r>
          </w:p>
        </w:tc>
        <w:tc>
          <w:tcPr>
            <w:tcW w:w="1350" w:type="dxa"/>
          </w:tcPr>
          <w:p w:rsidR="002A5273" w:rsidRPr="00811852" w:rsidRDefault="002A5273" w:rsidP="007C1A47">
            <w:pPr>
              <w:jc w:val="both"/>
              <w:rPr>
                <w:rFonts w:ascii="Arial" w:eastAsia="Times New Roman" w:hAnsi="Arial" w:cs="Arial"/>
                <w:sz w:val="20"/>
                <w:szCs w:val="20"/>
              </w:rPr>
            </w:pPr>
          </w:p>
        </w:tc>
        <w:tc>
          <w:tcPr>
            <w:tcW w:w="1260" w:type="dxa"/>
          </w:tcPr>
          <w:p w:rsidR="002A5273" w:rsidRPr="00811852" w:rsidRDefault="002A5273" w:rsidP="007C1A47">
            <w:pPr>
              <w:jc w:val="both"/>
              <w:rPr>
                <w:rFonts w:ascii="Arial" w:eastAsia="Times New Roman" w:hAnsi="Arial" w:cs="Arial"/>
                <w:sz w:val="20"/>
                <w:szCs w:val="20"/>
              </w:rPr>
            </w:pPr>
          </w:p>
        </w:tc>
        <w:tc>
          <w:tcPr>
            <w:tcW w:w="1350" w:type="dxa"/>
          </w:tcPr>
          <w:p w:rsidR="002A5273" w:rsidRPr="00811852" w:rsidRDefault="002A5273" w:rsidP="007C1A47">
            <w:pPr>
              <w:jc w:val="both"/>
              <w:rPr>
                <w:rFonts w:ascii="Arial" w:eastAsia="Times New Roman" w:hAnsi="Arial" w:cs="Arial"/>
                <w:sz w:val="20"/>
                <w:szCs w:val="20"/>
              </w:rPr>
            </w:pPr>
          </w:p>
        </w:tc>
        <w:tc>
          <w:tcPr>
            <w:tcW w:w="1350" w:type="dxa"/>
          </w:tcPr>
          <w:p w:rsidR="002A5273" w:rsidRPr="00811852" w:rsidRDefault="002A5273" w:rsidP="007C1A47">
            <w:pPr>
              <w:jc w:val="both"/>
              <w:rPr>
                <w:rFonts w:ascii="Arial" w:eastAsia="Times New Roman" w:hAnsi="Arial" w:cs="Arial"/>
                <w:sz w:val="20"/>
                <w:szCs w:val="20"/>
              </w:rPr>
            </w:pPr>
          </w:p>
        </w:tc>
        <w:tc>
          <w:tcPr>
            <w:tcW w:w="1368"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84,51</w:t>
            </w:r>
          </w:p>
        </w:tc>
      </w:tr>
      <w:tr w:rsidR="00811852" w:rsidRPr="00811852" w:rsidTr="002A5273">
        <w:tc>
          <w:tcPr>
            <w:tcW w:w="279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Dự trữ yên Nhật</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274,77</w:t>
            </w:r>
          </w:p>
        </w:tc>
        <w:tc>
          <w:tcPr>
            <w:tcW w:w="126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280,74</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325,99</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346,77</w:t>
            </w:r>
          </w:p>
        </w:tc>
        <w:tc>
          <w:tcPr>
            <w:tcW w:w="1368"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332,77</w:t>
            </w:r>
          </w:p>
        </w:tc>
      </w:tr>
      <w:tr w:rsidR="00811852" w:rsidRPr="00811852" w:rsidTr="002A5273">
        <w:tc>
          <w:tcPr>
            <w:tcW w:w="279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Dự trữ bảng Anh</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331,38</w:t>
            </w:r>
          </w:p>
        </w:tc>
        <w:tc>
          <w:tcPr>
            <w:tcW w:w="126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343,30</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348,84</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350,75</w:t>
            </w:r>
          </w:p>
        </w:tc>
        <w:tc>
          <w:tcPr>
            <w:tcW w:w="1368"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349,33</w:t>
            </w:r>
          </w:p>
        </w:tc>
      </w:tr>
      <w:tr w:rsidR="00811852" w:rsidRPr="00811852" w:rsidTr="002A5273">
        <w:tc>
          <w:tcPr>
            <w:tcW w:w="279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Dữ trữ dollar Australia</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131,00</w:t>
            </w:r>
          </w:p>
        </w:tc>
        <w:tc>
          <w:tcPr>
            <w:tcW w:w="126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133,67</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136,97</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150,22</w:t>
            </w:r>
          </w:p>
        </w:tc>
        <w:tc>
          <w:tcPr>
            <w:tcW w:w="1368"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146,12</w:t>
            </w:r>
          </w:p>
        </w:tc>
      </w:tr>
      <w:tr w:rsidR="00811852" w:rsidRPr="00811852" w:rsidTr="002A5273">
        <w:tc>
          <w:tcPr>
            <w:tcW w:w="279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 xml:space="preserve">Dự trữ dollar Canada </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127,65</w:t>
            </w:r>
          </w:p>
        </w:tc>
        <w:tc>
          <w:tcPr>
            <w:tcW w:w="126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136,29</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143,52</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155,80</w:t>
            </w:r>
          </w:p>
        </w:tc>
        <w:tc>
          <w:tcPr>
            <w:tcW w:w="1368"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160,83</w:t>
            </w:r>
          </w:p>
        </w:tc>
      </w:tr>
      <w:tr w:rsidR="00811852" w:rsidRPr="00811852" w:rsidTr="002A5273">
        <w:tc>
          <w:tcPr>
            <w:tcW w:w="279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Dự trữ frank Thụy Sỹ</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19,77</w:t>
            </w:r>
          </w:p>
        </w:tc>
        <w:tc>
          <w:tcPr>
            <w:tcW w:w="126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14,81</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14,28</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14,82</w:t>
            </w:r>
          </w:p>
        </w:tc>
        <w:tc>
          <w:tcPr>
            <w:tcW w:w="1368"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13,73</w:t>
            </w:r>
          </w:p>
        </w:tc>
      </w:tr>
      <w:tr w:rsidR="00811852" w:rsidRPr="00811852" w:rsidTr="002A5273">
        <w:tc>
          <w:tcPr>
            <w:tcW w:w="279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Dự trữ đồng tiền khác</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213,32</w:t>
            </w:r>
          </w:p>
        </w:tc>
        <w:tc>
          <w:tcPr>
            <w:tcW w:w="126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231,76</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245,95</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265,15</w:t>
            </w:r>
          </w:p>
        </w:tc>
        <w:tc>
          <w:tcPr>
            <w:tcW w:w="1368"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201,15</w:t>
            </w:r>
          </w:p>
        </w:tc>
      </w:tr>
      <w:tr w:rsidR="00811852" w:rsidRPr="00811852" w:rsidTr="002A5273">
        <w:tc>
          <w:tcPr>
            <w:tcW w:w="279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Dự trữ chưa phân bổ</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4.104,39</w:t>
            </w:r>
          </w:p>
        </w:tc>
        <w:tc>
          <w:tcPr>
            <w:tcW w:w="126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3.815,22</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3.536,29</w:t>
            </w:r>
          </w:p>
        </w:tc>
        <w:tc>
          <w:tcPr>
            <w:tcW w:w="1350"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3.258,41</w:t>
            </w:r>
          </w:p>
        </w:tc>
        <w:tc>
          <w:tcPr>
            <w:tcW w:w="1368" w:type="dxa"/>
          </w:tcPr>
          <w:p w:rsidR="002A5273" w:rsidRPr="00811852" w:rsidRDefault="002A5273" w:rsidP="007C1A47">
            <w:pPr>
              <w:jc w:val="both"/>
              <w:rPr>
                <w:rFonts w:ascii="Arial" w:eastAsia="Times New Roman" w:hAnsi="Arial" w:cs="Arial"/>
                <w:sz w:val="20"/>
                <w:szCs w:val="20"/>
              </w:rPr>
            </w:pPr>
            <w:r w:rsidRPr="00811852">
              <w:rPr>
                <w:rFonts w:ascii="Arial" w:eastAsia="Times New Roman" w:hAnsi="Arial" w:cs="Arial"/>
                <w:sz w:val="20"/>
                <w:szCs w:val="20"/>
              </w:rPr>
              <w:t>2.892,77</w:t>
            </w:r>
          </w:p>
        </w:tc>
      </w:tr>
    </w:tbl>
    <w:p w:rsidR="009A7214" w:rsidRPr="00811852" w:rsidRDefault="002A5273" w:rsidP="007C1A47">
      <w:pPr>
        <w:shd w:val="clear" w:color="auto" w:fill="FFFFFF"/>
        <w:spacing w:after="0" w:line="240" w:lineRule="auto"/>
        <w:jc w:val="right"/>
        <w:rPr>
          <w:rFonts w:ascii="Arial" w:eastAsia="Times New Roman" w:hAnsi="Arial" w:cs="Arial"/>
          <w:i/>
          <w:sz w:val="16"/>
          <w:szCs w:val="16"/>
        </w:rPr>
      </w:pPr>
      <w:r w:rsidRPr="00811852">
        <w:rPr>
          <w:rFonts w:ascii="Arial" w:eastAsia="Times New Roman" w:hAnsi="Arial" w:cs="Arial"/>
          <w:i/>
          <w:sz w:val="16"/>
          <w:szCs w:val="16"/>
        </w:rPr>
        <w:t>Nguồn: IMF</w:t>
      </w:r>
      <w:bookmarkStart w:id="0" w:name="_GoBack"/>
      <w:bookmarkEnd w:id="0"/>
      <w:r w:rsidRPr="00811852">
        <w:rPr>
          <w:rFonts w:ascii="Arial" w:eastAsia="Times New Roman" w:hAnsi="Arial" w:cs="Arial"/>
          <w:i/>
          <w:sz w:val="16"/>
          <w:szCs w:val="16"/>
        </w:rPr>
        <w:t xml:space="preserve"> tháng 3/2017</w:t>
      </w:r>
    </w:p>
    <w:p w:rsidR="002525A2" w:rsidRPr="00811852" w:rsidRDefault="002525A2" w:rsidP="007C1A47">
      <w:pPr>
        <w:shd w:val="clear" w:color="auto" w:fill="FFFFFF"/>
        <w:spacing w:after="0" w:line="240" w:lineRule="auto"/>
        <w:jc w:val="both"/>
        <w:rPr>
          <w:rFonts w:ascii="Arial" w:eastAsia="Times New Roman" w:hAnsi="Arial" w:cs="Arial"/>
          <w:sz w:val="20"/>
          <w:szCs w:val="20"/>
        </w:rPr>
      </w:pPr>
      <w:r w:rsidRPr="00811852">
        <w:rPr>
          <w:rFonts w:ascii="Arial" w:eastAsia="Times New Roman" w:hAnsi="Arial" w:cs="Arial"/>
          <w:sz w:val="20"/>
          <w:szCs w:val="20"/>
        </w:rPr>
        <w:t xml:space="preserve">COFER là cơ sở dữ liệu do IMF quản lý, được cập nhật và công bố hàng quý dựa trên báo cáo của các quốc gia thành viên. </w:t>
      </w:r>
      <w:proofErr w:type="gramStart"/>
      <w:r w:rsidRPr="00811852">
        <w:rPr>
          <w:rFonts w:ascii="Arial" w:eastAsia="Times New Roman" w:hAnsi="Arial" w:cs="Arial"/>
          <w:sz w:val="20"/>
          <w:szCs w:val="20"/>
        </w:rPr>
        <w:t>Kể từ quý IV/2016</w:t>
      </w:r>
      <w:r w:rsidR="00A42A90" w:rsidRPr="00811852">
        <w:rPr>
          <w:rFonts w:ascii="Arial" w:eastAsia="Times New Roman" w:hAnsi="Arial" w:cs="Arial"/>
          <w:sz w:val="20"/>
          <w:szCs w:val="20"/>
        </w:rPr>
        <w:t xml:space="preserve">, CNY </w:t>
      </w:r>
      <w:r w:rsidR="009A7214" w:rsidRPr="00811852">
        <w:rPr>
          <w:rFonts w:ascii="Arial" w:eastAsia="Times New Roman" w:hAnsi="Arial" w:cs="Arial"/>
          <w:sz w:val="20"/>
          <w:szCs w:val="20"/>
        </w:rPr>
        <w:t>chính thức nằm trong giỏ tiền</w:t>
      </w:r>
      <w:r w:rsidR="00A42A90" w:rsidRPr="00811852">
        <w:rPr>
          <w:rFonts w:ascii="Arial" w:eastAsia="Times New Roman" w:hAnsi="Arial" w:cs="Arial"/>
          <w:sz w:val="20"/>
          <w:szCs w:val="20"/>
        </w:rPr>
        <w:t xml:space="preserve"> định giá dữ trữ ngoại hối quốc tế (gọi là Quyền Rút vốn đặc biệt - SDR)</w:t>
      </w:r>
      <w:r w:rsidRPr="00811852">
        <w:rPr>
          <w:rFonts w:ascii="Arial" w:eastAsia="Times New Roman" w:hAnsi="Arial" w:cs="Arial"/>
          <w:sz w:val="20"/>
          <w:szCs w:val="20"/>
        </w:rPr>
        <w:t xml:space="preserve"> cùng với 7 đồng tiền chủ chốt khác.</w:t>
      </w:r>
      <w:proofErr w:type="gramEnd"/>
      <w:r w:rsidRPr="00811852">
        <w:rPr>
          <w:rFonts w:ascii="Arial" w:eastAsia="Times New Roman" w:hAnsi="Arial" w:cs="Arial"/>
          <w:sz w:val="20"/>
          <w:szCs w:val="20"/>
        </w:rPr>
        <w:t xml:space="preserve"> Bao gồm: USD, euro, yên Nhật, bảng Anh, dollar Australia, dollar Canada, frank Thụy Sỹ. Ngoài ra, COFER cũng liệt kê một số </w:t>
      </w:r>
      <w:r w:rsidR="00A42A90" w:rsidRPr="00811852">
        <w:rPr>
          <w:rFonts w:ascii="Arial" w:eastAsia="Times New Roman" w:hAnsi="Arial" w:cs="Arial"/>
          <w:sz w:val="20"/>
          <w:szCs w:val="20"/>
        </w:rPr>
        <w:t>ngoại tệ mạnh</w:t>
      </w:r>
      <w:r w:rsidR="00DC30F1" w:rsidRPr="00811852">
        <w:rPr>
          <w:rFonts w:ascii="Arial" w:eastAsia="Times New Roman" w:hAnsi="Arial" w:cs="Arial"/>
          <w:sz w:val="20"/>
          <w:szCs w:val="20"/>
        </w:rPr>
        <w:t xml:space="preserve"> </w:t>
      </w:r>
      <w:r w:rsidRPr="00811852">
        <w:rPr>
          <w:rFonts w:ascii="Arial" w:eastAsia="Times New Roman" w:hAnsi="Arial" w:cs="Arial"/>
          <w:sz w:val="20"/>
          <w:szCs w:val="20"/>
        </w:rPr>
        <w:t>khác</w:t>
      </w:r>
      <w:r w:rsidR="00A42A90" w:rsidRPr="00811852">
        <w:rPr>
          <w:rFonts w:ascii="Arial" w:eastAsia="Times New Roman" w:hAnsi="Arial" w:cs="Arial"/>
          <w:sz w:val="20"/>
          <w:szCs w:val="20"/>
        </w:rPr>
        <w:t>, được</w:t>
      </w:r>
      <w:r w:rsidRPr="00811852">
        <w:rPr>
          <w:rFonts w:ascii="Arial" w:eastAsia="Times New Roman" w:hAnsi="Arial" w:cs="Arial"/>
          <w:sz w:val="20"/>
          <w:szCs w:val="20"/>
        </w:rPr>
        <w:t xml:space="preserve"> gộp chung vào nhóm “những đồng tiền khác</w:t>
      </w:r>
      <w:r w:rsidR="00DC30F1" w:rsidRPr="00811852">
        <w:rPr>
          <w:rFonts w:ascii="Arial" w:eastAsia="Times New Roman" w:hAnsi="Arial" w:cs="Arial"/>
          <w:sz w:val="20"/>
          <w:szCs w:val="20"/>
        </w:rPr>
        <w:t>.</w:t>
      </w:r>
      <w:r w:rsidRPr="00811852">
        <w:rPr>
          <w:rFonts w:ascii="Arial" w:eastAsia="Times New Roman" w:hAnsi="Arial" w:cs="Arial"/>
          <w:sz w:val="20"/>
          <w:szCs w:val="20"/>
        </w:rPr>
        <w:t xml:space="preserve">”  </w:t>
      </w:r>
    </w:p>
    <w:p w:rsidR="00312FA4" w:rsidRPr="00811852" w:rsidRDefault="00DC30F1" w:rsidP="00811852">
      <w:pPr>
        <w:shd w:val="clear" w:color="auto" w:fill="FFFFFF"/>
        <w:spacing w:after="0" w:line="240" w:lineRule="auto"/>
        <w:jc w:val="both"/>
        <w:rPr>
          <w:rFonts w:ascii="Arial" w:eastAsia="Times New Roman" w:hAnsi="Arial" w:cs="Arial"/>
          <w:sz w:val="20"/>
          <w:szCs w:val="20"/>
        </w:rPr>
      </w:pPr>
      <w:proofErr w:type="gramStart"/>
      <w:r w:rsidRPr="00811852">
        <w:rPr>
          <w:rFonts w:ascii="Arial" w:eastAsia="Times New Roman" w:hAnsi="Arial" w:cs="Arial"/>
          <w:sz w:val="20"/>
          <w:szCs w:val="20"/>
        </w:rPr>
        <w:t>Dữ liệu về COFER được IMF tổng hợp dựa trên báo cáo tự nguyện</w:t>
      </w:r>
      <w:r w:rsidR="007C4DFB" w:rsidRPr="00811852">
        <w:rPr>
          <w:rFonts w:ascii="Arial" w:eastAsia="Times New Roman" w:hAnsi="Arial" w:cs="Arial"/>
          <w:sz w:val="20"/>
          <w:szCs w:val="20"/>
        </w:rPr>
        <w:t xml:space="preserve"> và bảo đảm bí mật quốc gia.</w:t>
      </w:r>
      <w:proofErr w:type="gramEnd"/>
      <w:r w:rsidR="007C4DFB" w:rsidRPr="00811852">
        <w:rPr>
          <w:rFonts w:ascii="Arial" w:eastAsia="Times New Roman" w:hAnsi="Arial" w:cs="Arial"/>
          <w:sz w:val="20"/>
          <w:szCs w:val="20"/>
        </w:rPr>
        <w:t xml:space="preserve"> Dữ liệu hiện nay được</w:t>
      </w:r>
      <w:r w:rsidRPr="00811852">
        <w:rPr>
          <w:rFonts w:ascii="Arial" w:eastAsia="Times New Roman" w:hAnsi="Arial" w:cs="Arial"/>
          <w:sz w:val="20"/>
          <w:szCs w:val="20"/>
        </w:rPr>
        <w:t xml:space="preserve"> 146 quốc gia cung cấp cho IMF, bao gồm các quốc gia thành viên IMF, một số quốc gia không</w:t>
      </w:r>
      <w:r w:rsidR="001D4ADD" w:rsidRPr="00811852">
        <w:rPr>
          <w:rFonts w:ascii="Arial" w:eastAsia="Times New Roman" w:hAnsi="Arial" w:cs="Arial"/>
          <w:sz w:val="20"/>
          <w:szCs w:val="20"/>
        </w:rPr>
        <w:t xml:space="preserve"> thuộc thành viên IMF</w:t>
      </w:r>
      <w:r w:rsidRPr="00811852">
        <w:rPr>
          <w:rFonts w:ascii="Arial" w:eastAsia="Times New Roman" w:hAnsi="Arial" w:cs="Arial"/>
          <w:sz w:val="20"/>
          <w:szCs w:val="20"/>
        </w:rPr>
        <w:t xml:space="preserve"> và </w:t>
      </w:r>
      <w:r w:rsidR="009A7214" w:rsidRPr="00811852">
        <w:rPr>
          <w:rFonts w:ascii="Arial" w:eastAsia="Times New Roman" w:hAnsi="Arial" w:cs="Arial"/>
          <w:sz w:val="20"/>
          <w:szCs w:val="20"/>
        </w:rPr>
        <w:t xml:space="preserve">nhiều </w:t>
      </w:r>
      <w:r w:rsidRPr="00811852">
        <w:rPr>
          <w:rFonts w:ascii="Arial" w:eastAsia="Times New Roman" w:hAnsi="Arial" w:cs="Arial"/>
          <w:sz w:val="20"/>
          <w:szCs w:val="20"/>
        </w:rPr>
        <w:t xml:space="preserve">cơ quan nắm giữ dự trữ ngoại hối quốc tế. </w:t>
      </w:r>
      <w:proofErr w:type="gramStart"/>
      <w:r w:rsidR="002A5273" w:rsidRPr="00811852">
        <w:rPr>
          <w:rFonts w:ascii="Arial" w:eastAsia="Times New Roman" w:hAnsi="Arial" w:cs="Arial"/>
          <w:sz w:val="20"/>
          <w:szCs w:val="20"/>
        </w:rPr>
        <w:t>COFER bao gồm tiền giấy, tiền gửi ngân hàng, trái phiếu kho bạc, các loại giấy tờ có giá của chính phủ, dữ trữ có thể được sử dụng khi có nhu cầu thanh toán.</w:t>
      </w:r>
      <w:proofErr w:type="gramEnd"/>
      <w:r w:rsidR="002A5273" w:rsidRPr="00811852">
        <w:rPr>
          <w:rFonts w:ascii="Arial" w:eastAsia="Times New Roman" w:hAnsi="Arial" w:cs="Arial"/>
          <w:sz w:val="20"/>
          <w:szCs w:val="20"/>
        </w:rPr>
        <w:t xml:space="preserve"> </w:t>
      </w:r>
    </w:p>
    <w:p w:rsidR="009A7214" w:rsidRPr="00811852" w:rsidRDefault="001D4ADD" w:rsidP="00811852">
      <w:pPr>
        <w:shd w:val="clear" w:color="auto" w:fill="FFFFFF"/>
        <w:spacing w:after="0" w:line="240" w:lineRule="auto"/>
        <w:jc w:val="both"/>
        <w:rPr>
          <w:rFonts w:ascii="Arial" w:eastAsia="Times New Roman" w:hAnsi="Arial" w:cs="Arial"/>
          <w:sz w:val="20"/>
          <w:szCs w:val="20"/>
        </w:rPr>
      </w:pPr>
      <w:r w:rsidRPr="00811852">
        <w:rPr>
          <w:rFonts w:ascii="Arial" w:eastAsia="Times New Roman" w:hAnsi="Arial" w:cs="Arial"/>
          <w:sz w:val="20"/>
          <w:szCs w:val="20"/>
        </w:rPr>
        <w:t xml:space="preserve">Ngày 26/02/2016, Lãnh đạo IMF nhất trí điều chỉnh COFER nhằm điều tra, xác định giá trị tuyệt đối và tương đối của CNY trong COFER, sau khi đồng tiền này chính thức được đưa vào </w:t>
      </w:r>
      <w:r w:rsidR="00A42A90" w:rsidRPr="00811852">
        <w:rPr>
          <w:rFonts w:ascii="Arial" w:eastAsia="Times New Roman" w:hAnsi="Arial" w:cs="Arial"/>
          <w:sz w:val="20"/>
          <w:szCs w:val="20"/>
        </w:rPr>
        <w:t>giỏ tiền SDR</w:t>
      </w:r>
      <w:r w:rsidR="002A5273" w:rsidRPr="00811852">
        <w:rPr>
          <w:rFonts w:ascii="Arial" w:eastAsia="Times New Roman" w:hAnsi="Arial" w:cs="Arial"/>
          <w:sz w:val="20"/>
          <w:szCs w:val="20"/>
        </w:rPr>
        <w:t xml:space="preserve"> của IMF, có hiệu lực chính thức từ ngày 01/10/2016.  </w:t>
      </w:r>
      <w:r w:rsidRPr="00811852">
        <w:rPr>
          <w:rFonts w:ascii="Arial" w:eastAsia="Times New Roman" w:hAnsi="Arial" w:cs="Arial"/>
          <w:sz w:val="20"/>
          <w:szCs w:val="20"/>
        </w:rPr>
        <w:t xml:space="preserve">    </w:t>
      </w:r>
    </w:p>
    <w:p w:rsidR="002A5273" w:rsidRPr="00811852" w:rsidRDefault="00A42A90" w:rsidP="00811852">
      <w:pPr>
        <w:shd w:val="clear" w:color="auto" w:fill="FFFFFF"/>
        <w:spacing w:after="0" w:line="240" w:lineRule="auto"/>
        <w:jc w:val="both"/>
        <w:rPr>
          <w:rFonts w:ascii="Arial" w:eastAsia="Times New Roman" w:hAnsi="Arial" w:cs="Arial"/>
          <w:sz w:val="20"/>
          <w:szCs w:val="20"/>
        </w:rPr>
      </w:pPr>
      <w:r w:rsidRPr="00811852">
        <w:rPr>
          <w:rFonts w:ascii="Arial" w:eastAsia="Times New Roman" w:hAnsi="Arial" w:cs="Arial"/>
          <w:sz w:val="20"/>
          <w:szCs w:val="20"/>
        </w:rPr>
        <w:t>Kết quả điều tra cho thấy, t</w:t>
      </w:r>
      <w:r w:rsidR="002A5273" w:rsidRPr="00811852">
        <w:rPr>
          <w:rFonts w:ascii="Arial" w:eastAsia="Times New Roman" w:hAnsi="Arial" w:cs="Arial"/>
          <w:sz w:val="20"/>
          <w:szCs w:val="20"/>
        </w:rPr>
        <w:t>ín</w:t>
      </w:r>
      <w:r w:rsidRPr="00811852">
        <w:rPr>
          <w:rFonts w:ascii="Arial" w:eastAsia="Times New Roman" w:hAnsi="Arial" w:cs="Arial"/>
          <w:sz w:val="20"/>
          <w:szCs w:val="20"/>
        </w:rPr>
        <w:t xml:space="preserve">h đến cuối năm 2016, lượng dự trữ ngoại hối dưới dạng CNY đạt 84,51 tỷ USD, chiếm khoảng 1,07% tổng dự trữ ngoại hối trên thế giới. Đây là động thái tiếp </w:t>
      </w:r>
      <w:proofErr w:type="gramStart"/>
      <w:r w:rsidRPr="00811852">
        <w:rPr>
          <w:rFonts w:ascii="Arial" w:eastAsia="Times New Roman" w:hAnsi="Arial" w:cs="Arial"/>
          <w:sz w:val="20"/>
          <w:szCs w:val="20"/>
        </w:rPr>
        <w:t>theo</w:t>
      </w:r>
      <w:proofErr w:type="gramEnd"/>
      <w:r w:rsidRPr="00811852">
        <w:rPr>
          <w:rFonts w:ascii="Arial" w:eastAsia="Times New Roman" w:hAnsi="Arial" w:cs="Arial"/>
          <w:sz w:val="20"/>
          <w:szCs w:val="20"/>
        </w:rPr>
        <w:t xml:space="preserve">, đánh dấu các nỗ lực </w:t>
      </w:r>
      <w:r w:rsidR="009A7214" w:rsidRPr="00811852">
        <w:rPr>
          <w:rFonts w:ascii="Arial" w:eastAsia="Times New Roman" w:hAnsi="Arial" w:cs="Arial"/>
          <w:sz w:val="20"/>
          <w:szCs w:val="20"/>
        </w:rPr>
        <w:t xml:space="preserve">liên tiếp </w:t>
      </w:r>
      <w:r w:rsidRPr="00811852">
        <w:rPr>
          <w:rFonts w:ascii="Arial" w:eastAsia="Times New Roman" w:hAnsi="Arial" w:cs="Arial"/>
          <w:sz w:val="20"/>
          <w:szCs w:val="20"/>
        </w:rPr>
        <w:t>của Trung Quốc trong việc</w:t>
      </w:r>
      <w:r w:rsidR="000F15E6" w:rsidRPr="00811852">
        <w:rPr>
          <w:rFonts w:ascii="Arial" w:eastAsia="Times New Roman" w:hAnsi="Arial" w:cs="Arial"/>
          <w:sz w:val="20"/>
          <w:szCs w:val="20"/>
        </w:rPr>
        <w:t xml:space="preserve"> quốc tế hóa CNY và cải cách theo hướng đưa kinh tế Trung Quốc </w:t>
      </w:r>
      <w:r w:rsidR="009A7214" w:rsidRPr="00811852">
        <w:rPr>
          <w:rFonts w:ascii="Arial" w:eastAsia="Times New Roman" w:hAnsi="Arial" w:cs="Arial"/>
          <w:sz w:val="20"/>
          <w:szCs w:val="20"/>
        </w:rPr>
        <w:t>vận hành</w:t>
      </w:r>
      <w:r w:rsidR="000F15E6" w:rsidRPr="00811852">
        <w:rPr>
          <w:rFonts w:ascii="Arial" w:eastAsia="Times New Roman" w:hAnsi="Arial" w:cs="Arial"/>
          <w:sz w:val="20"/>
          <w:szCs w:val="20"/>
        </w:rPr>
        <w:t xml:space="preserve"> theo cơ chế thị trường.</w:t>
      </w:r>
      <w:r w:rsidRPr="00811852">
        <w:rPr>
          <w:rFonts w:ascii="Arial" w:eastAsia="Times New Roman" w:hAnsi="Arial" w:cs="Arial"/>
          <w:sz w:val="20"/>
          <w:szCs w:val="20"/>
        </w:rPr>
        <w:t xml:space="preserve"> </w:t>
      </w:r>
      <w:r w:rsidR="000F15E6" w:rsidRPr="00811852">
        <w:rPr>
          <w:rFonts w:ascii="Arial" w:eastAsia="Times New Roman" w:hAnsi="Arial" w:cs="Arial"/>
          <w:sz w:val="20"/>
          <w:szCs w:val="20"/>
        </w:rPr>
        <w:t xml:space="preserve">Tuy mới được đưa vào giỏ tiền </w:t>
      </w:r>
      <w:r w:rsidR="009A7214" w:rsidRPr="00811852">
        <w:rPr>
          <w:rFonts w:ascii="Arial" w:eastAsia="Times New Roman" w:hAnsi="Arial" w:cs="Arial"/>
          <w:sz w:val="20"/>
          <w:szCs w:val="20"/>
        </w:rPr>
        <w:t xml:space="preserve">SDR </w:t>
      </w:r>
      <w:r w:rsidR="000F15E6" w:rsidRPr="00811852">
        <w:rPr>
          <w:rFonts w:ascii="Arial" w:eastAsia="Times New Roman" w:hAnsi="Arial" w:cs="Arial"/>
          <w:sz w:val="20"/>
          <w:szCs w:val="20"/>
        </w:rPr>
        <w:t>của IMF, nhưng CNY đã đứng</w:t>
      </w:r>
      <w:r w:rsidR="009A7214" w:rsidRPr="00811852">
        <w:rPr>
          <w:rFonts w:ascii="Arial" w:eastAsia="Times New Roman" w:hAnsi="Arial" w:cs="Arial"/>
          <w:sz w:val="20"/>
          <w:szCs w:val="20"/>
        </w:rPr>
        <w:t xml:space="preserve"> thứ 7 trong giỏ tiền </w:t>
      </w:r>
      <w:r w:rsidR="000F15E6" w:rsidRPr="00811852">
        <w:rPr>
          <w:rFonts w:ascii="Arial" w:eastAsia="Times New Roman" w:hAnsi="Arial" w:cs="Arial"/>
          <w:sz w:val="20"/>
          <w:szCs w:val="20"/>
        </w:rPr>
        <w:t xml:space="preserve">với 8 đồng tiền mạnh nhất trên thế giới, vượt xa Thụy Sỹ và một số đồng tiền được nhắc tới như dollar New Zealand, peso Mêhicô. </w:t>
      </w:r>
      <w:proofErr w:type="gramStart"/>
      <w:r w:rsidR="00D91196" w:rsidRPr="00811852">
        <w:rPr>
          <w:rFonts w:ascii="Arial" w:eastAsia="Times New Roman" w:hAnsi="Arial" w:cs="Arial"/>
          <w:sz w:val="20"/>
          <w:szCs w:val="20"/>
        </w:rPr>
        <w:t xml:space="preserve">Với sự hiện diện của CNY trong giỏ tiền </w:t>
      </w:r>
      <w:r w:rsidR="009A7214" w:rsidRPr="00811852">
        <w:rPr>
          <w:rFonts w:ascii="Arial" w:eastAsia="Times New Roman" w:hAnsi="Arial" w:cs="Arial"/>
          <w:sz w:val="20"/>
          <w:szCs w:val="20"/>
        </w:rPr>
        <w:t xml:space="preserve">SDR </w:t>
      </w:r>
      <w:r w:rsidR="00811852">
        <w:rPr>
          <w:rFonts w:ascii="Arial" w:eastAsia="Times New Roman" w:hAnsi="Arial" w:cs="Arial"/>
          <w:sz w:val="20"/>
          <w:szCs w:val="20"/>
        </w:rPr>
        <w:t xml:space="preserve">của </w:t>
      </w:r>
      <w:r w:rsidR="00D91196" w:rsidRPr="00811852">
        <w:rPr>
          <w:rFonts w:ascii="Arial" w:eastAsia="Times New Roman" w:hAnsi="Arial" w:cs="Arial"/>
          <w:sz w:val="20"/>
          <w:szCs w:val="20"/>
        </w:rPr>
        <w:t>IMF, tỷ</w:t>
      </w:r>
      <w:r w:rsidR="009A7214" w:rsidRPr="00811852">
        <w:rPr>
          <w:rFonts w:ascii="Arial" w:eastAsia="Times New Roman" w:hAnsi="Arial" w:cs="Arial"/>
          <w:sz w:val="20"/>
          <w:szCs w:val="20"/>
        </w:rPr>
        <w:t xml:space="preserve"> trọng của nhiều đồng tiền chủ chốt có</w:t>
      </w:r>
      <w:r w:rsidR="00D91196" w:rsidRPr="00811852">
        <w:rPr>
          <w:rFonts w:ascii="Arial" w:eastAsia="Times New Roman" w:hAnsi="Arial" w:cs="Arial"/>
          <w:sz w:val="20"/>
          <w:szCs w:val="20"/>
        </w:rPr>
        <w:t xml:space="preserve"> giảm đôi chút</w:t>
      </w:r>
      <w:r w:rsidR="00C55BB5" w:rsidRPr="00811852">
        <w:rPr>
          <w:rFonts w:ascii="Arial" w:eastAsia="Times New Roman" w:hAnsi="Arial" w:cs="Arial"/>
          <w:sz w:val="20"/>
          <w:szCs w:val="20"/>
        </w:rPr>
        <w:t>.</w:t>
      </w:r>
      <w:proofErr w:type="gramEnd"/>
      <w:r w:rsidR="00C55BB5" w:rsidRPr="00811852">
        <w:rPr>
          <w:rFonts w:ascii="Arial" w:eastAsia="Times New Roman" w:hAnsi="Arial" w:cs="Arial"/>
          <w:sz w:val="20"/>
          <w:szCs w:val="20"/>
        </w:rPr>
        <w:t xml:space="preserve"> Riêng nhóm “</w:t>
      </w:r>
      <w:r w:rsidR="009A7214" w:rsidRPr="00811852">
        <w:rPr>
          <w:rFonts w:ascii="Arial" w:eastAsia="Times New Roman" w:hAnsi="Arial" w:cs="Arial"/>
          <w:sz w:val="20"/>
          <w:szCs w:val="20"/>
        </w:rPr>
        <w:t xml:space="preserve">những </w:t>
      </w:r>
      <w:r w:rsidR="00C55BB5" w:rsidRPr="00811852">
        <w:rPr>
          <w:rFonts w:ascii="Arial" w:eastAsia="Times New Roman" w:hAnsi="Arial" w:cs="Arial"/>
          <w:sz w:val="20"/>
          <w:szCs w:val="20"/>
        </w:rPr>
        <w:t>đồng tiền khác” chỉ còn 201</w:t>
      </w:r>
      <w:proofErr w:type="gramStart"/>
      <w:r w:rsidR="00C55BB5" w:rsidRPr="00811852">
        <w:rPr>
          <w:rFonts w:ascii="Arial" w:eastAsia="Times New Roman" w:hAnsi="Arial" w:cs="Arial"/>
          <w:sz w:val="20"/>
          <w:szCs w:val="20"/>
        </w:rPr>
        <w:t>,15</w:t>
      </w:r>
      <w:proofErr w:type="gramEnd"/>
      <w:r w:rsidR="00C55BB5" w:rsidRPr="00811852">
        <w:rPr>
          <w:rFonts w:ascii="Arial" w:eastAsia="Times New Roman" w:hAnsi="Arial" w:cs="Arial"/>
          <w:sz w:val="20"/>
          <w:szCs w:val="20"/>
        </w:rPr>
        <w:t xml:space="preserve"> tỷ USD, giảm mạnh từ 265,15 tỷ USD vào cuối quý III/2016.</w:t>
      </w:r>
      <w:r w:rsidR="007C39B9" w:rsidRPr="00811852">
        <w:rPr>
          <w:rFonts w:ascii="Arial" w:eastAsia="Times New Roman" w:hAnsi="Arial" w:cs="Arial"/>
          <w:sz w:val="20"/>
          <w:szCs w:val="20"/>
        </w:rPr>
        <w:t xml:space="preserve"> </w:t>
      </w:r>
    </w:p>
    <w:p w:rsidR="007C39B9" w:rsidRPr="00811852" w:rsidRDefault="007C39B9" w:rsidP="00811852">
      <w:pPr>
        <w:pStyle w:val="Heading2"/>
        <w:shd w:val="clear" w:color="auto" w:fill="FFFFFF"/>
        <w:spacing w:before="0" w:beforeAutospacing="0" w:after="0" w:afterAutospacing="0"/>
        <w:jc w:val="both"/>
        <w:rPr>
          <w:rFonts w:ascii="Arial" w:hAnsi="Arial" w:cs="Arial"/>
          <w:b w:val="0"/>
          <w:bCs w:val="0"/>
          <w:sz w:val="20"/>
          <w:szCs w:val="20"/>
        </w:rPr>
      </w:pPr>
      <w:r w:rsidRPr="00811852">
        <w:rPr>
          <w:rFonts w:ascii="Arial" w:hAnsi="Arial" w:cs="Arial"/>
          <w:b w:val="0"/>
          <w:bCs w:val="0"/>
          <w:sz w:val="20"/>
          <w:szCs w:val="20"/>
        </w:rPr>
        <w:t xml:space="preserve">Dự trữ ngoại hối hàng năm của Trung Quốc đạt mức trung bình 905.123,9 tỷ USD trong thời kỳ 1980-2017, đạt mức kỷ lục gần 3.9932,213 tỷ USD vào tháng 6/2014, tăng rất nhanh từ con số vỏn vẹn 2,262 tỷ USD vào cuối năm 1980. </w:t>
      </w:r>
      <w:proofErr w:type="gramStart"/>
      <w:r w:rsidRPr="00811852">
        <w:rPr>
          <w:rFonts w:ascii="Arial" w:hAnsi="Arial" w:cs="Arial"/>
          <w:b w:val="0"/>
          <w:bCs w:val="0"/>
          <w:sz w:val="20"/>
          <w:szCs w:val="20"/>
        </w:rPr>
        <w:t>Tuy nhiên, dự trữ vàng của Trung Quốc v</w:t>
      </w:r>
      <w:r w:rsidR="00811852">
        <w:rPr>
          <w:rFonts w:ascii="Arial" w:hAnsi="Arial" w:cs="Arial"/>
          <w:b w:val="0"/>
          <w:bCs w:val="0"/>
          <w:sz w:val="20"/>
          <w:szCs w:val="20"/>
        </w:rPr>
        <w:t xml:space="preserve">ào cuối tháng 3/2017 giảm xuống </w:t>
      </w:r>
      <w:r w:rsidRPr="00811852">
        <w:rPr>
          <w:rFonts w:ascii="Arial" w:hAnsi="Arial" w:cs="Arial"/>
          <w:b w:val="0"/>
          <w:bCs w:val="0"/>
          <w:sz w:val="20"/>
          <w:szCs w:val="20"/>
        </w:rPr>
        <w:t>73.739 tỷ USD, giảm nhẹ so với mức dự trữ 74,376 USD vào cuối tháng trước đó.</w:t>
      </w:r>
      <w:proofErr w:type="gramEnd"/>
      <w:r w:rsidRPr="00811852">
        <w:rPr>
          <w:rFonts w:ascii="Arial" w:hAnsi="Arial" w:cs="Arial"/>
          <w:b w:val="0"/>
          <w:bCs w:val="0"/>
          <w:sz w:val="20"/>
          <w:szCs w:val="20"/>
        </w:rPr>
        <w:t xml:space="preserve"> </w:t>
      </w:r>
    </w:p>
    <w:p w:rsidR="000F15E6" w:rsidRPr="00811852" w:rsidRDefault="000F15E6" w:rsidP="00811852">
      <w:pPr>
        <w:spacing w:after="0" w:line="240" w:lineRule="auto"/>
        <w:jc w:val="both"/>
        <w:rPr>
          <w:rFonts w:ascii="Arial" w:eastAsia="Times New Roman" w:hAnsi="Arial" w:cs="Arial"/>
          <w:sz w:val="20"/>
          <w:szCs w:val="20"/>
        </w:rPr>
      </w:pPr>
      <w:r w:rsidRPr="00811852">
        <w:rPr>
          <w:rFonts w:ascii="Arial" w:eastAsia="Times New Roman" w:hAnsi="Arial" w:cs="Arial"/>
          <w:sz w:val="20"/>
          <w:szCs w:val="20"/>
        </w:rPr>
        <w:t>Cho đến nay, USD vẫn chiếm vị thế áp đảo trong cơ cấu dự trữ ngoại hối quốc tế, đạt 5.052,94 tỷ USD vào cuối năm 2016, chiếm khoảng 63,96% tổng dự trữ ngoại hối trên thế giới, tỷ lệ này hầu như thay đổi rất ít kể t</w:t>
      </w:r>
      <w:r w:rsidR="00C02BD5" w:rsidRPr="00811852">
        <w:rPr>
          <w:rFonts w:ascii="Arial" w:eastAsia="Times New Roman" w:hAnsi="Arial" w:cs="Arial"/>
          <w:sz w:val="20"/>
          <w:szCs w:val="20"/>
        </w:rPr>
        <w:t xml:space="preserve">ừ khi chế độ bản vị vàng sụp đổ vào năm 1973. Đứng thứ hai là euro, đạt </w:t>
      </w:r>
      <w:r w:rsidR="00D91196" w:rsidRPr="00811852">
        <w:rPr>
          <w:rFonts w:ascii="Arial" w:hAnsi="Arial" w:cs="Arial"/>
          <w:sz w:val="20"/>
          <w:szCs w:val="20"/>
          <w:shd w:val="clear" w:color="auto" w:fill="FFFFFF"/>
        </w:rPr>
        <w:t xml:space="preserve">1.559,26 </w:t>
      </w:r>
      <w:r w:rsidR="00C02BD5" w:rsidRPr="00811852">
        <w:rPr>
          <w:rFonts w:ascii="Arial" w:eastAsia="Times New Roman" w:hAnsi="Arial" w:cs="Arial"/>
          <w:sz w:val="20"/>
          <w:szCs w:val="20"/>
        </w:rPr>
        <w:t xml:space="preserve">tỷ USD vào cuối năm 2016, chiếm 19,74% tổng dự trữ ngoại hối trên thế giới. </w:t>
      </w:r>
    </w:p>
    <w:p w:rsidR="00BC6141" w:rsidRPr="00811852" w:rsidRDefault="00BC6141" w:rsidP="00811852">
      <w:pPr>
        <w:spacing w:after="0" w:line="240" w:lineRule="auto"/>
        <w:jc w:val="both"/>
        <w:rPr>
          <w:rFonts w:ascii="Arial" w:hAnsi="Arial" w:cs="Arial"/>
          <w:sz w:val="20"/>
          <w:szCs w:val="20"/>
        </w:rPr>
      </w:pPr>
      <w:r w:rsidRPr="00811852">
        <w:rPr>
          <w:rFonts w:ascii="Arial" w:hAnsi="Arial" w:cs="Arial"/>
          <w:sz w:val="20"/>
          <w:szCs w:val="20"/>
          <w:shd w:val="clear" w:color="auto" w:fill="FFFFFF"/>
        </w:rPr>
        <w:t xml:space="preserve">Theo thống kê do Wikipedia cập nhật, </w:t>
      </w:r>
      <w:r w:rsidR="00C336DA" w:rsidRPr="00811852">
        <w:rPr>
          <w:rFonts w:ascii="Arial" w:hAnsi="Arial" w:cs="Arial"/>
          <w:sz w:val="20"/>
          <w:szCs w:val="20"/>
          <w:shd w:val="clear" w:color="auto" w:fill="FFFFFF"/>
        </w:rPr>
        <w:t xml:space="preserve">hiện có </w:t>
      </w:r>
      <w:r w:rsidRPr="00811852">
        <w:rPr>
          <w:rFonts w:ascii="Arial" w:hAnsi="Arial" w:cs="Arial"/>
          <w:sz w:val="20"/>
          <w:szCs w:val="20"/>
          <w:shd w:val="clear" w:color="auto" w:fill="FFFFFF"/>
        </w:rPr>
        <w:t>10 quốc gia và vùng lãnh thổ đứng đầu thế giới về dự trữ ngoại hối. Bao gồm: Trung Quố</w:t>
      </w:r>
      <w:r w:rsidR="00C336DA" w:rsidRPr="00811852">
        <w:rPr>
          <w:rFonts w:ascii="Arial" w:hAnsi="Arial" w:cs="Arial"/>
          <w:sz w:val="20"/>
          <w:szCs w:val="20"/>
          <w:shd w:val="clear" w:color="auto" w:fill="FFFFFF"/>
        </w:rPr>
        <w:t xml:space="preserve">c </w:t>
      </w:r>
      <w:r w:rsidR="000655AE" w:rsidRPr="00811852">
        <w:rPr>
          <w:rFonts w:ascii="Arial" w:hAnsi="Arial" w:cs="Arial"/>
          <w:sz w:val="20"/>
          <w:szCs w:val="20"/>
          <w:shd w:val="clear" w:color="auto" w:fill="FFFFFF"/>
        </w:rPr>
        <w:t>có 3.009</w:t>
      </w:r>
      <w:r w:rsidRPr="00811852">
        <w:rPr>
          <w:rFonts w:ascii="Arial" w:hAnsi="Arial" w:cs="Arial"/>
          <w:sz w:val="20"/>
          <w:szCs w:val="20"/>
          <w:shd w:val="clear" w:color="auto" w:fill="FFFFFF"/>
        </w:rPr>
        <w:t xml:space="preserve"> tỷ USD (dữ liệ</w:t>
      </w:r>
      <w:r w:rsidR="000655AE" w:rsidRPr="00811852">
        <w:rPr>
          <w:rFonts w:ascii="Arial" w:hAnsi="Arial" w:cs="Arial"/>
          <w:sz w:val="20"/>
          <w:szCs w:val="20"/>
          <w:shd w:val="clear" w:color="auto" w:fill="FFFFFF"/>
        </w:rPr>
        <w:t>u tháng 03</w:t>
      </w:r>
      <w:r w:rsidRPr="00811852">
        <w:rPr>
          <w:rFonts w:ascii="Arial" w:hAnsi="Arial" w:cs="Arial"/>
          <w:sz w:val="20"/>
          <w:szCs w:val="20"/>
          <w:shd w:val="clear" w:color="auto" w:fill="FFFFFF"/>
        </w:rPr>
        <w:t xml:space="preserve">/2017), Nhật Bản có 1.242,792 tỷ USD (dữ liệu tháng 10/2016), Thụy Sỹ có 685,559 tỷ USD (dữ liệu tháng 10/2016), Arập Xê út có 514,076 tỷ USD (dữ liệu tháng 02/2017), Đài Loan có 435,263 tỷ USD (dữ liệu tháng 10/2016), Hồng Kông có 391,5 tỷ USD (dữ liệu tháng 01/2017), CHLB Nga có </w:t>
      </w:r>
      <w:r w:rsidR="009A7214" w:rsidRPr="00811852">
        <w:rPr>
          <w:rFonts w:ascii="Arial" w:hAnsi="Arial" w:cs="Arial"/>
          <w:sz w:val="20"/>
          <w:szCs w:val="20"/>
          <w:shd w:val="clear" w:color="auto" w:fill="FFFFFF"/>
        </w:rPr>
        <w:t xml:space="preserve">385,3 tỷ USD (dữ liệu tháng 12/2016), Hàn Quốc có </w:t>
      </w:r>
      <w:r w:rsidR="009A7214" w:rsidRPr="00811852">
        <w:rPr>
          <w:rFonts w:ascii="Arial" w:hAnsi="Arial" w:cs="Arial"/>
          <w:sz w:val="20"/>
          <w:szCs w:val="20"/>
        </w:rPr>
        <w:t xml:space="preserve">375,17 tỷ USD (dữ liệu tháng 10/2016), Ấn Độ có 369,954 (dữ liệu tháng 3/2017), Brazil có 365,295 tỷ USD (dữ liệu tháng 12/2016).  </w:t>
      </w:r>
    </w:p>
    <w:p w:rsidR="00914E7C" w:rsidRPr="00811852" w:rsidRDefault="00914E7C" w:rsidP="00811852">
      <w:pPr>
        <w:spacing w:after="0" w:line="240" w:lineRule="auto"/>
        <w:jc w:val="both"/>
        <w:rPr>
          <w:rFonts w:ascii="Arial" w:hAnsi="Arial" w:cs="Arial"/>
          <w:b/>
          <w:i/>
          <w:sz w:val="20"/>
          <w:szCs w:val="20"/>
        </w:rPr>
      </w:pPr>
      <w:r w:rsidRPr="00811852">
        <w:rPr>
          <w:rFonts w:ascii="Arial" w:hAnsi="Arial" w:cs="Arial"/>
          <w:b/>
          <w:i/>
          <w:sz w:val="20"/>
          <w:szCs w:val="20"/>
        </w:rPr>
        <w:t>Hoàng Thế Thỏa</w:t>
      </w:r>
    </w:p>
    <w:p w:rsidR="000655AE" w:rsidRPr="00811852" w:rsidRDefault="009A7214" w:rsidP="00811852">
      <w:pPr>
        <w:spacing w:after="0" w:line="240" w:lineRule="auto"/>
        <w:jc w:val="both"/>
        <w:rPr>
          <w:rFonts w:ascii="Arial" w:eastAsia="Times New Roman" w:hAnsi="Arial" w:cs="Arial"/>
          <w:i/>
          <w:sz w:val="20"/>
          <w:szCs w:val="20"/>
        </w:rPr>
      </w:pPr>
      <w:r w:rsidRPr="00811852">
        <w:rPr>
          <w:rFonts w:ascii="Arial" w:eastAsia="Times New Roman" w:hAnsi="Arial" w:cs="Arial"/>
          <w:i/>
          <w:sz w:val="20"/>
          <w:szCs w:val="20"/>
        </w:rPr>
        <w:t>Nguồn: IMF, Wikipedia</w:t>
      </w:r>
    </w:p>
    <w:sectPr w:rsidR="000655AE" w:rsidRPr="00811852" w:rsidSect="000A5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1704D"/>
    <w:multiLevelType w:val="multilevel"/>
    <w:tmpl w:val="EF20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F65836"/>
    <w:multiLevelType w:val="hybridMultilevel"/>
    <w:tmpl w:val="A46A2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A47FD4"/>
    <w:multiLevelType w:val="hybridMultilevel"/>
    <w:tmpl w:val="64B04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FA4"/>
    <w:rsid w:val="000655AE"/>
    <w:rsid w:val="000A5840"/>
    <w:rsid w:val="000F15E6"/>
    <w:rsid w:val="001D4ADD"/>
    <w:rsid w:val="002525A2"/>
    <w:rsid w:val="002A5273"/>
    <w:rsid w:val="00312FA4"/>
    <w:rsid w:val="004C15E1"/>
    <w:rsid w:val="005C4DE3"/>
    <w:rsid w:val="00772E00"/>
    <w:rsid w:val="007C1A47"/>
    <w:rsid w:val="007C39B9"/>
    <w:rsid w:val="007C4DFB"/>
    <w:rsid w:val="00811852"/>
    <w:rsid w:val="00914E7C"/>
    <w:rsid w:val="009A7214"/>
    <w:rsid w:val="00A42A90"/>
    <w:rsid w:val="00AA77BA"/>
    <w:rsid w:val="00B15605"/>
    <w:rsid w:val="00B701C0"/>
    <w:rsid w:val="00BC6141"/>
    <w:rsid w:val="00C00C4C"/>
    <w:rsid w:val="00C02BD5"/>
    <w:rsid w:val="00C26B37"/>
    <w:rsid w:val="00C336DA"/>
    <w:rsid w:val="00C55BB5"/>
    <w:rsid w:val="00C91120"/>
    <w:rsid w:val="00D91196"/>
    <w:rsid w:val="00DC30F1"/>
    <w:rsid w:val="00FC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2F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2FA4"/>
    <w:rPr>
      <w:rFonts w:ascii="Times New Roman" w:eastAsia="Times New Roman" w:hAnsi="Times New Roman" w:cs="Times New Roman"/>
      <w:b/>
      <w:bCs/>
      <w:sz w:val="36"/>
      <w:szCs w:val="36"/>
    </w:rPr>
  </w:style>
  <w:style w:type="paragraph" w:customStyle="1" w:styleId="Date1">
    <w:name w:val="Date1"/>
    <w:basedOn w:val="Normal"/>
    <w:rsid w:val="00312F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12F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2FA4"/>
  </w:style>
  <w:style w:type="character" w:styleId="Hyperlink">
    <w:name w:val="Hyperlink"/>
    <w:basedOn w:val="DefaultParagraphFont"/>
    <w:uiPriority w:val="99"/>
    <w:semiHidden/>
    <w:unhideWhenUsed/>
    <w:rsid w:val="00312FA4"/>
    <w:rPr>
      <w:color w:val="0000FF"/>
      <w:u w:val="single"/>
    </w:rPr>
  </w:style>
  <w:style w:type="character" w:styleId="Emphasis">
    <w:name w:val="Emphasis"/>
    <w:basedOn w:val="DefaultParagraphFont"/>
    <w:uiPriority w:val="20"/>
    <w:qFormat/>
    <w:rsid w:val="00312FA4"/>
    <w:rPr>
      <w:i/>
      <w:iCs/>
    </w:rPr>
  </w:style>
  <w:style w:type="table" w:styleId="TableGrid">
    <w:name w:val="Table Grid"/>
    <w:basedOn w:val="TableNormal"/>
    <w:uiPriority w:val="59"/>
    <w:rsid w:val="007C4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lagicon">
    <w:name w:val="flagicon"/>
    <w:basedOn w:val="DefaultParagraphFont"/>
    <w:rsid w:val="00C55BB5"/>
  </w:style>
  <w:style w:type="paragraph" w:styleId="BalloonText">
    <w:name w:val="Balloon Text"/>
    <w:basedOn w:val="Normal"/>
    <w:link w:val="BalloonTextChar"/>
    <w:uiPriority w:val="99"/>
    <w:semiHidden/>
    <w:unhideWhenUsed/>
    <w:rsid w:val="00C55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BB5"/>
    <w:rPr>
      <w:rFonts w:ascii="Tahoma" w:hAnsi="Tahoma" w:cs="Tahoma"/>
      <w:sz w:val="16"/>
      <w:szCs w:val="16"/>
    </w:rPr>
  </w:style>
  <w:style w:type="character" w:styleId="FollowedHyperlink">
    <w:name w:val="FollowedHyperlink"/>
    <w:basedOn w:val="DefaultParagraphFont"/>
    <w:uiPriority w:val="99"/>
    <w:semiHidden/>
    <w:unhideWhenUsed/>
    <w:rsid w:val="00BC6141"/>
    <w:rPr>
      <w:color w:val="800080" w:themeColor="followedHyperlink"/>
      <w:u w:val="single"/>
    </w:rPr>
  </w:style>
  <w:style w:type="paragraph" w:styleId="ListParagraph">
    <w:name w:val="List Paragraph"/>
    <w:basedOn w:val="Normal"/>
    <w:uiPriority w:val="34"/>
    <w:qFormat/>
    <w:rsid w:val="009A72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2F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2FA4"/>
    <w:rPr>
      <w:rFonts w:ascii="Times New Roman" w:eastAsia="Times New Roman" w:hAnsi="Times New Roman" w:cs="Times New Roman"/>
      <w:b/>
      <w:bCs/>
      <w:sz w:val="36"/>
      <w:szCs w:val="36"/>
    </w:rPr>
  </w:style>
  <w:style w:type="paragraph" w:customStyle="1" w:styleId="Date1">
    <w:name w:val="Date1"/>
    <w:basedOn w:val="Normal"/>
    <w:rsid w:val="00312FA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12F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2FA4"/>
  </w:style>
  <w:style w:type="character" w:styleId="Hyperlink">
    <w:name w:val="Hyperlink"/>
    <w:basedOn w:val="DefaultParagraphFont"/>
    <w:uiPriority w:val="99"/>
    <w:semiHidden/>
    <w:unhideWhenUsed/>
    <w:rsid w:val="00312FA4"/>
    <w:rPr>
      <w:color w:val="0000FF"/>
      <w:u w:val="single"/>
    </w:rPr>
  </w:style>
  <w:style w:type="character" w:styleId="Emphasis">
    <w:name w:val="Emphasis"/>
    <w:basedOn w:val="DefaultParagraphFont"/>
    <w:uiPriority w:val="20"/>
    <w:qFormat/>
    <w:rsid w:val="00312FA4"/>
    <w:rPr>
      <w:i/>
      <w:iCs/>
    </w:rPr>
  </w:style>
  <w:style w:type="table" w:styleId="TableGrid">
    <w:name w:val="Table Grid"/>
    <w:basedOn w:val="TableNormal"/>
    <w:uiPriority w:val="59"/>
    <w:rsid w:val="007C4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lagicon">
    <w:name w:val="flagicon"/>
    <w:basedOn w:val="DefaultParagraphFont"/>
    <w:rsid w:val="00C55BB5"/>
  </w:style>
  <w:style w:type="paragraph" w:styleId="BalloonText">
    <w:name w:val="Balloon Text"/>
    <w:basedOn w:val="Normal"/>
    <w:link w:val="BalloonTextChar"/>
    <w:uiPriority w:val="99"/>
    <w:semiHidden/>
    <w:unhideWhenUsed/>
    <w:rsid w:val="00C55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BB5"/>
    <w:rPr>
      <w:rFonts w:ascii="Tahoma" w:hAnsi="Tahoma" w:cs="Tahoma"/>
      <w:sz w:val="16"/>
      <w:szCs w:val="16"/>
    </w:rPr>
  </w:style>
  <w:style w:type="character" w:styleId="FollowedHyperlink">
    <w:name w:val="FollowedHyperlink"/>
    <w:basedOn w:val="DefaultParagraphFont"/>
    <w:uiPriority w:val="99"/>
    <w:semiHidden/>
    <w:unhideWhenUsed/>
    <w:rsid w:val="00BC6141"/>
    <w:rPr>
      <w:color w:val="800080" w:themeColor="followedHyperlink"/>
      <w:u w:val="single"/>
    </w:rPr>
  </w:style>
  <w:style w:type="paragraph" w:styleId="ListParagraph">
    <w:name w:val="List Paragraph"/>
    <w:basedOn w:val="Normal"/>
    <w:uiPriority w:val="34"/>
    <w:qFormat/>
    <w:rsid w:val="009A7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86059">
      <w:bodyDiv w:val="1"/>
      <w:marLeft w:val="0"/>
      <w:marRight w:val="0"/>
      <w:marTop w:val="0"/>
      <w:marBottom w:val="0"/>
      <w:divBdr>
        <w:top w:val="none" w:sz="0" w:space="0" w:color="auto"/>
        <w:left w:val="none" w:sz="0" w:space="0" w:color="auto"/>
        <w:bottom w:val="none" w:sz="0" w:space="0" w:color="auto"/>
        <w:right w:val="none" w:sz="0" w:space="0" w:color="auto"/>
      </w:divBdr>
    </w:div>
    <w:div w:id="662851382">
      <w:bodyDiv w:val="1"/>
      <w:marLeft w:val="0"/>
      <w:marRight w:val="0"/>
      <w:marTop w:val="0"/>
      <w:marBottom w:val="0"/>
      <w:divBdr>
        <w:top w:val="none" w:sz="0" w:space="0" w:color="auto"/>
        <w:left w:val="none" w:sz="0" w:space="0" w:color="auto"/>
        <w:bottom w:val="none" w:sz="0" w:space="0" w:color="auto"/>
        <w:right w:val="none" w:sz="0" w:space="0" w:color="auto"/>
      </w:divBdr>
    </w:div>
    <w:div w:id="878936023">
      <w:bodyDiv w:val="1"/>
      <w:marLeft w:val="0"/>
      <w:marRight w:val="0"/>
      <w:marTop w:val="0"/>
      <w:marBottom w:val="0"/>
      <w:divBdr>
        <w:top w:val="none" w:sz="0" w:space="0" w:color="auto"/>
        <w:left w:val="none" w:sz="0" w:space="0" w:color="auto"/>
        <w:bottom w:val="none" w:sz="0" w:space="0" w:color="auto"/>
        <w:right w:val="none" w:sz="0" w:space="0" w:color="auto"/>
      </w:divBdr>
    </w:div>
    <w:div w:id="1218513232">
      <w:bodyDiv w:val="1"/>
      <w:marLeft w:val="0"/>
      <w:marRight w:val="0"/>
      <w:marTop w:val="0"/>
      <w:marBottom w:val="0"/>
      <w:divBdr>
        <w:top w:val="none" w:sz="0" w:space="0" w:color="auto"/>
        <w:left w:val="none" w:sz="0" w:space="0" w:color="auto"/>
        <w:bottom w:val="none" w:sz="0" w:space="0" w:color="auto"/>
        <w:right w:val="none" w:sz="0" w:space="0" w:color="auto"/>
      </w:divBdr>
    </w:div>
    <w:div w:id="1222793360">
      <w:bodyDiv w:val="1"/>
      <w:marLeft w:val="0"/>
      <w:marRight w:val="0"/>
      <w:marTop w:val="0"/>
      <w:marBottom w:val="0"/>
      <w:divBdr>
        <w:top w:val="none" w:sz="0" w:space="0" w:color="auto"/>
        <w:left w:val="none" w:sz="0" w:space="0" w:color="auto"/>
        <w:bottom w:val="none" w:sz="0" w:space="0" w:color="auto"/>
        <w:right w:val="none" w:sz="0" w:space="0" w:color="auto"/>
      </w:divBdr>
    </w:div>
    <w:div w:id="16239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5</cp:revision>
  <cp:lastPrinted>2017-04-10T03:01:00Z</cp:lastPrinted>
  <dcterms:created xsi:type="dcterms:W3CDTF">2017-04-10T06:48:00Z</dcterms:created>
  <dcterms:modified xsi:type="dcterms:W3CDTF">2017-04-10T07:27:00Z</dcterms:modified>
</cp:coreProperties>
</file>