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B5" w:rsidRPr="00764367" w:rsidRDefault="00296EB5" w:rsidP="00764367">
      <w:pPr>
        <w:spacing w:after="60" w:line="240" w:lineRule="auto"/>
        <w:ind w:firstLine="360"/>
        <w:jc w:val="both"/>
        <w:rPr>
          <w:rFonts w:ascii="Arial" w:hAnsi="Arial" w:cs="Arial"/>
          <w:sz w:val="20"/>
          <w:szCs w:val="20"/>
        </w:rPr>
      </w:pPr>
      <w:proofErr w:type="gramStart"/>
      <w:r w:rsidRPr="00764367">
        <w:rPr>
          <w:rFonts w:ascii="Arial" w:hAnsi="Arial" w:cs="Arial"/>
          <w:sz w:val="20"/>
          <w:szCs w:val="20"/>
        </w:rPr>
        <w:t>B</w:t>
      </w:r>
      <w:bookmarkStart w:id="0" w:name="_GoBack"/>
      <w:bookmarkEnd w:id="0"/>
      <w:r w:rsidRPr="00764367">
        <w:rPr>
          <w:rFonts w:ascii="Arial" w:hAnsi="Arial" w:cs="Arial"/>
          <w:sz w:val="20"/>
          <w:szCs w:val="20"/>
        </w:rPr>
        <w:t>áo cáo nhận định, một số hoạt động kinh tế bắt đầu lấy lại động lượng từ giữa năm 2016, nhất là tại các nước phát triển.</w:t>
      </w:r>
      <w:proofErr w:type="gramEnd"/>
      <w:r w:rsidRPr="00764367">
        <w:rPr>
          <w:rFonts w:ascii="Arial" w:hAnsi="Arial" w:cs="Arial"/>
          <w:sz w:val="20"/>
          <w:szCs w:val="20"/>
        </w:rPr>
        <w:t xml:space="preserve"> Tại Mỹ, GDP tăng nhanh do niềm tin của các doanh nghiệp về nhu cầu gia tăng trong tương lai, và lượng hàng lưu kho bắt đầu đóng góp tích cực cho tăng trưởng kinh tế. Tại VQ Anh, GDP cũng tiếp tục tăng vững, phản ánh đà tăng nhu cầu trong thời kỳ hậu Brexit. Tại Nhật Bản, GDP ghi nhận tốc độ tăng ấn tượng nhờ xuất khẩu tăng vững. </w:t>
      </w:r>
      <w:r w:rsidR="007B575C" w:rsidRPr="00764367">
        <w:rPr>
          <w:rFonts w:ascii="Arial" w:hAnsi="Arial" w:cs="Arial"/>
          <w:sz w:val="20"/>
          <w:szCs w:val="20"/>
        </w:rPr>
        <w:t xml:space="preserve">Nhu cầu gia tăng trở lại đã hỗ trợ tăng trưởng kinh tế </w:t>
      </w:r>
      <w:r w:rsidRPr="00764367">
        <w:rPr>
          <w:rFonts w:ascii="Arial" w:hAnsi="Arial" w:cs="Arial"/>
          <w:sz w:val="20"/>
          <w:szCs w:val="20"/>
        </w:rPr>
        <w:t>tại một số nước thuộc khu vực đồng tiền chung euro như Tây Ban Nha, CHLB Đức</w:t>
      </w:r>
      <w:r w:rsidR="007B575C" w:rsidRPr="00764367">
        <w:rPr>
          <w:rFonts w:ascii="Arial" w:hAnsi="Arial" w:cs="Arial"/>
          <w:sz w:val="20"/>
          <w:szCs w:val="20"/>
        </w:rPr>
        <w:t>.</w:t>
      </w:r>
      <w:r w:rsidRPr="00764367">
        <w:rPr>
          <w:rFonts w:ascii="Arial" w:hAnsi="Arial" w:cs="Arial"/>
          <w:sz w:val="20"/>
          <w:szCs w:val="20"/>
        </w:rPr>
        <w:t xml:space="preserve"> </w:t>
      </w:r>
      <w:r w:rsidR="007B575C" w:rsidRPr="00764367">
        <w:rPr>
          <w:rFonts w:ascii="Arial" w:hAnsi="Arial" w:cs="Arial"/>
          <w:sz w:val="20"/>
          <w:szCs w:val="20"/>
        </w:rPr>
        <w:t xml:space="preserve">Hoạt động kinh tế tại các nước </w:t>
      </w:r>
      <w:r w:rsidRPr="00764367">
        <w:rPr>
          <w:rFonts w:ascii="Arial" w:hAnsi="Arial" w:cs="Arial"/>
          <w:sz w:val="20"/>
          <w:szCs w:val="20"/>
        </w:rPr>
        <w:t xml:space="preserve">đang phát triển và mới nổi </w:t>
      </w:r>
      <w:r w:rsidR="007B575C" w:rsidRPr="00764367">
        <w:rPr>
          <w:rFonts w:ascii="Arial" w:hAnsi="Arial" w:cs="Arial"/>
          <w:sz w:val="20"/>
          <w:szCs w:val="20"/>
        </w:rPr>
        <w:t>tiếp tục tăng cao, mặc dù</w:t>
      </w:r>
      <w:r w:rsidRPr="00764367">
        <w:rPr>
          <w:rFonts w:ascii="Arial" w:hAnsi="Arial" w:cs="Arial"/>
          <w:sz w:val="20"/>
          <w:szCs w:val="20"/>
        </w:rPr>
        <w:t xml:space="preserve"> có </w:t>
      </w:r>
      <w:r w:rsidR="007B575C" w:rsidRPr="00764367">
        <w:rPr>
          <w:rFonts w:ascii="Arial" w:hAnsi="Arial" w:cs="Arial"/>
          <w:sz w:val="20"/>
          <w:szCs w:val="20"/>
        </w:rPr>
        <w:t xml:space="preserve">tốc độ tăng trưởng không đồng đều, </w:t>
      </w:r>
      <w:r w:rsidRPr="00764367">
        <w:rPr>
          <w:rFonts w:ascii="Arial" w:hAnsi="Arial" w:cs="Arial"/>
          <w:sz w:val="20"/>
          <w:szCs w:val="20"/>
        </w:rPr>
        <w:t>tùy theo tình hình thực tế tại m</w:t>
      </w:r>
      <w:r w:rsidR="002D099B" w:rsidRPr="00764367">
        <w:rPr>
          <w:rFonts w:ascii="Arial" w:hAnsi="Arial" w:cs="Arial"/>
          <w:sz w:val="20"/>
          <w:szCs w:val="20"/>
        </w:rPr>
        <w:t>ỗ</w:t>
      </w:r>
      <w:r w:rsidRPr="00764367">
        <w:rPr>
          <w:rFonts w:ascii="Arial" w:hAnsi="Arial" w:cs="Arial"/>
          <w:sz w:val="20"/>
          <w:szCs w:val="20"/>
        </w:rPr>
        <w:t xml:space="preserve">i nước. Trong đó, kinh tế tiếp tục tăng cao tại Trung Quốc phản ánh các biện pháp hỗ trợ chính sách, </w:t>
      </w:r>
      <w:r w:rsidR="007B575C" w:rsidRPr="00764367">
        <w:rPr>
          <w:rFonts w:ascii="Arial" w:hAnsi="Arial" w:cs="Arial"/>
          <w:sz w:val="20"/>
          <w:szCs w:val="20"/>
        </w:rPr>
        <w:t xml:space="preserve">kinh tế CHLB Nga bắt đầu thoát khỏi suy thoái nhờ các nỗ lực cải cách và giá dầu tăng trở lại, </w:t>
      </w:r>
      <w:r w:rsidRPr="00764367">
        <w:rPr>
          <w:rFonts w:ascii="Arial" w:hAnsi="Arial" w:cs="Arial"/>
          <w:sz w:val="20"/>
          <w:szCs w:val="20"/>
        </w:rPr>
        <w:t xml:space="preserve">kinh tế Ấn Độ </w:t>
      </w:r>
      <w:r w:rsidR="007B575C" w:rsidRPr="00764367">
        <w:rPr>
          <w:rFonts w:ascii="Arial" w:hAnsi="Arial" w:cs="Arial"/>
          <w:sz w:val="20"/>
          <w:szCs w:val="20"/>
        </w:rPr>
        <w:t xml:space="preserve">tạm thời </w:t>
      </w:r>
      <w:r w:rsidRPr="00764367">
        <w:rPr>
          <w:rFonts w:ascii="Arial" w:hAnsi="Arial" w:cs="Arial"/>
          <w:sz w:val="20"/>
          <w:szCs w:val="20"/>
        </w:rPr>
        <w:t xml:space="preserve">tăng chậm lại do thiếu tiền mặt sau đợt đổi tiền vào cuối năm 2016, kinh tế Brazil tiếp tục chìm trong suy thoái, hoạt động kinh tế yếu ớt tại các nước xuất khẩu, bất ổn địa chính trị cản trở kinh tế Thổ Nhĩ Kỳ và một số nước Trung Đông.  </w:t>
      </w:r>
    </w:p>
    <w:p w:rsidR="007B575C" w:rsidRPr="00764367" w:rsidRDefault="00296EB5" w:rsidP="00764367">
      <w:pPr>
        <w:spacing w:after="60" w:line="240" w:lineRule="auto"/>
        <w:ind w:firstLine="360"/>
        <w:jc w:val="both"/>
        <w:rPr>
          <w:rFonts w:ascii="Arial" w:hAnsi="Arial" w:cs="Arial"/>
          <w:sz w:val="20"/>
          <w:szCs w:val="20"/>
        </w:rPr>
      </w:pPr>
      <w:r w:rsidRPr="00764367">
        <w:rPr>
          <w:rFonts w:ascii="Arial" w:hAnsi="Arial" w:cs="Arial"/>
          <w:sz w:val="20"/>
          <w:szCs w:val="20"/>
        </w:rPr>
        <w:t xml:space="preserve">Hàng loạt yếu tố đóng góp cho sự phát triển này, bao gồm: </w:t>
      </w:r>
      <w:r w:rsidR="002D099B" w:rsidRPr="00764367">
        <w:rPr>
          <w:rFonts w:ascii="Arial" w:hAnsi="Arial" w:cs="Arial"/>
          <w:sz w:val="20"/>
          <w:szCs w:val="20"/>
        </w:rPr>
        <w:t>H</w:t>
      </w:r>
      <w:r w:rsidRPr="00764367">
        <w:rPr>
          <w:rFonts w:ascii="Arial" w:hAnsi="Arial" w:cs="Arial"/>
          <w:sz w:val="20"/>
          <w:szCs w:val="20"/>
        </w:rPr>
        <w:t xml:space="preserve">oạt động đầu tư phục hồi dần trên phạm vi toàn cầu, nhất là đầu tư </w:t>
      </w:r>
      <w:r w:rsidR="007B575C" w:rsidRPr="00764367">
        <w:rPr>
          <w:rFonts w:ascii="Arial" w:hAnsi="Arial" w:cs="Arial"/>
          <w:sz w:val="20"/>
          <w:szCs w:val="20"/>
        </w:rPr>
        <w:t xml:space="preserve">vào lĩnh vực </w:t>
      </w:r>
      <w:r w:rsidRPr="00764367">
        <w:rPr>
          <w:rFonts w:ascii="Arial" w:hAnsi="Arial" w:cs="Arial"/>
          <w:sz w:val="20"/>
          <w:szCs w:val="20"/>
        </w:rPr>
        <w:t>bất động sản và xây dựng hạ tầng tại Trung Quốc, khả năng thích ứng với xu hướng giảm thấp của mặt bằng giá cả hàng hóa, kết thúc chu kỳ tác động tiêu cực của lượng hàng tồn kho tại Mỹ.</w:t>
      </w:r>
      <w:r w:rsidR="007B575C" w:rsidRPr="00764367">
        <w:rPr>
          <w:rFonts w:ascii="Arial" w:hAnsi="Arial" w:cs="Arial"/>
          <w:sz w:val="20"/>
          <w:szCs w:val="20"/>
        </w:rPr>
        <w:t xml:space="preserve"> </w:t>
      </w:r>
      <w:r w:rsidRPr="00764367">
        <w:rPr>
          <w:rFonts w:ascii="Arial" w:hAnsi="Arial" w:cs="Arial"/>
          <w:sz w:val="20"/>
          <w:szCs w:val="20"/>
        </w:rPr>
        <w:t xml:space="preserve">Kết quả bầu cử tổng thống tại Mỹ đã dẫn đến kỳ vọng về khả năng nới lỏng tài khóa, góp phần hỗ trợ USD tăng giá cũng như lợi tức trái phiếu kho bạc, gây tác động lan tỏa sang những thị trường khác trên thế giới. Tâm trạng thị trường nhìn </w:t>
      </w:r>
      <w:proofErr w:type="gramStart"/>
      <w:r w:rsidRPr="00764367">
        <w:rPr>
          <w:rFonts w:ascii="Arial" w:hAnsi="Arial" w:cs="Arial"/>
          <w:sz w:val="20"/>
          <w:szCs w:val="20"/>
        </w:rPr>
        <w:t>chung</w:t>
      </w:r>
      <w:proofErr w:type="gramEnd"/>
      <w:r w:rsidRPr="00764367">
        <w:rPr>
          <w:rFonts w:ascii="Arial" w:hAnsi="Arial" w:cs="Arial"/>
          <w:sz w:val="20"/>
          <w:szCs w:val="20"/>
        </w:rPr>
        <w:t xml:space="preserve"> khá lạc quan, nhiều loại cổ phiếu tại các nước phát triển và mới nổi đồng loạt tăng giá. Trong khi đó, các hoạt động kinh tế và kỳ vọng nhu cầu tăng vững, thỏa thuận OPEC về kiềm chế nguồn cung dầu mỏ tiếp tục đẩ</w:t>
      </w:r>
      <w:r w:rsidR="007B575C" w:rsidRPr="00764367">
        <w:rPr>
          <w:rFonts w:ascii="Arial" w:hAnsi="Arial" w:cs="Arial"/>
          <w:sz w:val="20"/>
          <w:szCs w:val="20"/>
        </w:rPr>
        <w:t>y nhanh</w:t>
      </w:r>
      <w:r w:rsidRPr="00764367">
        <w:rPr>
          <w:rFonts w:ascii="Arial" w:hAnsi="Arial" w:cs="Arial"/>
          <w:sz w:val="20"/>
          <w:szCs w:val="20"/>
        </w:rPr>
        <w:t xml:space="preserve"> tốc độ phục hồi mặt bằng giá cả sau khi chạm đáy vào đầu năm 2016. </w:t>
      </w:r>
    </w:p>
    <w:p w:rsidR="00296EB5" w:rsidRPr="00764367" w:rsidRDefault="00296EB5" w:rsidP="00764367">
      <w:pPr>
        <w:spacing w:after="60" w:line="240" w:lineRule="auto"/>
        <w:ind w:firstLine="360"/>
        <w:jc w:val="both"/>
        <w:rPr>
          <w:rFonts w:ascii="Arial" w:hAnsi="Arial" w:cs="Arial"/>
          <w:sz w:val="20"/>
          <w:szCs w:val="20"/>
        </w:rPr>
      </w:pPr>
      <w:r w:rsidRPr="00764367">
        <w:rPr>
          <w:rFonts w:ascii="Arial" w:hAnsi="Arial" w:cs="Arial"/>
          <w:sz w:val="20"/>
          <w:szCs w:val="20"/>
        </w:rPr>
        <w:t>Tại các nước phát triển, giá hàng hóa tăng cao đã hỗ trợ lạm phát cơ bản, nhưng lạm phát lõi vẫn trầm lắng và diễn biế</w:t>
      </w:r>
      <w:r w:rsidR="002D099B" w:rsidRPr="00764367">
        <w:rPr>
          <w:rFonts w:ascii="Arial" w:hAnsi="Arial" w:cs="Arial"/>
          <w:sz w:val="20"/>
          <w:szCs w:val="20"/>
        </w:rPr>
        <w:t>n</w:t>
      </w:r>
      <w:r w:rsidRPr="00764367">
        <w:rPr>
          <w:rFonts w:ascii="Arial" w:hAnsi="Arial" w:cs="Arial"/>
          <w:sz w:val="20"/>
          <w:szCs w:val="20"/>
        </w:rPr>
        <w:t xml:space="preserve"> không đồng đều, chỉ tăng tại Nhật Bản và khu vực đồng tiền chung euro do lạm phát quá thấp. Giá hàng hóa tăng cao cũng hỗ trợ tăng lạm phát cơ bản tại nhiều nước đang phát triển và mới nổi, nhưng vẫn giảm tại một số nước do tác động yếu dần của các biện pháp giá bản tệ vốn được tiến hành trong năm 2015 và đầu năm 2016. </w:t>
      </w:r>
      <w:proofErr w:type="gramStart"/>
      <w:r w:rsidRPr="00764367">
        <w:rPr>
          <w:rFonts w:ascii="Arial" w:hAnsi="Arial" w:cs="Arial"/>
          <w:sz w:val="20"/>
          <w:szCs w:val="20"/>
        </w:rPr>
        <w:t>Tuy nhiên, xu hướng lạm phát thấp vẫn chi phối triển vọng trung hạn, chủ yếu là do tác động của tình trạng bất định chính sách.</w:t>
      </w:r>
      <w:proofErr w:type="gramEnd"/>
      <w:r w:rsidRPr="00764367">
        <w:rPr>
          <w:rFonts w:ascii="Arial" w:hAnsi="Arial" w:cs="Arial"/>
          <w:sz w:val="20"/>
          <w:szCs w:val="20"/>
        </w:rPr>
        <w:t xml:space="preserve"> Rủi ro có thể sẽ đảo ngược tình hình, khi tác động mờ nhạt dần của các biện pháp hỗ trợ chính sách tại Mỹ và Trung Quốc, thậm chí gây tác động đối ngược nhằm hạn chế nguy cơ rối loạn tài khóa. Một cách tổng quát, rủi ro lạm phát thấp bắt nguồn từ những yếu tố tiềm năng cơ bản như sau:</w:t>
      </w:r>
    </w:p>
    <w:p w:rsidR="00296EB5" w:rsidRPr="00764367" w:rsidRDefault="00296EB5" w:rsidP="00055673">
      <w:pPr>
        <w:pStyle w:val="ListParagraph"/>
        <w:numPr>
          <w:ilvl w:val="0"/>
          <w:numId w:val="1"/>
        </w:numPr>
        <w:spacing w:after="60" w:line="240" w:lineRule="auto"/>
        <w:ind w:left="0" w:firstLine="360"/>
        <w:jc w:val="both"/>
        <w:rPr>
          <w:rFonts w:ascii="Arial" w:hAnsi="Arial" w:cs="Arial"/>
          <w:sz w:val="20"/>
          <w:szCs w:val="20"/>
        </w:rPr>
      </w:pPr>
      <w:r w:rsidRPr="00764367">
        <w:rPr>
          <w:rFonts w:ascii="Arial" w:hAnsi="Arial" w:cs="Arial"/>
          <w:sz w:val="20"/>
          <w:szCs w:val="20"/>
        </w:rPr>
        <w:t>Trong bối cảnh kinh tế toàn cầu tăng thấp đã tác động tiêu cực đến hoạt động thương mại và dòng vốn đầu tư, một số nước chuyển sang chính sách kinh tế hướng nộ</w:t>
      </w:r>
      <w:r w:rsidR="007B575C" w:rsidRPr="00764367">
        <w:rPr>
          <w:rFonts w:ascii="Arial" w:hAnsi="Arial" w:cs="Arial"/>
          <w:sz w:val="20"/>
          <w:szCs w:val="20"/>
        </w:rPr>
        <w:t>i, đồng thời</w:t>
      </w:r>
      <w:r w:rsidRPr="00764367">
        <w:rPr>
          <w:rFonts w:ascii="Arial" w:hAnsi="Arial" w:cs="Arial"/>
          <w:sz w:val="20"/>
          <w:szCs w:val="20"/>
        </w:rPr>
        <w:t xml:space="preserve"> tăng cường các biện pháp bảo hộ thương mại;</w:t>
      </w:r>
    </w:p>
    <w:p w:rsidR="00296EB5" w:rsidRPr="00764367" w:rsidRDefault="00296EB5" w:rsidP="00055673">
      <w:pPr>
        <w:pStyle w:val="ListParagraph"/>
        <w:numPr>
          <w:ilvl w:val="0"/>
          <w:numId w:val="1"/>
        </w:numPr>
        <w:spacing w:after="60" w:line="240" w:lineRule="auto"/>
        <w:ind w:left="0" w:firstLine="360"/>
        <w:jc w:val="both"/>
        <w:rPr>
          <w:rFonts w:ascii="Arial" w:hAnsi="Arial" w:cs="Arial"/>
          <w:sz w:val="20"/>
          <w:szCs w:val="20"/>
        </w:rPr>
      </w:pPr>
      <w:r w:rsidRPr="00764367">
        <w:rPr>
          <w:rFonts w:ascii="Arial" w:hAnsi="Arial" w:cs="Arial"/>
          <w:sz w:val="20"/>
          <w:szCs w:val="20"/>
        </w:rPr>
        <w:t xml:space="preserve">Lãi suất chính sách tại Mỹ được dự báo sẽ tăng nhanh hơn dự kiến, </w:t>
      </w:r>
      <w:r w:rsidR="007B575C" w:rsidRPr="00764367">
        <w:rPr>
          <w:rFonts w:ascii="Arial" w:hAnsi="Arial" w:cs="Arial"/>
          <w:sz w:val="20"/>
          <w:szCs w:val="20"/>
        </w:rPr>
        <w:t xml:space="preserve">tăng thêm áp lực thắt </w:t>
      </w:r>
      <w:r w:rsidRPr="00764367">
        <w:rPr>
          <w:rFonts w:ascii="Arial" w:hAnsi="Arial" w:cs="Arial"/>
          <w:sz w:val="20"/>
          <w:szCs w:val="20"/>
        </w:rPr>
        <w:t>chặt tài chính trên toàn cầu và đẩy USD tăng giá, điều này có thể sẽ gây thiệt hại đáng kể cho những nước áp dụng cơ chế tỷ giá cố định theo diễn biến USD;</w:t>
      </w:r>
    </w:p>
    <w:p w:rsidR="00296EB5" w:rsidRPr="00764367" w:rsidRDefault="00296EB5" w:rsidP="00055673">
      <w:pPr>
        <w:pStyle w:val="ListParagraph"/>
        <w:numPr>
          <w:ilvl w:val="0"/>
          <w:numId w:val="1"/>
        </w:numPr>
        <w:spacing w:after="60" w:line="240" w:lineRule="auto"/>
        <w:ind w:left="0" w:firstLine="360"/>
        <w:jc w:val="both"/>
        <w:rPr>
          <w:rFonts w:ascii="Arial" w:hAnsi="Arial" w:cs="Arial"/>
          <w:sz w:val="20"/>
          <w:szCs w:val="20"/>
        </w:rPr>
      </w:pPr>
      <w:r w:rsidRPr="00764367">
        <w:rPr>
          <w:rFonts w:ascii="Arial" w:hAnsi="Arial" w:cs="Arial"/>
          <w:sz w:val="20"/>
          <w:szCs w:val="20"/>
        </w:rPr>
        <w:t xml:space="preserve">Làn sóng nới lỏng các quy định về tài chính có thể làm gia tăng rủi ro, thậm chí có thể đẩy thế giới vào cuộc khủng hoảng tài chính mới; </w:t>
      </w:r>
    </w:p>
    <w:p w:rsidR="00296EB5" w:rsidRPr="00764367" w:rsidRDefault="007B575C" w:rsidP="00055673">
      <w:pPr>
        <w:pStyle w:val="ListParagraph"/>
        <w:numPr>
          <w:ilvl w:val="0"/>
          <w:numId w:val="1"/>
        </w:numPr>
        <w:spacing w:after="60" w:line="240" w:lineRule="auto"/>
        <w:ind w:left="0" w:firstLine="360"/>
        <w:jc w:val="both"/>
        <w:rPr>
          <w:rFonts w:ascii="Arial" w:hAnsi="Arial" w:cs="Arial"/>
          <w:sz w:val="20"/>
          <w:szCs w:val="20"/>
        </w:rPr>
      </w:pPr>
      <w:r w:rsidRPr="00764367">
        <w:rPr>
          <w:rFonts w:ascii="Arial" w:hAnsi="Arial" w:cs="Arial"/>
          <w:sz w:val="20"/>
          <w:szCs w:val="20"/>
        </w:rPr>
        <w:t>Tại các nước mới nổi, y</w:t>
      </w:r>
      <w:r w:rsidR="00296EB5" w:rsidRPr="00764367">
        <w:rPr>
          <w:rFonts w:ascii="Arial" w:hAnsi="Arial" w:cs="Arial"/>
          <w:sz w:val="20"/>
          <w:szCs w:val="20"/>
        </w:rPr>
        <w:t xml:space="preserve">ếu tố </w:t>
      </w:r>
      <w:r w:rsidRPr="00764367">
        <w:rPr>
          <w:rFonts w:ascii="Arial" w:hAnsi="Arial" w:cs="Arial"/>
          <w:sz w:val="20"/>
          <w:szCs w:val="20"/>
        </w:rPr>
        <w:t xml:space="preserve">cơ bản </w:t>
      </w:r>
      <w:r w:rsidR="00296EB5" w:rsidRPr="00764367">
        <w:rPr>
          <w:rFonts w:ascii="Arial" w:hAnsi="Arial" w:cs="Arial"/>
          <w:sz w:val="20"/>
          <w:szCs w:val="20"/>
        </w:rPr>
        <w:t>dẫn đến xu hướng thắt chặt tài chính bắt nguồn từ</w:t>
      </w:r>
      <w:r w:rsidRPr="00764367">
        <w:rPr>
          <w:rFonts w:ascii="Arial" w:hAnsi="Arial" w:cs="Arial"/>
          <w:sz w:val="20"/>
          <w:szCs w:val="20"/>
        </w:rPr>
        <w:t xml:space="preserve"> khả năng</w:t>
      </w:r>
      <w:r w:rsidR="00296EB5" w:rsidRPr="00764367">
        <w:rPr>
          <w:rFonts w:ascii="Arial" w:hAnsi="Arial" w:cs="Arial"/>
          <w:sz w:val="20"/>
          <w:szCs w:val="20"/>
        </w:rPr>
        <w:t xml:space="preserve"> tổn thấ</w:t>
      </w:r>
      <w:r w:rsidRPr="00764367">
        <w:rPr>
          <w:rFonts w:ascii="Arial" w:hAnsi="Arial" w:cs="Arial"/>
          <w:sz w:val="20"/>
          <w:szCs w:val="20"/>
        </w:rPr>
        <w:t>t ngày càng</w:t>
      </w:r>
      <w:r w:rsidR="00296EB5" w:rsidRPr="00764367">
        <w:rPr>
          <w:rFonts w:ascii="Arial" w:hAnsi="Arial" w:cs="Arial"/>
          <w:sz w:val="20"/>
          <w:szCs w:val="20"/>
        </w:rPr>
        <w:t xml:space="preserve"> tăng trong hệ thống tài chính Trung Quốc </w:t>
      </w:r>
      <w:r w:rsidR="001E633C" w:rsidRPr="00764367">
        <w:rPr>
          <w:rFonts w:ascii="Arial" w:hAnsi="Arial" w:cs="Arial"/>
          <w:sz w:val="20"/>
          <w:szCs w:val="20"/>
        </w:rPr>
        <w:t xml:space="preserve">do tín dụng tiếp tục mở rộng </w:t>
      </w:r>
      <w:r w:rsidR="00296EB5" w:rsidRPr="00764367">
        <w:rPr>
          <w:rFonts w:ascii="Arial" w:hAnsi="Arial" w:cs="Arial"/>
          <w:sz w:val="20"/>
          <w:szCs w:val="20"/>
        </w:rPr>
        <w:t>và tình trạng mất cân đối tài sản tại một số nước mới nổi khác;</w:t>
      </w:r>
    </w:p>
    <w:p w:rsidR="00296EB5" w:rsidRPr="00764367" w:rsidRDefault="00296EB5" w:rsidP="00055673">
      <w:pPr>
        <w:pStyle w:val="ListParagraph"/>
        <w:numPr>
          <w:ilvl w:val="0"/>
          <w:numId w:val="1"/>
        </w:numPr>
        <w:spacing w:after="60" w:line="240" w:lineRule="auto"/>
        <w:ind w:left="0" w:firstLine="360"/>
        <w:jc w:val="both"/>
        <w:rPr>
          <w:rFonts w:ascii="Arial" w:hAnsi="Arial" w:cs="Arial"/>
          <w:sz w:val="20"/>
          <w:szCs w:val="20"/>
        </w:rPr>
      </w:pPr>
      <w:r w:rsidRPr="00764367">
        <w:rPr>
          <w:rFonts w:ascii="Arial" w:hAnsi="Arial" w:cs="Arial"/>
          <w:sz w:val="20"/>
          <w:szCs w:val="20"/>
        </w:rPr>
        <w:t>Rủi ro bắt nguồn từ diễn biến bất lợi tại một số nước phát triển như nhu cầu yếu ớt, lạm phát thấp, bảng cân đối tài sản mong manh, năng suất tăng chậm dần do dư thừa năng lực quá mức.</w:t>
      </w:r>
    </w:p>
    <w:p w:rsidR="00296EB5" w:rsidRPr="00764367" w:rsidRDefault="00296EB5" w:rsidP="00764367">
      <w:pPr>
        <w:spacing w:after="60" w:line="240" w:lineRule="auto"/>
        <w:ind w:firstLine="360"/>
        <w:jc w:val="both"/>
        <w:rPr>
          <w:rFonts w:ascii="Arial" w:hAnsi="Arial" w:cs="Arial"/>
          <w:sz w:val="20"/>
          <w:szCs w:val="20"/>
        </w:rPr>
      </w:pPr>
      <w:r w:rsidRPr="00764367">
        <w:rPr>
          <w:rFonts w:ascii="Arial" w:hAnsi="Arial" w:cs="Arial"/>
          <w:sz w:val="20"/>
          <w:szCs w:val="20"/>
        </w:rPr>
        <w:t>Bên cạnh yếu tố kinh tế, cần kể đến một số yếu tố bất lợi khác như căng thẳng địa chính trị, rối loạn chính trị</w:t>
      </w:r>
      <w:r w:rsidR="001E633C" w:rsidRPr="00764367">
        <w:rPr>
          <w:rFonts w:ascii="Arial" w:hAnsi="Arial" w:cs="Arial"/>
          <w:sz w:val="20"/>
          <w:szCs w:val="20"/>
        </w:rPr>
        <w:t xml:space="preserve"> tại một số</w:t>
      </w:r>
      <w:r w:rsidRPr="00764367">
        <w:rPr>
          <w:rFonts w:ascii="Arial" w:hAnsi="Arial" w:cs="Arial"/>
          <w:sz w:val="20"/>
          <w:szCs w:val="20"/>
        </w:rPr>
        <w:t xml:space="preserve"> nước, quản trị yếu kém và tệ tham nhũng, lo ngại về </w:t>
      </w:r>
      <w:proofErr w:type="gramStart"/>
      <w:r w:rsidRPr="00764367">
        <w:rPr>
          <w:rFonts w:ascii="Arial" w:hAnsi="Arial" w:cs="Arial"/>
          <w:sz w:val="20"/>
          <w:szCs w:val="20"/>
        </w:rPr>
        <w:t>an</w:t>
      </w:r>
      <w:proofErr w:type="gramEnd"/>
      <w:r w:rsidRPr="00764367">
        <w:rPr>
          <w:rFonts w:ascii="Arial" w:hAnsi="Arial" w:cs="Arial"/>
          <w:sz w:val="20"/>
          <w:szCs w:val="20"/>
        </w:rPr>
        <w:t xml:space="preserve"> ninh và chủ nghĩa khủng bố. </w:t>
      </w:r>
    </w:p>
    <w:p w:rsidR="00296EB5" w:rsidRPr="00764367" w:rsidRDefault="001E633C" w:rsidP="00764367">
      <w:pPr>
        <w:spacing w:after="60" w:line="240" w:lineRule="auto"/>
        <w:ind w:firstLine="360"/>
        <w:jc w:val="both"/>
        <w:rPr>
          <w:rFonts w:ascii="Arial" w:hAnsi="Arial" w:cs="Arial"/>
          <w:sz w:val="20"/>
          <w:szCs w:val="20"/>
        </w:rPr>
      </w:pPr>
      <w:r w:rsidRPr="00764367">
        <w:rPr>
          <w:rFonts w:ascii="Arial" w:hAnsi="Arial" w:cs="Arial"/>
          <w:sz w:val="20"/>
          <w:szCs w:val="20"/>
        </w:rPr>
        <w:t>Theo báo cáo của</w:t>
      </w:r>
      <w:r w:rsidR="00296EB5" w:rsidRPr="00764367">
        <w:rPr>
          <w:rFonts w:ascii="Arial" w:hAnsi="Arial" w:cs="Arial"/>
          <w:sz w:val="20"/>
          <w:szCs w:val="20"/>
        </w:rPr>
        <w:t xml:space="preserve"> IMF, giá cả hàng hóa bắt đầu tăng từ tháng 8/2016. Từ tháng 10/2016, giá dầu phục hồi dần do nhiều nước xuất khẩu dầu đã kiềm chế hoạt động sản xuất dầu sau thỏa thuận đạt được giữa các nước thuộc Tổ chức các nước xuất khẩu dầu mỏ (OPEC). Hoạt động xây dựng tại Trung Quốc tiếp tục tăng mạnh, nhất là trong lĩnh vực bất động sả</w:t>
      </w:r>
      <w:r w:rsidRPr="00764367">
        <w:rPr>
          <w:rFonts w:ascii="Arial" w:hAnsi="Arial" w:cs="Arial"/>
          <w:sz w:val="20"/>
          <w:szCs w:val="20"/>
        </w:rPr>
        <w:t>n,</w:t>
      </w:r>
      <w:r w:rsidR="00296EB5" w:rsidRPr="00764367">
        <w:rPr>
          <w:rFonts w:ascii="Arial" w:hAnsi="Arial" w:cs="Arial"/>
          <w:sz w:val="20"/>
          <w:szCs w:val="20"/>
        </w:rPr>
        <w:t xml:space="preserve"> khả năng mở rộng các chương trình kích thích tài khóa tại Mỹ sẽ thúc đẩy nhu cầu về kim loại và hỗ trợ lạm phát. Giá thực phẩm cũng tăng dần do nhu cầu về lương thực - thực phẩm tăng </w:t>
      </w:r>
      <w:proofErr w:type="gramStart"/>
      <w:r w:rsidR="00296EB5" w:rsidRPr="00764367">
        <w:rPr>
          <w:rFonts w:ascii="Arial" w:hAnsi="Arial" w:cs="Arial"/>
          <w:sz w:val="20"/>
          <w:szCs w:val="20"/>
        </w:rPr>
        <w:t>theo</w:t>
      </w:r>
      <w:proofErr w:type="gramEnd"/>
      <w:r w:rsidR="00296EB5" w:rsidRPr="00764367">
        <w:rPr>
          <w:rFonts w:ascii="Arial" w:hAnsi="Arial" w:cs="Arial"/>
          <w:sz w:val="20"/>
          <w:szCs w:val="20"/>
        </w:rPr>
        <w:t xml:space="preserve"> đà phục hồi kinh tế. </w:t>
      </w:r>
    </w:p>
    <w:p w:rsidR="00296EB5" w:rsidRPr="00764367" w:rsidRDefault="00183C79" w:rsidP="00764367">
      <w:pPr>
        <w:spacing w:after="60" w:line="240" w:lineRule="auto"/>
        <w:jc w:val="center"/>
        <w:rPr>
          <w:rFonts w:ascii="Arial" w:hAnsi="Arial" w:cs="Arial"/>
          <w:b/>
          <w:i/>
          <w:color w:val="000000" w:themeColor="text1"/>
          <w:sz w:val="20"/>
          <w:szCs w:val="20"/>
        </w:rPr>
      </w:pPr>
      <w:r w:rsidRPr="00764367">
        <w:rPr>
          <w:rFonts w:ascii="Arial" w:hAnsi="Arial" w:cs="Arial"/>
          <w:b/>
          <w:i/>
          <w:color w:val="000000" w:themeColor="text1"/>
          <w:sz w:val="20"/>
          <w:szCs w:val="20"/>
        </w:rPr>
        <w:t xml:space="preserve">Tóm tắt </w:t>
      </w:r>
      <w:r w:rsidR="001B2C5F" w:rsidRPr="00764367">
        <w:rPr>
          <w:rFonts w:ascii="Arial" w:hAnsi="Arial" w:cs="Arial"/>
          <w:b/>
          <w:i/>
          <w:color w:val="000000" w:themeColor="text1"/>
          <w:sz w:val="20"/>
          <w:szCs w:val="20"/>
        </w:rPr>
        <w:t>CPI</w:t>
      </w:r>
      <w:r w:rsidR="00296EB5" w:rsidRPr="00764367">
        <w:rPr>
          <w:rFonts w:ascii="Arial" w:hAnsi="Arial" w:cs="Arial"/>
          <w:b/>
          <w:i/>
          <w:color w:val="000000" w:themeColor="text1"/>
          <w:sz w:val="20"/>
          <w:szCs w:val="20"/>
        </w:rPr>
        <w:t xml:space="preserve"> hàng năm trên thị trường thế giới (</w:t>
      </w:r>
      <w:r w:rsidRPr="00764367">
        <w:rPr>
          <w:rFonts w:ascii="Arial" w:hAnsi="Arial" w:cs="Arial"/>
          <w:b/>
          <w:i/>
          <w:color w:val="000000" w:themeColor="text1"/>
          <w:sz w:val="20"/>
          <w:szCs w:val="20"/>
        </w:rPr>
        <w:t>%)</w:t>
      </w:r>
    </w:p>
    <w:tbl>
      <w:tblPr>
        <w:tblStyle w:val="TableGrid"/>
        <w:tblW w:w="0" w:type="auto"/>
        <w:tblInd w:w="108" w:type="dxa"/>
        <w:tblLook w:val="04A0" w:firstRow="1" w:lastRow="0" w:firstColumn="1" w:lastColumn="0" w:noHBand="0" w:noVBand="1"/>
      </w:tblPr>
      <w:tblGrid>
        <w:gridCol w:w="2430"/>
        <w:gridCol w:w="1260"/>
        <w:gridCol w:w="1350"/>
        <w:gridCol w:w="1080"/>
        <w:gridCol w:w="1080"/>
        <w:gridCol w:w="1080"/>
        <w:gridCol w:w="1080"/>
      </w:tblGrid>
      <w:tr w:rsidR="00764367" w:rsidRPr="00764367" w:rsidTr="00764367">
        <w:tc>
          <w:tcPr>
            <w:tcW w:w="2430" w:type="dxa"/>
            <w:vMerge w:val="restart"/>
            <w:vAlign w:val="center"/>
          </w:tcPr>
          <w:p w:rsidR="00764367" w:rsidRPr="00764367" w:rsidRDefault="00764367" w:rsidP="00764367">
            <w:pPr>
              <w:spacing w:after="60"/>
              <w:jc w:val="center"/>
              <w:rPr>
                <w:rFonts w:ascii="Arial" w:hAnsi="Arial" w:cs="Arial"/>
                <w:b/>
                <w:color w:val="000000" w:themeColor="text1"/>
                <w:sz w:val="20"/>
                <w:szCs w:val="20"/>
              </w:rPr>
            </w:pPr>
            <w:r>
              <w:rPr>
                <w:rFonts w:ascii="Arial" w:hAnsi="Arial" w:cs="Arial"/>
                <w:b/>
                <w:color w:val="000000" w:themeColor="text1"/>
                <w:sz w:val="20"/>
                <w:szCs w:val="20"/>
              </w:rPr>
              <w:t>Hàng hóa</w:t>
            </w:r>
          </w:p>
        </w:tc>
        <w:tc>
          <w:tcPr>
            <w:tcW w:w="2610" w:type="dxa"/>
            <w:gridSpan w:val="2"/>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Trung bình hàng năm</w:t>
            </w:r>
          </w:p>
        </w:tc>
        <w:tc>
          <w:tcPr>
            <w:tcW w:w="2160" w:type="dxa"/>
            <w:gridSpan w:val="2"/>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Kết quả</w:t>
            </w:r>
          </w:p>
        </w:tc>
        <w:tc>
          <w:tcPr>
            <w:tcW w:w="2160" w:type="dxa"/>
            <w:gridSpan w:val="2"/>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Dự báo</w:t>
            </w:r>
          </w:p>
        </w:tc>
      </w:tr>
      <w:tr w:rsidR="00764367" w:rsidRPr="00764367" w:rsidTr="00764367">
        <w:tc>
          <w:tcPr>
            <w:tcW w:w="2430" w:type="dxa"/>
            <w:vMerge/>
            <w:vAlign w:val="center"/>
          </w:tcPr>
          <w:p w:rsidR="00764367" w:rsidRPr="00764367" w:rsidRDefault="00764367" w:rsidP="00764367">
            <w:pPr>
              <w:spacing w:after="60"/>
              <w:jc w:val="center"/>
              <w:rPr>
                <w:rFonts w:ascii="Arial" w:hAnsi="Arial" w:cs="Arial"/>
                <w:b/>
                <w:color w:val="000000" w:themeColor="text1"/>
                <w:sz w:val="20"/>
                <w:szCs w:val="20"/>
              </w:rPr>
            </w:pPr>
          </w:p>
        </w:tc>
        <w:tc>
          <w:tcPr>
            <w:tcW w:w="1260" w:type="dxa"/>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1999-2008</w:t>
            </w:r>
          </w:p>
        </w:tc>
        <w:tc>
          <w:tcPr>
            <w:tcW w:w="1350" w:type="dxa"/>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2009-2018</w:t>
            </w:r>
          </w:p>
        </w:tc>
        <w:tc>
          <w:tcPr>
            <w:tcW w:w="1080" w:type="dxa"/>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2015</w:t>
            </w:r>
          </w:p>
        </w:tc>
        <w:tc>
          <w:tcPr>
            <w:tcW w:w="1080" w:type="dxa"/>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2016</w:t>
            </w:r>
          </w:p>
        </w:tc>
        <w:tc>
          <w:tcPr>
            <w:tcW w:w="1080" w:type="dxa"/>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2017</w:t>
            </w:r>
          </w:p>
        </w:tc>
        <w:tc>
          <w:tcPr>
            <w:tcW w:w="1080" w:type="dxa"/>
            <w:vAlign w:val="center"/>
          </w:tcPr>
          <w:p w:rsidR="00764367" w:rsidRPr="00764367" w:rsidRDefault="00764367" w:rsidP="00764367">
            <w:pPr>
              <w:spacing w:after="60"/>
              <w:jc w:val="center"/>
              <w:rPr>
                <w:rFonts w:ascii="Arial" w:hAnsi="Arial" w:cs="Arial"/>
                <w:b/>
                <w:color w:val="000000" w:themeColor="text1"/>
                <w:sz w:val="20"/>
                <w:szCs w:val="20"/>
              </w:rPr>
            </w:pPr>
            <w:r w:rsidRPr="00764367">
              <w:rPr>
                <w:rFonts w:ascii="Arial" w:hAnsi="Arial" w:cs="Arial"/>
                <w:b/>
                <w:color w:val="000000" w:themeColor="text1"/>
                <w:sz w:val="20"/>
                <w:szCs w:val="20"/>
              </w:rPr>
              <w:t>2018</w:t>
            </w:r>
          </w:p>
        </w:tc>
      </w:tr>
      <w:tr w:rsidR="001B2C5F" w:rsidRPr="00764367" w:rsidTr="00C41A9B">
        <w:tc>
          <w:tcPr>
            <w:tcW w:w="9360" w:type="dxa"/>
            <w:gridSpan w:val="7"/>
          </w:tcPr>
          <w:p w:rsidR="00183C79" w:rsidRPr="00764367" w:rsidRDefault="00183C79" w:rsidP="00764367">
            <w:pPr>
              <w:spacing w:after="60"/>
              <w:rPr>
                <w:rFonts w:ascii="Arial" w:hAnsi="Arial" w:cs="Arial"/>
                <w:b/>
                <w:color w:val="000000" w:themeColor="text1"/>
                <w:sz w:val="20"/>
                <w:szCs w:val="20"/>
              </w:rPr>
            </w:pPr>
            <w:r w:rsidRPr="00764367">
              <w:rPr>
                <w:rFonts w:ascii="Arial" w:hAnsi="Arial" w:cs="Arial"/>
                <w:b/>
                <w:i/>
                <w:color w:val="000000" w:themeColor="text1"/>
                <w:sz w:val="20"/>
                <w:szCs w:val="20"/>
              </w:rPr>
              <w:t>1. Tính theo USD</w:t>
            </w:r>
          </w:p>
        </w:tc>
      </w:tr>
      <w:tr w:rsidR="001B2C5F" w:rsidRPr="00764367" w:rsidTr="00055673">
        <w:tc>
          <w:tcPr>
            <w:tcW w:w="2430" w:type="dxa"/>
          </w:tcPr>
          <w:p w:rsidR="00296EB5" w:rsidRPr="00764367" w:rsidRDefault="00296EB5" w:rsidP="00764367">
            <w:pPr>
              <w:rPr>
                <w:rFonts w:ascii="Arial" w:hAnsi="Arial" w:cs="Arial"/>
                <w:color w:val="000000" w:themeColor="text1"/>
                <w:sz w:val="20"/>
                <w:szCs w:val="20"/>
              </w:rPr>
            </w:pPr>
            <w:r w:rsidRPr="00764367">
              <w:rPr>
                <w:rFonts w:ascii="Arial" w:hAnsi="Arial" w:cs="Arial"/>
                <w:color w:val="000000" w:themeColor="text1"/>
                <w:sz w:val="20"/>
                <w:szCs w:val="20"/>
              </w:rPr>
              <w:t>Công nghiệp chế tạo</w:t>
            </w:r>
          </w:p>
        </w:tc>
        <w:tc>
          <w:tcPr>
            <w:tcW w:w="126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1,8</w:t>
            </w:r>
          </w:p>
        </w:tc>
        <w:tc>
          <w:tcPr>
            <w:tcW w:w="135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0,0</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-2,4</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-5,4</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2,8</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1,7</w:t>
            </w:r>
          </w:p>
        </w:tc>
      </w:tr>
      <w:tr w:rsidR="001B2C5F" w:rsidRPr="00764367" w:rsidTr="00055673">
        <w:tc>
          <w:tcPr>
            <w:tcW w:w="2430" w:type="dxa"/>
          </w:tcPr>
          <w:p w:rsidR="00296EB5" w:rsidRPr="00764367" w:rsidRDefault="00296EB5" w:rsidP="00764367">
            <w:pPr>
              <w:rPr>
                <w:rFonts w:ascii="Arial" w:hAnsi="Arial" w:cs="Arial"/>
                <w:color w:val="000000" w:themeColor="text1"/>
                <w:sz w:val="20"/>
                <w:szCs w:val="20"/>
              </w:rPr>
            </w:pPr>
            <w:r w:rsidRPr="00764367">
              <w:rPr>
                <w:rFonts w:ascii="Arial" w:hAnsi="Arial" w:cs="Arial"/>
                <w:color w:val="000000" w:themeColor="text1"/>
                <w:sz w:val="20"/>
                <w:szCs w:val="20"/>
              </w:rPr>
              <w:t>Giá dầu</w:t>
            </w:r>
          </w:p>
        </w:tc>
        <w:tc>
          <w:tcPr>
            <w:tcW w:w="126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22,2</w:t>
            </w:r>
          </w:p>
        </w:tc>
        <w:tc>
          <w:tcPr>
            <w:tcW w:w="135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-5,5</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-47,2</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-15,7</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28,9</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-0,3</w:t>
            </w:r>
          </w:p>
        </w:tc>
      </w:tr>
      <w:tr w:rsidR="001B2C5F" w:rsidRPr="00764367" w:rsidTr="00055673">
        <w:tc>
          <w:tcPr>
            <w:tcW w:w="2430" w:type="dxa"/>
          </w:tcPr>
          <w:p w:rsidR="00296EB5" w:rsidRPr="00764367" w:rsidRDefault="00296EB5" w:rsidP="00764367">
            <w:pPr>
              <w:rPr>
                <w:rFonts w:ascii="Arial" w:hAnsi="Arial" w:cs="Arial"/>
                <w:color w:val="000000" w:themeColor="text1"/>
                <w:sz w:val="20"/>
                <w:szCs w:val="20"/>
              </w:rPr>
            </w:pPr>
            <w:r w:rsidRPr="00764367">
              <w:rPr>
                <w:rFonts w:ascii="Arial" w:hAnsi="Arial" w:cs="Arial"/>
                <w:color w:val="000000" w:themeColor="text1"/>
                <w:sz w:val="20"/>
                <w:szCs w:val="20"/>
              </w:rPr>
              <w:t>Giá hàng hóa phi năng lượng</w:t>
            </w:r>
          </w:p>
        </w:tc>
        <w:tc>
          <w:tcPr>
            <w:tcW w:w="126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6,2</w:t>
            </w:r>
          </w:p>
        </w:tc>
        <w:tc>
          <w:tcPr>
            <w:tcW w:w="135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-0,7</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-17,4</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-1,9</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8,5</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-1,3</w:t>
            </w:r>
          </w:p>
        </w:tc>
      </w:tr>
      <w:tr w:rsidR="001B2C5F" w:rsidRPr="00764367" w:rsidTr="00055673">
        <w:tc>
          <w:tcPr>
            <w:tcW w:w="2430" w:type="dxa"/>
          </w:tcPr>
          <w:p w:rsidR="001B2C5F" w:rsidRPr="00764367" w:rsidRDefault="001B2C5F" w:rsidP="00055673">
            <w:pPr>
              <w:rPr>
                <w:rFonts w:ascii="Arial" w:hAnsi="Arial" w:cs="Arial"/>
                <w:color w:val="000000" w:themeColor="text1"/>
                <w:sz w:val="20"/>
                <w:szCs w:val="20"/>
              </w:rPr>
            </w:pPr>
            <w:r w:rsidRPr="00764367">
              <w:rPr>
                <w:rFonts w:ascii="Arial" w:hAnsi="Arial" w:cs="Arial"/>
                <w:color w:val="000000" w:themeColor="text1"/>
                <w:sz w:val="20"/>
                <w:szCs w:val="20"/>
              </w:rPr>
              <w:t>Giá lương thực-thực phẩm</w:t>
            </w:r>
          </w:p>
        </w:tc>
        <w:tc>
          <w:tcPr>
            <w:tcW w:w="126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5,6</w:t>
            </w:r>
          </w:p>
        </w:tc>
        <w:tc>
          <w:tcPr>
            <w:tcW w:w="135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-0,7</w:t>
            </w:r>
          </w:p>
        </w:tc>
        <w:tc>
          <w:tcPr>
            <w:tcW w:w="108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-17,1</w:t>
            </w:r>
          </w:p>
        </w:tc>
        <w:tc>
          <w:tcPr>
            <w:tcW w:w="108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2,0</w:t>
            </w:r>
          </w:p>
        </w:tc>
        <w:tc>
          <w:tcPr>
            <w:tcW w:w="108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3,0</w:t>
            </w:r>
          </w:p>
        </w:tc>
        <w:tc>
          <w:tcPr>
            <w:tcW w:w="108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-0,5</w:t>
            </w:r>
          </w:p>
        </w:tc>
      </w:tr>
      <w:tr w:rsidR="001B2C5F" w:rsidRPr="00764367" w:rsidTr="00055673">
        <w:tc>
          <w:tcPr>
            <w:tcW w:w="2430" w:type="dxa"/>
          </w:tcPr>
          <w:p w:rsidR="00296EB5" w:rsidRPr="00764367" w:rsidRDefault="00296EB5" w:rsidP="00764367">
            <w:pPr>
              <w:rPr>
                <w:rFonts w:ascii="Arial" w:hAnsi="Arial" w:cs="Arial"/>
                <w:color w:val="000000" w:themeColor="text1"/>
                <w:sz w:val="20"/>
                <w:szCs w:val="20"/>
              </w:rPr>
            </w:pPr>
            <w:r w:rsidRPr="00764367">
              <w:rPr>
                <w:rFonts w:ascii="Arial" w:hAnsi="Arial" w:cs="Arial"/>
                <w:color w:val="000000" w:themeColor="text1"/>
                <w:sz w:val="20"/>
                <w:szCs w:val="20"/>
              </w:rPr>
              <w:t>Đồ uống</w:t>
            </w:r>
          </w:p>
        </w:tc>
        <w:tc>
          <w:tcPr>
            <w:tcW w:w="126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2,4</w:t>
            </w:r>
          </w:p>
        </w:tc>
        <w:tc>
          <w:tcPr>
            <w:tcW w:w="135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0,5</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-3,1</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-5,0</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-5,7</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3,5</w:t>
            </w:r>
          </w:p>
        </w:tc>
      </w:tr>
      <w:tr w:rsidR="001B2C5F" w:rsidRPr="00764367" w:rsidTr="00055673">
        <w:tc>
          <w:tcPr>
            <w:tcW w:w="2430" w:type="dxa"/>
          </w:tcPr>
          <w:p w:rsidR="00296EB5" w:rsidRPr="00764367" w:rsidRDefault="00296EB5" w:rsidP="00764367">
            <w:pPr>
              <w:rPr>
                <w:rFonts w:ascii="Arial" w:hAnsi="Arial" w:cs="Arial"/>
                <w:color w:val="000000" w:themeColor="text1"/>
                <w:sz w:val="20"/>
                <w:szCs w:val="20"/>
              </w:rPr>
            </w:pPr>
            <w:r w:rsidRPr="00764367">
              <w:rPr>
                <w:rFonts w:ascii="Arial" w:hAnsi="Arial" w:cs="Arial"/>
                <w:color w:val="000000" w:themeColor="text1"/>
                <w:sz w:val="20"/>
                <w:szCs w:val="20"/>
              </w:rPr>
              <w:t>Nguyên liệu nông nghiệp</w:t>
            </w:r>
          </w:p>
        </w:tc>
        <w:tc>
          <w:tcPr>
            <w:tcW w:w="126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1,9</w:t>
            </w:r>
          </w:p>
        </w:tc>
        <w:tc>
          <w:tcPr>
            <w:tcW w:w="135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0,6</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-13,5</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-5,7</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7,0</w:t>
            </w:r>
          </w:p>
        </w:tc>
        <w:tc>
          <w:tcPr>
            <w:tcW w:w="1080" w:type="dxa"/>
          </w:tcPr>
          <w:p w:rsidR="00296EB5" w:rsidRPr="00764367" w:rsidRDefault="00296EB5"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-0,3</w:t>
            </w:r>
          </w:p>
        </w:tc>
      </w:tr>
      <w:tr w:rsidR="001B2C5F" w:rsidRPr="00764367" w:rsidTr="00055673">
        <w:tc>
          <w:tcPr>
            <w:tcW w:w="2430" w:type="dxa"/>
          </w:tcPr>
          <w:p w:rsidR="00296EB5" w:rsidRPr="00764367" w:rsidRDefault="00296EB5" w:rsidP="00764367">
            <w:pPr>
              <w:spacing w:after="60"/>
              <w:rPr>
                <w:rFonts w:ascii="Arial" w:hAnsi="Arial" w:cs="Arial"/>
                <w:color w:val="000000" w:themeColor="text1"/>
                <w:sz w:val="20"/>
                <w:szCs w:val="20"/>
              </w:rPr>
            </w:pPr>
            <w:r w:rsidRPr="00764367">
              <w:rPr>
                <w:rFonts w:ascii="Arial" w:hAnsi="Arial" w:cs="Arial"/>
                <w:color w:val="000000" w:themeColor="text1"/>
                <w:sz w:val="20"/>
                <w:szCs w:val="20"/>
              </w:rPr>
              <w:t>Giá kim loại</w:t>
            </w:r>
          </w:p>
        </w:tc>
        <w:tc>
          <w:tcPr>
            <w:tcW w:w="1260" w:type="dxa"/>
          </w:tcPr>
          <w:p w:rsidR="00296EB5" w:rsidRPr="00764367" w:rsidRDefault="00296EB5"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11,8</w:t>
            </w:r>
          </w:p>
        </w:tc>
        <w:tc>
          <w:tcPr>
            <w:tcW w:w="1350" w:type="dxa"/>
          </w:tcPr>
          <w:p w:rsidR="00296EB5" w:rsidRPr="00764367" w:rsidRDefault="00296EB5"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-1,8</w:t>
            </w:r>
          </w:p>
        </w:tc>
        <w:tc>
          <w:tcPr>
            <w:tcW w:w="1080" w:type="dxa"/>
          </w:tcPr>
          <w:p w:rsidR="00296EB5" w:rsidRPr="00764367" w:rsidRDefault="00296EB5"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-23,0</w:t>
            </w:r>
          </w:p>
        </w:tc>
        <w:tc>
          <w:tcPr>
            <w:tcW w:w="1080" w:type="dxa"/>
          </w:tcPr>
          <w:p w:rsidR="00296EB5" w:rsidRPr="00764367" w:rsidRDefault="00296EB5"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-5,4</w:t>
            </w:r>
          </w:p>
        </w:tc>
        <w:tc>
          <w:tcPr>
            <w:tcW w:w="1080" w:type="dxa"/>
          </w:tcPr>
          <w:p w:rsidR="00296EB5" w:rsidRPr="00764367" w:rsidRDefault="00296EB5"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23,2</w:t>
            </w:r>
          </w:p>
        </w:tc>
        <w:tc>
          <w:tcPr>
            <w:tcW w:w="1080" w:type="dxa"/>
          </w:tcPr>
          <w:p w:rsidR="00296EB5" w:rsidRPr="00764367" w:rsidRDefault="00296EB5"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-4,0</w:t>
            </w:r>
          </w:p>
        </w:tc>
      </w:tr>
      <w:tr w:rsidR="001B2C5F" w:rsidRPr="00764367" w:rsidTr="00A557CE">
        <w:tc>
          <w:tcPr>
            <w:tcW w:w="9360" w:type="dxa"/>
            <w:gridSpan w:val="7"/>
          </w:tcPr>
          <w:p w:rsidR="00183C79" w:rsidRPr="00764367" w:rsidRDefault="00183C79" w:rsidP="00764367">
            <w:pPr>
              <w:spacing w:after="60"/>
              <w:rPr>
                <w:rFonts w:ascii="Arial" w:hAnsi="Arial" w:cs="Arial"/>
                <w:color w:val="000000" w:themeColor="text1"/>
                <w:sz w:val="20"/>
                <w:szCs w:val="20"/>
              </w:rPr>
            </w:pPr>
            <w:r w:rsidRPr="00764367">
              <w:rPr>
                <w:rFonts w:ascii="Arial" w:hAnsi="Arial" w:cs="Arial"/>
                <w:b/>
                <w:i/>
                <w:color w:val="000000" w:themeColor="text1"/>
                <w:sz w:val="20"/>
                <w:szCs w:val="20"/>
              </w:rPr>
              <w:t>2. Tính theo Euro</w:t>
            </w:r>
          </w:p>
        </w:tc>
      </w:tr>
      <w:tr w:rsidR="001B2C5F" w:rsidRPr="00764367" w:rsidTr="00764367">
        <w:tc>
          <w:tcPr>
            <w:tcW w:w="2430" w:type="dxa"/>
          </w:tcPr>
          <w:p w:rsidR="00183C79" w:rsidRPr="00764367" w:rsidRDefault="00183C79" w:rsidP="00764367">
            <w:pPr>
              <w:rPr>
                <w:rFonts w:ascii="Arial" w:hAnsi="Arial" w:cs="Arial"/>
                <w:color w:val="000000" w:themeColor="text1"/>
                <w:sz w:val="20"/>
                <w:szCs w:val="20"/>
              </w:rPr>
            </w:pPr>
            <w:r w:rsidRPr="00764367">
              <w:rPr>
                <w:rFonts w:ascii="Arial" w:hAnsi="Arial" w:cs="Arial"/>
                <w:color w:val="000000" w:themeColor="text1"/>
                <w:sz w:val="20"/>
                <w:szCs w:val="20"/>
              </w:rPr>
              <w:t>Công nghiệp chế tạo</w:t>
            </w:r>
          </w:p>
        </w:tc>
        <w:tc>
          <w:tcPr>
            <w:tcW w:w="126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-1,0</w:t>
            </w:r>
          </w:p>
        </w:tc>
        <w:tc>
          <w:tcPr>
            <w:tcW w:w="135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3,4</w:t>
            </w:r>
          </w:p>
        </w:tc>
        <w:tc>
          <w:tcPr>
            <w:tcW w:w="108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16,9</w:t>
            </w:r>
          </w:p>
        </w:tc>
        <w:tc>
          <w:tcPr>
            <w:tcW w:w="108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-5,2</w:t>
            </w:r>
          </w:p>
        </w:tc>
        <w:tc>
          <w:tcPr>
            <w:tcW w:w="108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7,1</w:t>
            </w:r>
          </w:p>
        </w:tc>
        <w:tc>
          <w:tcPr>
            <w:tcW w:w="108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2,0</w:t>
            </w:r>
          </w:p>
        </w:tc>
      </w:tr>
      <w:tr w:rsidR="001B2C5F" w:rsidRPr="00764367" w:rsidTr="00764367">
        <w:tc>
          <w:tcPr>
            <w:tcW w:w="2430" w:type="dxa"/>
          </w:tcPr>
          <w:p w:rsidR="00183C79" w:rsidRPr="00764367" w:rsidRDefault="00183C79" w:rsidP="00764367">
            <w:pPr>
              <w:rPr>
                <w:rFonts w:ascii="Arial" w:hAnsi="Arial" w:cs="Arial"/>
                <w:color w:val="000000" w:themeColor="text1"/>
                <w:sz w:val="20"/>
                <w:szCs w:val="20"/>
              </w:rPr>
            </w:pPr>
            <w:r w:rsidRPr="00764367">
              <w:rPr>
                <w:rFonts w:ascii="Arial" w:hAnsi="Arial" w:cs="Arial"/>
                <w:color w:val="000000" w:themeColor="text1"/>
                <w:sz w:val="20"/>
                <w:szCs w:val="20"/>
              </w:rPr>
              <w:t>Giá dầu</w:t>
            </w:r>
          </w:p>
        </w:tc>
        <w:tc>
          <w:tcPr>
            <w:tcW w:w="126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18,8</w:t>
            </w:r>
          </w:p>
        </w:tc>
        <w:tc>
          <w:tcPr>
            <w:tcW w:w="135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-2,3</w:t>
            </w:r>
          </w:p>
        </w:tc>
        <w:tc>
          <w:tcPr>
            <w:tcW w:w="108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-36,8</w:t>
            </w:r>
          </w:p>
        </w:tc>
        <w:tc>
          <w:tcPr>
            <w:tcW w:w="108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-15,4</w:t>
            </w:r>
          </w:p>
        </w:tc>
        <w:tc>
          <w:tcPr>
            <w:tcW w:w="108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34,3</w:t>
            </w:r>
          </w:p>
        </w:tc>
        <w:tc>
          <w:tcPr>
            <w:tcW w:w="1080" w:type="dxa"/>
          </w:tcPr>
          <w:p w:rsidR="00183C79" w:rsidRPr="00764367" w:rsidRDefault="00183C79"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0,0</w:t>
            </w:r>
          </w:p>
        </w:tc>
      </w:tr>
      <w:tr w:rsidR="001B2C5F" w:rsidRPr="00764367" w:rsidTr="00764367">
        <w:tc>
          <w:tcPr>
            <w:tcW w:w="2430" w:type="dxa"/>
          </w:tcPr>
          <w:p w:rsidR="00183C79" w:rsidRPr="00764367" w:rsidRDefault="00183C79" w:rsidP="00764367">
            <w:pPr>
              <w:rPr>
                <w:rFonts w:ascii="Arial" w:hAnsi="Arial" w:cs="Arial"/>
                <w:color w:val="000000" w:themeColor="text1"/>
                <w:sz w:val="20"/>
                <w:szCs w:val="20"/>
              </w:rPr>
            </w:pPr>
            <w:r w:rsidRPr="00764367">
              <w:rPr>
                <w:rFonts w:ascii="Arial" w:hAnsi="Arial" w:cs="Arial"/>
                <w:color w:val="000000" w:themeColor="text1"/>
                <w:sz w:val="20"/>
                <w:szCs w:val="20"/>
              </w:rPr>
              <w:t>Giá hàng hóa phi năng lượng</w:t>
            </w:r>
          </w:p>
        </w:tc>
        <w:tc>
          <w:tcPr>
            <w:tcW w:w="126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3,3</w:t>
            </w:r>
          </w:p>
        </w:tc>
        <w:tc>
          <w:tcPr>
            <w:tcW w:w="135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2,6</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-1,1</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-1,6</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13,0</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-1,0</w:t>
            </w:r>
          </w:p>
        </w:tc>
      </w:tr>
      <w:tr w:rsidR="001B2C5F" w:rsidRPr="00764367" w:rsidTr="00764367">
        <w:tc>
          <w:tcPr>
            <w:tcW w:w="2430" w:type="dxa"/>
          </w:tcPr>
          <w:p w:rsidR="001B2C5F" w:rsidRPr="00764367" w:rsidRDefault="001B2C5F" w:rsidP="00055673">
            <w:pPr>
              <w:rPr>
                <w:rFonts w:ascii="Arial" w:hAnsi="Arial" w:cs="Arial"/>
                <w:color w:val="000000" w:themeColor="text1"/>
                <w:sz w:val="20"/>
                <w:szCs w:val="20"/>
              </w:rPr>
            </w:pPr>
            <w:r w:rsidRPr="00764367">
              <w:rPr>
                <w:rFonts w:ascii="Arial" w:hAnsi="Arial" w:cs="Arial"/>
                <w:color w:val="000000" w:themeColor="text1"/>
                <w:sz w:val="20"/>
                <w:szCs w:val="20"/>
              </w:rPr>
              <w:t>Giá lương thực</w:t>
            </w:r>
            <w:r w:rsidR="00055673">
              <w:rPr>
                <w:rFonts w:ascii="Arial" w:hAnsi="Arial" w:cs="Arial"/>
                <w:color w:val="000000" w:themeColor="text1"/>
                <w:sz w:val="20"/>
                <w:szCs w:val="20"/>
              </w:rPr>
              <w:t>-</w:t>
            </w:r>
            <w:r w:rsidRPr="00764367">
              <w:rPr>
                <w:rFonts w:ascii="Arial" w:hAnsi="Arial" w:cs="Arial"/>
                <w:color w:val="000000" w:themeColor="text1"/>
                <w:sz w:val="20"/>
                <w:szCs w:val="20"/>
              </w:rPr>
              <w:t>thực phẩm</w:t>
            </w:r>
          </w:p>
        </w:tc>
        <w:tc>
          <w:tcPr>
            <w:tcW w:w="126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2,7</w:t>
            </w:r>
          </w:p>
        </w:tc>
        <w:tc>
          <w:tcPr>
            <w:tcW w:w="135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2,6</w:t>
            </w:r>
          </w:p>
        </w:tc>
        <w:tc>
          <w:tcPr>
            <w:tcW w:w="108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-0,8</w:t>
            </w:r>
          </w:p>
        </w:tc>
        <w:tc>
          <w:tcPr>
            <w:tcW w:w="108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2,3</w:t>
            </w:r>
          </w:p>
        </w:tc>
        <w:tc>
          <w:tcPr>
            <w:tcW w:w="108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7,3</w:t>
            </w:r>
          </w:p>
        </w:tc>
        <w:tc>
          <w:tcPr>
            <w:tcW w:w="1080" w:type="dxa"/>
          </w:tcPr>
          <w:p w:rsidR="001B2C5F"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-0,2</w:t>
            </w:r>
          </w:p>
        </w:tc>
      </w:tr>
      <w:tr w:rsidR="001B2C5F" w:rsidRPr="00764367" w:rsidTr="00764367">
        <w:tc>
          <w:tcPr>
            <w:tcW w:w="2430" w:type="dxa"/>
          </w:tcPr>
          <w:p w:rsidR="00183C79" w:rsidRPr="00764367" w:rsidRDefault="00183C79" w:rsidP="00764367">
            <w:pPr>
              <w:rPr>
                <w:rFonts w:ascii="Arial" w:hAnsi="Arial" w:cs="Arial"/>
                <w:color w:val="000000" w:themeColor="text1"/>
                <w:sz w:val="20"/>
                <w:szCs w:val="20"/>
              </w:rPr>
            </w:pPr>
            <w:r w:rsidRPr="00764367">
              <w:rPr>
                <w:rFonts w:ascii="Arial" w:hAnsi="Arial" w:cs="Arial"/>
                <w:color w:val="000000" w:themeColor="text1"/>
                <w:sz w:val="20"/>
                <w:szCs w:val="20"/>
              </w:rPr>
              <w:t>Đồ uống</w:t>
            </w:r>
          </w:p>
        </w:tc>
        <w:tc>
          <w:tcPr>
            <w:tcW w:w="126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w:t>
            </w:r>
            <w:r w:rsidR="00183C79" w:rsidRPr="00764367">
              <w:rPr>
                <w:rFonts w:ascii="Arial" w:hAnsi="Arial" w:cs="Arial"/>
                <w:color w:val="000000" w:themeColor="text1"/>
                <w:sz w:val="20"/>
                <w:szCs w:val="20"/>
              </w:rPr>
              <w:t>,4</w:t>
            </w:r>
          </w:p>
        </w:tc>
        <w:tc>
          <w:tcPr>
            <w:tcW w:w="135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3,9</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16,1</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-4,8</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-1,8</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3,8</w:t>
            </w:r>
          </w:p>
        </w:tc>
      </w:tr>
      <w:tr w:rsidR="001B2C5F" w:rsidRPr="00764367" w:rsidTr="00764367">
        <w:tc>
          <w:tcPr>
            <w:tcW w:w="2430" w:type="dxa"/>
          </w:tcPr>
          <w:p w:rsidR="00183C79" w:rsidRPr="00764367" w:rsidRDefault="00183C79" w:rsidP="00764367">
            <w:pPr>
              <w:rPr>
                <w:rFonts w:ascii="Arial" w:hAnsi="Arial" w:cs="Arial"/>
                <w:color w:val="000000" w:themeColor="text1"/>
                <w:sz w:val="20"/>
                <w:szCs w:val="20"/>
              </w:rPr>
            </w:pPr>
            <w:r w:rsidRPr="00764367">
              <w:rPr>
                <w:rFonts w:ascii="Arial" w:hAnsi="Arial" w:cs="Arial"/>
                <w:color w:val="000000" w:themeColor="text1"/>
                <w:sz w:val="20"/>
                <w:szCs w:val="20"/>
              </w:rPr>
              <w:t>Nguyên liệu nông nghiệp</w:t>
            </w:r>
          </w:p>
        </w:tc>
        <w:tc>
          <w:tcPr>
            <w:tcW w:w="126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w:t>
            </w:r>
            <w:r w:rsidR="00183C79" w:rsidRPr="00764367">
              <w:rPr>
                <w:rFonts w:ascii="Arial" w:hAnsi="Arial" w:cs="Arial"/>
                <w:color w:val="000000" w:themeColor="text1"/>
                <w:sz w:val="20"/>
                <w:szCs w:val="20"/>
              </w:rPr>
              <w:t>,9</w:t>
            </w:r>
          </w:p>
        </w:tc>
        <w:tc>
          <w:tcPr>
            <w:tcW w:w="135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4,0</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3,6</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-5,5</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11,5</w:t>
            </w:r>
          </w:p>
        </w:tc>
        <w:tc>
          <w:tcPr>
            <w:tcW w:w="1080" w:type="dxa"/>
          </w:tcPr>
          <w:p w:rsidR="00183C79" w:rsidRPr="00764367" w:rsidRDefault="001B2C5F" w:rsidP="00764367">
            <w:pPr>
              <w:jc w:val="center"/>
              <w:rPr>
                <w:rFonts w:ascii="Arial" w:hAnsi="Arial" w:cs="Arial"/>
                <w:color w:val="000000" w:themeColor="text1"/>
                <w:sz w:val="20"/>
                <w:szCs w:val="20"/>
              </w:rPr>
            </w:pPr>
            <w:r w:rsidRPr="00764367">
              <w:rPr>
                <w:rFonts w:ascii="Arial" w:hAnsi="Arial" w:cs="Arial"/>
                <w:color w:val="000000" w:themeColor="text1"/>
                <w:sz w:val="20"/>
                <w:szCs w:val="20"/>
              </w:rPr>
              <w:t>0,0</w:t>
            </w:r>
          </w:p>
        </w:tc>
      </w:tr>
      <w:tr w:rsidR="001B2C5F" w:rsidRPr="00764367" w:rsidTr="00764367">
        <w:tc>
          <w:tcPr>
            <w:tcW w:w="2430" w:type="dxa"/>
          </w:tcPr>
          <w:p w:rsidR="00183C79" w:rsidRPr="00764367" w:rsidRDefault="00183C79" w:rsidP="00764367">
            <w:pPr>
              <w:spacing w:after="60"/>
              <w:rPr>
                <w:rFonts w:ascii="Arial" w:hAnsi="Arial" w:cs="Arial"/>
                <w:color w:val="000000" w:themeColor="text1"/>
                <w:sz w:val="20"/>
                <w:szCs w:val="20"/>
              </w:rPr>
            </w:pPr>
            <w:r w:rsidRPr="00764367">
              <w:rPr>
                <w:rFonts w:ascii="Arial" w:hAnsi="Arial" w:cs="Arial"/>
                <w:color w:val="000000" w:themeColor="text1"/>
                <w:sz w:val="20"/>
                <w:szCs w:val="20"/>
              </w:rPr>
              <w:t>Giá kim loại</w:t>
            </w:r>
          </w:p>
        </w:tc>
        <w:tc>
          <w:tcPr>
            <w:tcW w:w="1260" w:type="dxa"/>
          </w:tcPr>
          <w:p w:rsidR="00183C79" w:rsidRPr="00764367" w:rsidRDefault="00183C79"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8</w:t>
            </w:r>
            <w:r w:rsidR="001B2C5F" w:rsidRPr="00764367">
              <w:rPr>
                <w:rFonts w:ascii="Arial" w:hAnsi="Arial" w:cs="Arial"/>
                <w:color w:val="000000" w:themeColor="text1"/>
                <w:sz w:val="20"/>
                <w:szCs w:val="20"/>
              </w:rPr>
              <w:t>,7</w:t>
            </w:r>
          </w:p>
        </w:tc>
        <w:tc>
          <w:tcPr>
            <w:tcW w:w="1350" w:type="dxa"/>
          </w:tcPr>
          <w:p w:rsidR="00183C79" w:rsidRPr="00764367" w:rsidRDefault="001B2C5F"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1,5</w:t>
            </w:r>
          </w:p>
        </w:tc>
        <w:tc>
          <w:tcPr>
            <w:tcW w:w="1080" w:type="dxa"/>
          </w:tcPr>
          <w:p w:rsidR="00183C79" w:rsidRPr="00764367" w:rsidRDefault="001B2C5F"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-7,8</w:t>
            </w:r>
          </w:p>
        </w:tc>
        <w:tc>
          <w:tcPr>
            <w:tcW w:w="1080" w:type="dxa"/>
          </w:tcPr>
          <w:p w:rsidR="00183C79" w:rsidRPr="00764367" w:rsidRDefault="001B2C5F"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-5,2</w:t>
            </w:r>
          </w:p>
        </w:tc>
        <w:tc>
          <w:tcPr>
            <w:tcW w:w="1080" w:type="dxa"/>
          </w:tcPr>
          <w:p w:rsidR="00183C79" w:rsidRPr="00764367" w:rsidRDefault="001B2C5F"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28,3</w:t>
            </w:r>
          </w:p>
        </w:tc>
        <w:tc>
          <w:tcPr>
            <w:tcW w:w="1080" w:type="dxa"/>
          </w:tcPr>
          <w:p w:rsidR="00183C79" w:rsidRPr="00764367" w:rsidRDefault="001B2C5F" w:rsidP="00764367">
            <w:pPr>
              <w:spacing w:after="60"/>
              <w:jc w:val="center"/>
              <w:rPr>
                <w:rFonts w:ascii="Arial" w:hAnsi="Arial" w:cs="Arial"/>
                <w:color w:val="000000" w:themeColor="text1"/>
                <w:sz w:val="20"/>
                <w:szCs w:val="20"/>
              </w:rPr>
            </w:pPr>
            <w:r w:rsidRPr="00764367">
              <w:rPr>
                <w:rFonts w:ascii="Arial" w:hAnsi="Arial" w:cs="Arial"/>
                <w:color w:val="000000" w:themeColor="text1"/>
                <w:sz w:val="20"/>
                <w:szCs w:val="20"/>
              </w:rPr>
              <w:t>-3,7</w:t>
            </w:r>
          </w:p>
        </w:tc>
      </w:tr>
    </w:tbl>
    <w:p w:rsidR="001B2C5F" w:rsidRPr="00764367" w:rsidRDefault="00296EB5" w:rsidP="00764367">
      <w:pPr>
        <w:spacing w:after="60" w:line="240" w:lineRule="auto"/>
        <w:ind w:firstLine="360"/>
        <w:jc w:val="both"/>
        <w:rPr>
          <w:rFonts w:ascii="Arial" w:hAnsi="Arial" w:cs="Arial"/>
          <w:i/>
          <w:color w:val="000000" w:themeColor="text1"/>
          <w:sz w:val="20"/>
          <w:szCs w:val="20"/>
        </w:rPr>
      </w:pPr>
      <w:r w:rsidRPr="00764367">
        <w:rPr>
          <w:rFonts w:ascii="Arial" w:hAnsi="Arial" w:cs="Arial"/>
          <w:i/>
          <w:color w:val="000000" w:themeColor="text1"/>
          <w:sz w:val="20"/>
          <w:szCs w:val="20"/>
        </w:rPr>
        <w:t>Nguồn: IMF</w:t>
      </w:r>
    </w:p>
    <w:p w:rsidR="00296EB5" w:rsidRPr="00764367" w:rsidRDefault="00296EB5" w:rsidP="00764367">
      <w:pPr>
        <w:pStyle w:val="ListParagraph"/>
        <w:spacing w:after="60" w:line="240" w:lineRule="auto"/>
        <w:ind w:left="0" w:firstLine="360"/>
        <w:jc w:val="both"/>
        <w:rPr>
          <w:rFonts w:ascii="Arial" w:hAnsi="Arial" w:cs="Arial"/>
          <w:sz w:val="20"/>
          <w:szCs w:val="20"/>
        </w:rPr>
      </w:pPr>
      <w:r w:rsidRPr="00764367">
        <w:rPr>
          <w:rFonts w:ascii="Arial" w:hAnsi="Arial" w:cs="Arial"/>
          <w:sz w:val="20"/>
          <w:szCs w:val="20"/>
        </w:rPr>
        <w:t xml:space="preserve">Trong năm 2016, chỉ số giá cả </w:t>
      </w:r>
      <w:r w:rsidR="001B2C5F" w:rsidRPr="00764367">
        <w:rPr>
          <w:rFonts w:ascii="Arial" w:hAnsi="Arial" w:cs="Arial"/>
          <w:sz w:val="20"/>
          <w:szCs w:val="20"/>
        </w:rPr>
        <w:t xml:space="preserve">(CPI) </w:t>
      </w:r>
      <w:r w:rsidRPr="00764367">
        <w:rPr>
          <w:rFonts w:ascii="Arial" w:hAnsi="Arial" w:cs="Arial"/>
          <w:sz w:val="20"/>
          <w:szCs w:val="20"/>
        </w:rPr>
        <w:t>các mặt hàng hóa chủ chốt tăng 15</w:t>
      </w:r>
      <w:proofErr w:type="gramStart"/>
      <w:r w:rsidRPr="00764367">
        <w:rPr>
          <w:rFonts w:ascii="Arial" w:hAnsi="Arial" w:cs="Arial"/>
          <w:sz w:val="20"/>
          <w:szCs w:val="20"/>
        </w:rPr>
        <w:t>,5</w:t>
      </w:r>
      <w:proofErr w:type="gramEnd"/>
      <w:r w:rsidRPr="00764367">
        <w:rPr>
          <w:rFonts w:ascii="Arial" w:hAnsi="Arial" w:cs="Arial"/>
          <w:sz w:val="20"/>
          <w:szCs w:val="20"/>
        </w:rPr>
        <w:t>% (tính từ tháng 8/2016). Trong đó, giá năng lượng và kim loại lần lượt tăng 21</w:t>
      </w:r>
      <w:proofErr w:type="gramStart"/>
      <w:r w:rsidRPr="00764367">
        <w:rPr>
          <w:rFonts w:ascii="Arial" w:hAnsi="Arial" w:cs="Arial"/>
          <w:sz w:val="20"/>
          <w:szCs w:val="20"/>
        </w:rPr>
        <w:t>,1</w:t>
      </w:r>
      <w:proofErr w:type="gramEnd"/>
      <w:r w:rsidRPr="00764367">
        <w:rPr>
          <w:rFonts w:ascii="Arial" w:hAnsi="Arial" w:cs="Arial"/>
          <w:sz w:val="20"/>
          <w:szCs w:val="20"/>
        </w:rPr>
        <w:t>% và 23,6%, riêng giá lương thực - thực phẩ</w:t>
      </w:r>
      <w:r w:rsidR="001E633C" w:rsidRPr="00764367">
        <w:rPr>
          <w:rFonts w:ascii="Arial" w:hAnsi="Arial" w:cs="Arial"/>
          <w:sz w:val="20"/>
          <w:szCs w:val="20"/>
        </w:rPr>
        <w:t>m tăng thấp hơn</w:t>
      </w:r>
      <w:r w:rsidRPr="00764367">
        <w:rPr>
          <w:rFonts w:ascii="Arial" w:hAnsi="Arial" w:cs="Arial"/>
          <w:sz w:val="20"/>
          <w:szCs w:val="20"/>
        </w:rPr>
        <w:t xml:space="preserve"> </w:t>
      </w:r>
      <w:r w:rsidR="001E633C" w:rsidRPr="00764367">
        <w:rPr>
          <w:rFonts w:ascii="Arial" w:hAnsi="Arial" w:cs="Arial"/>
          <w:sz w:val="20"/>
          <w:szCs w:val="20"/>
        </w:rPr>
        <w:t>(</w:t>
      </w:r>
      <w:r w:rsidRPr="00764367">
        <w:rPr>
          <w:rFonts w:ascii="Arial" w:hAnsi="Arial" w:cs="Arial"/>
          <w:sz w:val="20"/>
          <w:szCs w:val="20"/>
        </w:rPr>
        <w:t>4,9%</w:t>
      </w:r>
      <w:r w:rsidR="001E633C" w:rsidRPr="00764367">
        <w:rPr>
          <w:rFonts w:ascii="Arial" w:hAnsi="Arial" w:cs="Arial"/>
          <w:sz w:val="20"/>
          <w:szCs w:val="20"/>
        </w:rPr>
        <w:t>)</w:t>
      </w:r>
      <w:r w:rsidRPr="00764367">
        <w:rPr>
          <w:rFonts w:ascii="Arial" w:hAnsi="Arial" w:cs="Arial"/>
          <w:sz w:val="20"/>
          <w:szCs w:val="20"/>
        </w:rPr>
        <w:t>. Đáng chú ý, giá dầu tiếp tục tăng cao (21</w:t>
      </w:r>
      <w:proofErr w:type="gramStart"/>
      <w:r w:rsidRPr="00764367">
        <w:rPr>
          <w:rFonts w:ascii="Arial" w:hAnsi="Arial" w:cs="Arial"/>
          <w:sz w:val="20"/>
          <w:szCs w:val="20"/>
        </w:rPr>
        <w:t>,2</w:t>
      </w:r>
      <w:proofErr w:type="gramEnd"/>
      <w:r w:rsidRPr="00764367">
        <w:rPr>
          <w:rFonts w:ascii="Arial" w:hAnsi="Arial" w:cs="Arial"/>
          <w:sz w:val="20"/>
          <w:szCs w:val="20"/>
        </w:rPr>
        <w:t>%), sau thỏa thuận OPEC về cắt giảm sản lượng dầu cung ứng. Giá dầu tăng dần cũng hỗ trợ giá khí đốt tự nhiên tại châu Âu</w:t>
      </w:r>
      <w:r w:rsidR="001E633C" w:rsidRPr="00764367">
        <w:rPr>
          <w:rFonts w:ascii="Arial" w:hAnsi="Arial" w:cs="Arial"/>
          <w:sz w:val="20"/>
          <w:szCs w:val="20"/>
        </w:rPr>
        <w:t xml:space="preserve">. Trong khi đó, </w:t>
      </w:r>
      <w:r w:rsidRPr="00764367">
        <w:rPr>
          <w:rFonts w:ascii="Arial" w:hAnsi="Arial" w:cs="Arial"/>
          <w:sz w:val="20"/>
          <w:szCs w:val="20"/>
        </w:rPr>
        <w:t>giá than đá tăng 21</w:t>
      </w:r>
      <w:proofErr w:type="gramStart"/>
      <w:r w:rsidRPr="00764367">
        <w:rPr>
          <w:rFonts w:ascii="Arial" w:hAnsi="Arial" w:cs="Arial"/>
          <w:sz w:val="20"/>
          <w:szCs w:val="20"/>
        </w:rPr>
        <w:t>,0</w:t>
      </w:r>
      <w:proofErr w:type="gramEnd"/>
      <w:r w:rsidRPr="00764367">
        <w:rPr>
          <w:rFonts w:ascii="Arial" w:hAnsi="Arial" w:cs="Arial"/>
          <w:sz w:val="20"/>
          <w:szCs w:val="20"/>
        </w:rPr>
        <w:t>%</w:t>
      </w:r>
      <w:r w:rsidR="001E633C" w:rsidRPr="00764367">
        <w:rPr>
          <w:rFonts w:ascii="Arial" w:hAnsi="Arial" w:cs="Arial"/>
          <w:sz w:val="20"/>
          <w:szCs w:val="20"/>
        </w:rPr>
        <w:t>, chủ yếu</w:t>
      </w:r>
      <w:r w:rsidRPr="00764367">
        <w:rPr>
          <w:rFonts w:ascii="Arial" w:hAnsi="Arial" w:cs="Arial"/>
          <w:sz w:val="20"/>
          <w:szCs w:val="20"/>
        </w:rPr>
        <w:t xml:space="preserve"> do nguồn cung tại Australia giảm và chính phủ Trung Quốc hạn chế</w:t>
      </w:r>
      <w:r w:rsidR="001E633C" w:rsidRPr="00764367">
        <w:rPr>
          <w:rFonts w:ascii="Arial" w:hAnsi="Arial" w:cs="Arial"/>
          <w:sz w:val="20"/>
          <w:szCs w:val="20"/>
        </w:rPr>
        <w:t xml:space="preserve"> khai thác than đá</w:t>
      </w:r>
      <w:r w:rsidRPr="00764367">
        <w:rPr>
          <w:rFonts w:ascii="Arial" w:hAnsi="Arial" w:cs="Arial"/>
          <w:sz w:val="20"/>
          <w:szCs w:val="20"/>
        </w:rPr>
        <w:t xml:space="preserve">. </w:t>
      </w:r>
    </w:p>
    <w:p w:rsidR="00A84FC9" w:rsidRPr="00764367" w:rsidRDefault="00296EB5" w:rsidP="00764367">
      <w:pPr>
        <w:spacing w:after="60" w:line="240" w:lineRule="auto"/>
        <w:ind w:firstLine="360"/>
        <w:jc w:val="both"/>
        <w:rPr>
          <w:rFonts w:ascii="Arial" w:hAnsi="Arial" w:cs="Arial"/>
          <w:sz w:val="20"/>
          <w:szCs w:val="20"/>
        </w:rPr>
      </w:pPr>
      <w:r w:rsidRPr="00764367">
        <w:rPr>
          <w:rFonts w:ascii="Arial" w:hAnsi="Arial" w:cs="Arial"/>
          <w:sz w:val="20"/>
          <w:szCs w:val="20"/>
        </w:rPr>
        <w:t>Sau thỏa thuận OPEC về cắt giảm sản lượng dầu xuống 3</w:t>
      </w:r>
      <w:proofErr w:type="gramStart"/>
      <w:r w:rsidRPr="00764367">
        <w:rPr>
          <w:rFonts w:ascii="Arial" w:hAnsi="Arial" w:cs="Arial"/>
          <w:sz w:val="20"/>
          <w:szCs w:val="20"/>
        </w:rPr>
        <w:t>,5</w:t>
      </w:r>
      <w:proofErr w:type="gramEnd"/>
      <w:r w:rsidRPr="00764367">
        <w:rPr>
          <w:rFonts w:ascii="Arial" w:hAnsi="Arial" w:cs="Arial"/>
          <w:sz w:val="20"/>
          <w:szCs w:val="20"/>
        </w:rPr>
        <w:t xml:space="preserve"> triệu thùng/ngày (bắt đầu từ tháng 01/2017, giảm khoảng1,2 triệu thùng/ngày so với </w:t>
      </w:r>
      <w:r w:rsidR="001E633C" w:rsidRPr="00764367">
        <w:rPr>
          <w:rFonts w:ascii="Arial" w:hAnsi="Arial" w:cs="Arial"/>
          <w:sz w:val="20"/>
          <w:szCs w:val="20"/>
        </w:rPr>
        <w:t xml:space="preserve">sản lượng dầu </w:t>
      </w:r>
      <w:r w:rsidRPr="00764367">
        <w:rPr>
          <w:rFonts w:ascii="Arial" w:hAnsi="Arial" w:cs="Arial"/>
          <w:sz w:val="20"/>
          <w:szCs w:val="20"/>
        </w:rPr>
        <w:t xml:space="preserve">tháng 10/2016), giá dầu giao ngay tăng dần và đã vượt ngưỡng 50 USD/thùng. Sản lượng dầu giảm sau thỏa thuận OPEC cũng được bù đắp phần nào từ hoạt động khai thác dầu đá phiến tại Mỹ. Theo dữ liệu tháng 01/2017 do Cơ quan Năng lượng quốc tế (IEA) cung cấp, </w:t>
      </w:r>
      <w:r w:rsidR="001E633C" w:rsidRPr="00764367">
        <w:rPr>
          <w:rFonts w:ascii="Arial" w:hAnsi="Arial" w:cs="Arial"/>
          <w:sz w:val="20"/>
          <w:szCs w:val="20"/>
        </w:rPr>
        <w:t xml:space="preserve">mặc dù sản lượng dầu tại Arập Xê út giảm sâu hơn so với thỏa thuận ban đầu, nhưng </w:t>
      </w:r>
      <w:r w:rsidRPr="00764367">
        <w:rPr>
          <w:rFonts w:ascii="Arial" w:hAnsi="Arial" w:cs="Arial"/>
          <w:sz w:val="20"/>
          <w:szCs w:val="20"/>
        </w:rPr>
        <w:t>chỉ một vài nước OPEC cắt giảm sản lượng dầ</w:t>
      </w:r>
      <w:r w:rsidR="001E633C" w:rsidRPr="00764367">
        <w:rPr>
          <w:rFonts w:ascii="Arial" w:hAnsi="Arial" w:cs="Arial"/>
          <w:sz w:val="20"/>
          <w:szCs w:val="20"/>
        </w:rPr>
        <w:t>u khai thác.</w:t>
      </w:r>
      <w:r w:rsidRPr="00764367">
        <w:rPr>
          <w:rFonts w:ascii="Arial" w:hAnsi="Arial" w:cs="Arial"/>
          <w:sz w:val="20"/>
          <w:szCs w:val="20"/>
        </w:rPr>
        <w:t xml:space="preserve"> Trong khi đó, các nước thành viên không bị ràng buộc bởi thỏa thuận OPEC như Libya, Irắk lại đẩy mạnh khai thác dầ</w:t>
      </w:r>
      <w:r w:rsidR="001E633C" w:rsidRPr="00764367">
        <w:rPr>
          <w:rFonts w:ascii="Arial" w:hAnsi="Arial" w:cs="Arial"/>
          <w:sz w:val="20"/>
          <w:szCs w:val="20"/>
        </w:rPr>
        <w:t>u. Trong năm 2016, nhu cầ</w:t>
      </w:r>
      <w:r w:rsidRPr="00764367">
        <w:rPr>
          <w:rFonts w:ascii="Arial" w:hAnsi="Arial" w:cs="Arial"/>
          <w:sz w:val="20"/>
          <w:szCs w:val="20"/>
        </w:rPr>
        <w:t xml:space="preserve">u về dầu mỏ </w:t>
      </w:r>
      <w:r w:rsidR="001E633C" w:rsidRPr="00764367">
        <w:rPr>
          <w:rFonts w:ascii="Arial" w:hAnsi="Arial" w:cs="Arial"/>
          <w:sz w:val="20"/>
          <w:szCs w:val="20"/>
        </w:rPr>
        <w:t xml:space="preserve">trên toàn cầu </w:t>
      </w:r>
      <w:r w:rsidRPr="00764367">
        <w:rPr>
          <w:rFonts w:ascii="Arial" w:hAnsi="Arial" w:cs="Arial"/>
          <w:sz w:val="20"/>
          <w:szCs w:val="20"/>
        </w:rPr>
        <w:t>tăng 1</w:t>
      </w:r>
      <w:proofErr w:type="gramStart"/>
      <w:r w:rsidRPr="00764367">
        <w:rPr>
          <w:rFonts w:ascii="Arial" w:hAnsi="Arial" w:cs="Arial"/>
          <w:sz w:val="20"/>
          <w:szCs w:val="20"/>
        </w:rPr>
        <w:t>,6</w:t>
      </w:r>
      <w:proofErr w:type="gramEnd"/>
      <w:r w:rsidRPr="00764367">
        <w:rPr>
          <w:rFonts w:ascii="Arial" w:hAnsi="Arial" w:cs="Arial"/>
          <w:sz w:val="20"/>
          <w:szCs w:val="20"/>
        </w:rPr>
        <w:t xml:space="preserve"> triệu thùng/ngày, mức tăng thấp hơn so với năm 2015. IEA kỳ vọng, nhu cầu về dầu mỏ trong năm 2017 sẽ tăng chậm với mức tăng 1</w:t>
      </w:r>
      <w:proofErr w:type="gramStart"/>
      <w:r w:rsidRPr="00764367">
        <w:rPr>
          <w:rFonts w:ascii="Arial" w:hAnsi="Arial" w:cs="Arial"/>
          <w:sz w:val="20"/>
          <w:szCs w:val="20"/>
        </w:rPr>
        <w:t>,4</w:t>
      </w:r>
      <w:proofErr w:type="gramEnd"/>
      <w:r w:rsidRPr="00764367">
        <w:rPr>
          <w:rFonts w:ascii="Arial" w:hAnsi="Arial" w:cs="Arial"/>
          <w:sz w:val="20"/>
          <w:szCs w:val="20"/>
        </w:rPr>
        <w:t xml:space="preserve"> triệu thùng/ngày, nhưng vẫn cao hơn ngưỡng trung bình 1,2 triệu thùng/ngày trong giai đoạn trung hạn. </w:t>
      </w:r>
      <w:proofErr w:type="gramStart"/>
      <w:r w:rsidRPr="00764367">
        <w:rPr>
          <w:rFonts w:ascii="Arial" w:hAnsi="Arial" w:cs="Arial"/>
          <w:sz w:val="20"/>
          <w:szCs w:val="20"/>
        </w:rPr>
        <w:t>Tuy nhiên, đầu tư sản xuất dầu đá phiến phục hồi nhanh tại Mỹ có thể sẽ nhanh chóng hỗ trợ nguồn cung, góp phần giảm nhẹ tình trạng mất cân đối cung - cầu trên thị trường.</w:t>
      </w:r>
      <w:proofErr w:type="gramEnd"/>
      <w:r w:rsidRPr="00764367">
        <w:rPr>
          <w:rFonts w:ascii="Arial" w:hAnsi="Arial" w:cs="Arial"/>
          <w:sz w:val="20"/>
          <w:szCs w:val="20"/>
        </w:rPr>
        <w:t xml:space="preserve"> Kể từ tháng 8/2016, chỉ số giá khí đốt tự nhiên tại Mỹ, châu Âu, Nhật Bả</w:t>
      </w:r>
      <w:r w:rsidR="001E633C" w:rsidRPr="00764367">
        <w:rPr>
          <w:rFonts w:ascii="Arial" w:hAnsi="Arial" w:cs="Arial"/>
          <w:sz w:val="20"/>
          <w:szCs w:val="20"/>
        </w:rPr>
        <w:t>n chỉ tăng trung bình</w:t>
      </w:r>
      <w:r w:rsidRPr="00764367">
        <w:rPr>
          <w:rFonts w:ascii="Arial" w:hAnsi="Arial" w:cs="Arial"/>
          <w:sz w:val="20"/>
          <w:szCs w:val="20"/>
        </w:rPr>
        <w:t xml:space="preserve"> 18</w:t>
      </w:r>
      <w:proofErr w:type="gramStart"/>
      <w:r w:rsidRPr="00764367">
        <w:rPr>
          <w:rFonts w:ascii="Arial" w:hAnsi="Arial" w:cs="Arial"/>
          <w:sz w:val="20"/>
          <w:szCs w:val="20"/>
        </w:rPr>
        <w:t>,7</w:t>
      </w:r>
      <w:proofErr w:type="gramEnd"/>
      <w:r w:rsidRPr="00764367">
        <w:rPr>
          <w:rFonts w:ascii="Arial" w:hAnsi="Arial" w:cs="Arial"/>
          <w:sz w:val="20"/>
          <w:szCs w:val="20"/>
        </w:rPr>
        <w:t>% do mùa đông ấm áp đã khiến nhu cầu tại Mỹ và châu Á không tăng cao như kỳ vọng ban đầu. Tại châu Âu, giá khí đốt tự nhiên tăng tới 38</w:t>
      </w:r>
      <w:proofErr w:type="gramStart"/>
      <w:r w:rsidRPr="00764367">
        <w:rPr>
          <w:rFonts w:ascii="Arial" w:hAnsi="Arial" w:cs="Arial"/>
          <w:sz w:val="20"/>
          <w:szCs w:val="20"/>
        </w:rPr>
        <w:t>,4</w:t>
      </w:r>
      <w:proofErr w:type="gramEnd"/>
      <w:r w:rsidRPr="00764367">
        <w:rPr>
          <w:rFonts w:ascii="Arial" w:hAnsi="Arial" w:cs="Arial"/>
          <w:sz w:val="20"/>
          <w:szCs w:val="20"/>
        </w:rPr>
        <w:t>%, phản ánh giá dầu tăng cao và mùa đông giá rét. Tuy nhiên, giá khí  đốt tự  nhiên sẽ đứng ở mức thấp do nguồn cung tại Mỹ và CHLB Nga sẽ tăng mạnh và theo kịp nhu cầu, cho dù nhu cầu về mặt hàng này có thể tăng nhanh hơn so với nhu cầu về dầu mỏ</w:t>
      </w:r>
      <w:r w:rsidR="00A84FC9" w:rsidRPr="00764367">
        <w:rPr>
          <w:rFonts w:ascii="Arial" w:hAnsi="Arial" w:cs="Arial"/>
          <w:sz w:val="20"/>
          <w:szCs w:val="20"/>
        </w:rPr>
        <w:t>. T</w:t>
      </w:r>
      <w:r w:rsidRPr="00764367">
        <w:rPr>
          <w:rFonts w:ascii="Arial" w:hAnsi="Arial" w:cs="Arial"/>
          <w:sz w:val="20"/>
          <w:szCs w:val="20"/>
        </w:rPr>
        <w:t>ừ tháng 8/2016</w:t>
      </w:r>
      <w:r w:rsidR="00A84FC9" w:rsidRPr="00764367">
        <w:rPr>
          <w:rFonts w:ascii="Arial" w:hAnsi="Arial" w:cs="Arial"/>
          <w:sz w:val="20"/>
          <w:szCs w:val="20"/>
        </w:rPr>
        <w:t xml:space="preserve"> đến cuối năm 2016</w:t>
      </w:r>
      <w:r w:rsidRPr="00764367">
        <w:rPr>
          <w:rFonts w:ascii="Arial" w:hAnsi="Arial" w:cs="Arial"/>
          <w:sz w:val="20"/>
          <w:szCs w:val="20"/>
        </w:rPr>
        <w:t>, chỉ số giá cả than đá tại Australia và CH Nam Phi tăng trung bình 21</w:t>
      </w:r>
      <w:proofErr w:type="gramStart"/>
      <w:r w:rsidRPr="00764367">
        <w:rPr>
          <w:rFonts w:ascii="Arial" w:hAnsi="Arial" w:cs="Arial"/>
          <w:sz w:val="20"/>
          <w:szCs w:val="20"/>
        </w:rPr>
        <w:t>,0</w:t>
      </w:r>
      <w:proofErr w:type="gramEnd"/>
      <w:r w:rsidRPr="00764367">
        <w:rPr>
          <w:rFonts w:ascii="Arial" w:hAnsi="Arial" w:cs="Arial"/>
          <w:sz w:val="20"/>
          <w:szCs w:val="20"/>
        </w:rPr>
        <w:t>%, chủ yếu do hoạt động khai thác than tại Trung Quốc giảm mạnh theo chương trình tái cơ cấu kinh tế, khi hoạt động khai khoáng đã dẫn đến những vấn đề về môi trường và y tế</w:t>
      </w:r>
      <w:r w:rsidR="00A84FC9" w:rsidRPr="00764367">
        <w:rPr>
          <w:rFonts w:ascii="Arial" w:hAnsi="Arial" w:cs="Arial"/>
          <w:sz w:val="20"/>
          <w:szCs w:val="20"/>
        </w:rPr>
        <w:t xml:space="preserve">. </w:t>
      </w:r>
    </w:p>
    <w:p w:rsidR="00296EB5" w:rsidRPr="00764367" w:rsidRDefault="00296EB5" w:rsidP="00764367">
      <w:pPr>
        <w:spacing w:after="60" w:line="240" w:lineRule="auto"/>
        <w:ind w:firstLine="360"/>
        <w:jc w:val="both"/>
        <w:rPr>
          <w:rFonts w:ascii="Arial" w:hAnsi="Arial" w:cs="Arial"/>
          <w:sz w:val="20"/>
          <w:szCs w:val="20"/>
        </w:rPr>
      </w:pPr>
      <w:r w:rsidRPr="00764367">
        <w:rPr>
          <w:rFonts w:ascii="Arial" w:hAnsi="Arial" w:cs="Arial"/>
          <w:sz w:val="20"/>
          <w:szCs w:val="20"/>
        </w:rPr>
        <w:t xml:space="preserve">Trên thị trường, giá dầu giao sau được giao dịch quanh ngưỡng ổn định 55 USD/thùng trong năm 2016, đạt mức giá trung bình 55,2 USD/thùng trong năm 2017 và 28,9 USD/thùng trong năm 2018. Trong ba năm tới, triển vọng giá dầu giao sau có vẻ mờ mịt, do các thỏa thuận về kiềm chế sản lượng dầu có thể chỉ gây tác động hạn chế trong giai đoạn trung hạn. </w:t>
      </w:r>
      <w:proofErr w:type="gramStart"/>
      <w:r w:rsidRPr="00764367">
        <w:rPr>
          <w:rFonts w:ascii="Arial" w:hAnsi="Arial" w:cs="Arial"/>
          <w:sz w:val="20"/>
          <w:szCs w:val="20"/>
        </w:rPr>
        <w:t>Ngoài ra, còn nhiều yếu tố bất định liên quan đến giá dầu, mặ</w:t>
      </w:r>
      <w:r w:rsidR="00A84FC9" w:rsidRPr="00764367">
        <w:rPr>
          <w:rFonts w:ascii="Arial" w:hAnsi="Arial" w:cs="Arial"/>
          <w:sz w:val="20"/>
          <w:szCs w:val="20"/>
        </w:rPr>
        <w:t>c dù chênh lệch cung - cầu sẽ</w:t>
      </w:r>
      <w:r w:rsidRPr="00764367">
        <w:rPr>
          <w:rFonts w:ascii="Arial" w:hAnsi="Arial" w:cs="Arial"/>
          <w:sz w:val="20"/>
          <w:szCs w:val="20"/>
        </w:rPr>
        <w:t xml:space="preserve"> được cân bằng trở lại.</w:t>
      </w:r>
      <w:proofErr w:type="gramEnd"/>
      <w:r w:rsidRPr="00764367">
        <w:rPr>
          <w:rFonts w:ascii="Arial" w:hAnsi="Arial" w:cs="Arial"/>
          <w:sz w:val="20"/>
          <w:szCs w:val="20"/>
        </w:rPr>
        <w:t xml:space="preserve"> </w:t>
      </w:r>
      <w:proofErr w:type="gramStart"/>
      <w:r w:rsidRPr="00764367">
        <w:rPr>
          <w:rFonts w:ascii="Arial" w:hAnsi="Arial" w:cs="Arial"/>
          <w:sz w:val="20"/>
          <w:szCs w:val="20"/>
        </w:rPr>
        <w:t xml:space="preserve">Rủi ro có thể gia tăng, nếu nguồn cung </w:t>
      </w:r>
      <w:r w:rsidRPr="00764367">
        <w:rPr>
          <w:rFonts w:ascii="Arial" w:hAnsi="Arial" w:cs="Arial"/>
          <w:sz w:val="20"/>
          <w:szCs w:val="20"/>
        </w:rPr>
        <w:lastRenderedPageBreak/>
        <w:t>thiếu hụt ngoài dự kiến và bất ổn địa chính trị, nhất là tại Trung Đông.</w:t>
      </w:r>
      <w:proofErr w:type="gramEnd"/>
      <w:r w:rsidRPr="00764367">
        <w:rPr>
          <w:rFonts w:ascii="Arial" w:hAnsi="Arial" w:cs="Arial"/>
          <w:sz w:val="20"/>
          <w:szCs w:val="20"/>
        </w:rPr>
        <w:t xml:space="preserve"> </w:t>
      </w:r>
      <w:proofErr w:type="gramStart"/>
      <w:r w:rsidRPr="00764367">
        <w:rPr>
          <w:rFonts w:ascii="Arial" w:hAnsi="Arial" w:cs="Arial"/>
          <w:sz w:val="20"/>
          <w:szCs w:val="20"/>
        </w:rPr>
        <w:t xml:space="preserve">Những sự kiện này có thể dẫn đến tình trạng thiếu hụt nguồn cung, nhưng lượng dầu dự trữ tăng cao và sản lượng dầu đá phiến tại Mỹ sẽ chặn đà tăng giá dầu </w:t>
      </w:r>
      <w:r w:rsidR="00A84FC9" w:rsidRPr="00764367">
        <w:rPr>
          <w:rFonts w:ascii="Arial" w:hAnsi="Arial" w:cs="Arial"/>
          <w:sz w:val="20"/>
          <w:szCs w:val="20"/>
        </w:rPr>
        <w:t>một cách nhanh chóng</w:t>
      </w:r>
      <w:r w:rsidRPr="00764367">
        <w:rPr>
          <w:rFonts w:ascii="Arial" w:hAnsi="Arial" w:cs="Arial"/>
          <w:sz w:val="20"/>
          <w:szCs w:val="20"/>
        </w:rPr>
        <w:t>.</w:t>
      </w:r>
      <w:proofErr w:type="gramEnd"/>
      <w:r w:rsidRPr="00764367">
        <w:rPr>
          <w:rFonts w:ascii="Arial" w:hAnsi="Arial" w:cs="Arial"/>
          <w:sz w:val="20"/>
          <w:szCs w:val="20"/>
        </w:rPr>
        <w:t xml:space="preserve"> </w:t>
      </w:r>
    </w:p>
    <w:p w:rsidR="00296EB5" w:rsidRPr="00764367" w:rsidRDefault="00A84FC9" w:rsidP="00764367">
      <w:pPr>
        <w:spacing w:after="60" w:line="240" w:lineRule="auto"/>
        <w:ind w:firstLine="360"/>
        <w:jc w:val="both"/>
        <w:rPr>
          <w:rFonts w:ascii="Arial" w:hAnsi="Arial" w:cs="Arial"/>
          <w:sz w:val="20"/>
          <w:szCs w:val="20"/>
        </w:rPr>
      </w:pPr>
      <w:r w:rsidRPr="00764367">
        <w:rPr>
          <w:rFonts w:ascii="Arial" w:hAnsi="Arial" w:cs="Arial"/>
          <w:sz w:val="20"/>
          <w:szCs w:val="20"/>
        </w:rPr>
        <w:t>Trong năm 2016 (tính t</w:t>
      </w:r>
      <w:r w:rsidR="00296EB5" w:rsidRPr="00764367">
        <w:rPr>
          <w:rFonts w:ascii="Arial" w:hAnsi="Arial" w:cs="Arial"/>
          <w:sz w:val="20"/>
          <w:szCs w:val="20"/>
        </w:rPr>
        <w:t>ừ tháng 8/2016</w:t>
      </w:r>
      <w:r w:rsidRPr="00764367">
        <w:rPr>
          <w:rFonts w:ascii="Arial" w:hAnsi="Arial" w:cs="Arial"/>
          <w:sz w:val="20"/>
          <w:szCs w:val="20"/>
        </w:rPr>
        <w:t>)</w:t>
      </w:r>
      <w:r w:rsidR="00296EB5" w:rsidRPr="00764367">
        <w:rPr>
          <w:rFonts w:ascii="Arial" w:hAnsi="Arial" w:cs="Arial"/>
          <w:sz w:val="20"/>
          <w:szCs w:val="20"/>
        </w:rPr>
        <w:t>, giá kim loạ</w:t>
      </w:r>
      <w:r w:rsidRPr="00764367">
        <w:rPr>
          <w:rFonts w:ascii="Arial" w:hAnsi="Arial" w:cs="Arial"/>
          <w:sz w:val="20"/>
          <w:szCs w:val="20"/>
        </w:rPr>
        <w:t>i tăng 23</w:t>
      </w:r>
      <w:proofErr w:type="gramStart"/>
      <w:r w:rsidRPr="00764367">
        <w:rPr>
          <w:rFonts w:ascii="Arial" w:hAnsi="Arial" w:cs="Arial"/>
          <w:sz w:val="20"/>
          <w:szCs w:val="20"/>
        </w:rPr>
        <w:t>,6</w:t>
      </w:r>
      <w:proofErr w:type="gramEnd"/>
      <w:r w:rsidRPr="00764367">
        <w:rPr>
          <w:rFonts w:ascii="Arial" w:hAnsi="Arial" w:cs="Arial"/>
          <w:sz w:val="20"/>
          <w:szCs w:val="20"/>
        </w:rPr>
        <w:t xml:space="preserve">%. </w:t>
      </w:r>
      <w:proofErr w:type="gramStart"/>
      <w:r w:rsidRPr="00764367">
        <w:rPr>
          <w:rFonts w:ascii="Arial" w:hAnsi="Arial" w:cs="Arial"/>
          <w:sz w:val="20"/>
          <w:szCs w:val="20"/>
        </w:rPr>
        <w:t>Trong đó, giá</w:t>
      </w:r>
      <w:r w:rsidR="00296EB5" w:rsidRPr="00764367">
        <w:rPr>
          <w:rFonts w:ascii="Arial" w:hAnsi="Arial" w:cs="Arial"/>
          <w:sz w:val="20"/>
          <w:szCs w:val="20"/>
        </w:rPr>
        <w:t xml:space="preserve"> sắt ghi nhận mức tăng cao nhất trong năm 2016, với tốc độ tăng gấp hai lần so với năm 2015 lên </w:t>
      </w:r>
      <w:r w:rsidRPr="00764367">
        <w:rPr>
          <w:rFonts w:ascii="Arial" w:hAnsi="Arial" w:cs="Arial"/>
          <w:sz w:val="20"/>
          <w:szCs w:val="20"/>
        </w:rPr>
        <w:t xml:space="preserve">khoảng </w:t>
      </w:r>
      <w:r w:rsidR="00296EB5" w:rsidRPr="00764367">
        <w:rPr>
          <w:rFonts w:ascii="Arial" w:hAnsi="Arial" w:cs="Arial"/>
          <w:sz w:val="20"/>
          <w:szCs w:val="20"/>
        </w:rPr>
        <w:t>80 USD/tấn.</w:t>
      </w:r>
      <w:proofErr w:type="gramEnd"/>
      <w:r w:rsidR="00296EB5" w:rsidRPr="00764367">
        <w:rPr>
          <w:rFonts w:ascii="Arial" w:hAnsi="Arial" w:cs="Arial"/>
          <w:sz w:val="20"/>
          <w:szCs w:val="20"/>
        </w:rPr>
        <w:t xml:space="preserve"> Về phía cầu, chính sách mở rộng tín dụng đã hỗ trợ kinh tế và thúc đẩy nhu cầu về </w:t>
      </w:r>
      <w:proofErr w:type="gramStart"/>
      <w:r w:rsidR="00296EB5" w:rsidRPr="00764367">
        <w:rPr>
          <w:rFonts w:ascii="Arial" w:hAnsi="Arial" w:cs="Arial"/>
          <w:sz w:val="20"/>
          <w:szCs w:val="20"/>
        </w:rPr>
        <w:t>kim</w:t>
      </w:r>
      <w:proofErr w:type="gramEnd"/>
      <w:r w:rsidR="00296EB5" w:rsidRPr="00764367">
        <w:rPr>
          <w:rFonts w:ascii="Arial" w:hAnsi="Arial" w:cs="Arial"/>
          <w:sz w:val="20"/>
          <w:szCs w:val="20"/>
        </w:rPr>
        <w:t xml:space="preserve"> loại tại Trung Quốc trong năm 2016, chiếm tới ½ nhu cầu trên thế giới. Chính phủ Trung Quốc cũng xử lý tình trạng dư thừa năng lực sản xuất thép như cắt giảm sản lượng tại những nhà máy sản xuất </w:t>
      </w:r>
      <w:proofErr w:type="gramStart"/>
      <w:r w:rsidR="00296EB5" w:rsidRPr="00764367">
        <w:rPr>
          <w:rFonts w:ascii="Arial" w:hAnsi="Arial" w:cs="Arial"/>
          <w:sz w:val="20"/>
          <w:szCs w:val="20"/>
        </w:rPr>
        <w:t>theo</w:t>
      </w:r>
      <w:proofErr w:type="gramEnd"/>
      <w:r w:rsidR="00296EB5" w:rsidRPr="00764367">
        <w:rPr>
          <w:rFonts w:ascii="Arial" w:hAnsi="Arial" w:cs="Arial"/>
          <w:sz w:val="20"/>
          <w:szCs w:val="20"/>
        </w:rPr>
        <w:t xml:space="preserve"> công nghệ lạc hậu nhằm giảm tác động tiêu cực đến môi trường, đồng thời đẩy mạnh nhập khẩu sắt, điều này đã hỗ trợ tăng giá sắt thép trên toàn cầu. Cùng với sắt thép, giá cả nhiều mặt hàng </w:t>
      </w:r>
      <w:proofErr w:type="gramStart"/>
      <w:r w:rsidR="00296EB5" w:rsidRPr="00764367">
        <w:rPr>
          <w:rFonts w:ascii="Arial" w:hAnsi="Arial" w:cs="Arial"/>
          <w:sz w:val="20"/>
          <w:szCs w:val="20"/>
        </w:rPr>
        <w:t>kim</w:t>
      </w:r>
      <w:proofErr w:type="gramEnd"/>
      <w:r w:rsidR="00296EB5" w:rsidRPr="00764367">
        <w:rPr>
          <w:rFonts w:ascii="Arial" w:hAnsi="Arial" w:cs="Arial"/>
          <w:sz w:val="20"/>
          <w:szCs w:val="20"/>
        </w:rPr>
        <w:t xml:space="preserve"> loại chủ chốt khác cũng tăng dần, </w:t>
      </w:r>
      <w:r w:rsidRPr="00764367">
        <w:rPr>
          <w:rFonts w:ascii="Arial" w:hAnsi="Arial" w:cs="Arial"/>
          <w:sz w:val="20"/>
          <w:szCs w:val="20"/>
        </w:rPr>
        <w:t>nhưng không tăng đáng kể</w:t>
      </w:r>
      <w:r w:rsidR="00296EB5" w:rsidRPr="00764367">
        <w:rPr>
          <w:rFonts w:ascii="Arial" w:hAnsi="Arial" w:cs="Arial"/>
          <w:sz w:val="20"/>
          <w:szCs w:val="20"/>
        </w:rPr>
        <w:t xml:space="preserve">, do nhu cầu trên toàn cầu chỉ tăng khiêm tốn. </w:t>
      </w:r>
    </w:p>
    <w:p w:rsidR="00296EB5" w:rsidRPr="00764367" w:rsidRDefault="00296EB5" w:rsidP="00764367">
      <w:pPr>
        <w:spacing w:after="60" w:line="240" w:lineRule="auto"/>
        <w:ind w:firstLine="360"/>
        <w:jc w:val="both"/>
        <w:rPr>
          <w:rFonts w:ascii="Arial" w:hAnsi="Arial" w:cs="Arial"/>
          <w:sz w:val="20"/>
          <w:szCs w:val="20"/>
        </w:rPr>
      </w:pPr>
      <w:r w:rsidRPr="00764367">
        <w:rPr>
          <w:rFonts w:ascii="Arial" w:hAnsi="Arial" w:cs="Arial"/>
          <w:sz w:val="20"/>
          <w:szCs w:val="20"/>
        </w:rPr>
        <w:t xml:space="preserve">Về phía cung, hoạt động đầu tư khai khoáng giảm nhằm giảm chi phí và bảo vệ môi trường, giá cả một số mặt hàng </w:t>
      </w:r>
      <w:proofErr w:type="gramStart"/>
      <w:r w:rsidRPr="00764367">
        <w:rPr>
          <w:rFonts w:ascii="Arial" w:hAnsi="Arial" w:cs="Arial"/>
          <w:sz w:val="20"/>
          <w:szCs w:val="20"/>
        </w:rPr>
        <w:t>kim</w:t>
      </w:r>
      <w:proofErr w:type="gramEnd"/>
      <w:r w:rsidRPr="00764367">
        <w:rPr>
          <w:rFonts w:ascii="Arial" w:hAnsi="Arial" w:cs="Arial"/>
          <w:sz w:val="20"/>
          <w:szCs w:val="20"/>
        </w:rPr>
        <w:t xml:space="preserve"> loại vì thế sẽ tăng. Tuy nhiên, tình trạng dư thừa năng lực sẽ kiềm chế đà tăng giá của nhiều mặt hàng </w:t>
      </w:r>
      <w:proofErr w:type="gramStart"/>
      <w:r w:rsidRPr="00764367">
        <w:rPr>
          <w:rFonts w:ascii="Arial" w:hAnsi="Arial" w:cs="Arial"/>
          <w:sz w:val="20"/>
          <w:szCs w:val="20"/>
        </w:rPr>
        <w:t>kim</w:t>
      </w:r>
      <w:proofErr w:type="gramEnd"/>
      <w:r w:rsidRPr="00764367">
        <w:rPr>
          <w:rFonts w:ascii="Arial" w:hAnsi="Arial" w:cs="Arial"/>
          <w:sz w:val="20"/>
          <w:szCs w:val="20"/>
        </w:rPr>
        <w:t xml:space="preserve"> loại cơ bản. Giá cả của phần lớn các mặt hàng </w:t>
      </w:r>
      <w:proofErr w:type="gramStart"/>
      <w:r w:rsidRPr="00764367">
        <w:rPr>
          <w:rFonts w:ascii="Arial" w:hAnsi="Arial" w:cs="Arial"/>
          <w:sz w:val="20"/>
          <w:szCs w:val="20"/>
        </w:rPr>
        <w:t>kim</w:t>
      </w:r>
      <w:proofErr w:type="gramEnd"/>
      <w:r w:rsidRPr="00764367">
        <w:rPr>
          <w:rFonts w:ascii="Arial" w:hAnsi="Arial" w:cs="Arial"/>
          <w:sz w:val="20"/>
          <w:szCs w:val="20"/>
        </w:rPr>
        <w:t xml:space="preserve"> loại sẽ đứng ở mức giá tương tự như hiện nay, thậm chí giá sắt có thể sẽ giảm sâu.</w:t>
      </w:r>
    </w:p>
    <w:p w:rsidR="00296EB5" w:rsidRPr="00764367" w:rsidRDefault="00296EB5" w:rsidP="00764367">
      <w:pPr>
        <w:spacing w:after="60" w:line="240" w:lineRule="auto"/>
        <w:ind w:firstLine="360"/>
        <w:jc w:val="both"/>
        <w:rPr>
          <w:rFonts w:ascii="Arial" w:hAnsi="Arial" w:cs="Arial"/>
          <w:sz w:val="20"/>
          <w:szCs w:val="20"/>
        </w:rPr>
      </w:pPr>
      <w:r w:rsidRPr="00764367">
        <w:rPr>
          <w:rFonts w:ascii="Arial" w:hAnsi="Arial" w:cs="Arial"/>
          <w:sz w:val="20"/>
          <w:szCs w:val="20"/>
        </w:rPr>
        <w:t>IMF đã hạ dự báo giá kim loại trong năm nay, nhưng tăng trung bình 23</w:t>
      </w:r>
      <w:proofErr w:type="gramStart"/>
      <w:r w:rsidRPr="00764367">
        <w:rPr>
          <w:rFonts w:ascii="Arial" w:hAnsi="Arial" w:cs="Arial"/>
          <w:sz w:val="20"/>
          <w:szCs w:val="20"/>
        </w:rPr>
        <w:t>,2</w:t>
      </w:r>
      <w:proofErr w:type="gramEnd"/>
      <w:r w:rsidRPr="00764367">
        <w:rPr>
          <w:rFonts w:ascii="Arial" w:hAnsi="Arial" w:cs="Arial"/>
          <w:sz w:val="20"/>
          <w:szCs w:val="20"/>
        </w:rPr>
        <w:t>% trong năm 2017, phản ánh nhu cầu tăng cao trong năm 2016. Sau đó, giá kim loại trong năm 2018 giảm tới 4</w:t>
      </w:r>
      <w:proofErr w:type="gramStart"/>
      <w:r w:rsidRPr="00764367">
        <w:rPr>
          <w:rFonts w:ascii="Arial" w:hAnsi="Arial" w:cs="Arial"/>
          <w:sz w:val="20"/>
          <w:szCs w:val="20"/>
        </w:rPr>
        <w:t>,0</w:t>
      </w:r>
      <w:proofErr w:type="gramEnd"/>
      <w:r w:rsidRPr="00764367">
        <w:rPr>
          <w:rFonts w:ascii="Arial" w:hAnsi="Arial" w:cs="Arial"/>
          <w:sz w:val="20"/>
          <w:szCs w:val="20"/>
        </w:rPr>
        <w:t xml:space="preserve">% so với năm nay. Yếu tố tác động giảm giá kim loại trong tương lai bắt nguồn từ tác động yếu dần của chính sách hỗ trợ đầu tư bất động sản tại Trung Quốc, và quốc gia này sẽ hạn chế sự lệ thuộc vào đầu tư vốn, trong khi việc xử lý tình trạng nợ nần tại nhiều doanh nghiệp còn vấp phải </w:t>
      </w:r>
      <w:proofErr w:type="gramStart"/>
      <w:r w:rsidRPr="00764367">
        <w:rPr>
          <w:rFonts w:ascii="Arial" w:hAnsi="Arial" w:cs="Arial"/>
          <w:sz w:val="20"/>
          <w:szCs w:val="20"/>
        </w:rPr>
        <w:t>khó  khăn</w:t>
      </w:r>
      <w:proofErr w:type="gramEnd"/>
      <w:r w:rsidRPr="00764367">
        <w:rPr>
          <w:rFonts w:ascii="Arial" w:hAnsi="Arial" w:cs="Arial"/>
          <w:sz w:val="20"/>
          <w:szCs w:val="20"/>
        </w:rPr>
        <w:t xml:space="preserve">. </w:t>
      </w:r>
    </w:p>
    <w:p w:rsidR="00296EB5" w:rsidRPr="00764367" w:rsidRDefault="00296EB5" w:rsidP="00764367">
      <w:pPr>
        <w:spacing w:after="60" w:line="240" w:lineRule="auto"/>
        <w:ind w:firstLine="360"/>
        <w:jc w:val="both"/>
        <w:rPr>
          <w:rFonts w:ascii="Arial" w:hAnsi="Arial" w:cs="Arial"/>
          <w:sz w:val="20"/>
          <w:szCs w:val="20"/>
        </w:rPr>
      </w:pPr>
      <w:r w:rsidRPr="00764367">
        <w:rPr>
          <w:rFonts w:ascii="Arial" w:hAnsi="Arial" w:cs="Arial"/>
          <w:sz w:val="20"/>
          <w:szCs w:val="20"/>
        </w:rPr>
        <w:t xml:space="preserve">Trong lĩnh vực nông nghiệp, giá cả các mặt hàng thực phẩm và sản phẩm đầu vào cho sản xuất nông nghiệp </w:t>
      </w:r>
      <w:r w:rsidR="00A84FC9" w:rsidRPr="00764367">
        <w:rPr>
          <w:rFonts w:ascii="Arial" w:hAnsi="Arial" w:cs="Arial"/>
          <w:sz w:val="20"/>
          <w:szCs w:val="20"/>
        </w:rPr>
        <w:t xml:space="preserve">và chế biến nông sản </w:t>
      </w:r>
      <w:r w:rsidRPr="00764367">
        <w:rPr>
          <w:rFonts w:ascii="Arial" w:hAnsi="Arial" w:cs="Arial"/>
          <w:sz w:val="20"/>
          <w:szCs w:val="20"/>
        </w:rPr>
        <w:t>tăng 4</w:t>
      </w:r>
      <w:proofErr w:type="gramStart"/>
      <w:r w:rsidRPr="00764367">
        <w:rPr>
          <w:rFonts w:ascii="Arial" w:hAnsi="Arial" w:cs="Arial"/>
          <w:sz w:val="20"/>
          <w:szCs w:val="20"/>
        </w:rPr>
        <w:t>,3</w:t>
      </w:r>
      <w:proofErr w:type="gramEnd"/>
      <w:r w:rsidRPr="00764367">
        <w:rPr>
          <w:rFonts w:ascii="Arial" w:hAnsi="Arial" w:cs="Arial"/>
          <w:sz w:val="20"/>
          <w:szCs w:val="20"/>
        </w:rPr>
        <w:t xml:space="preserve">% trong năm 2016 (tính từ tháng 8/2016). </w:t>
      </w:r>
      <w:proofErr w:type="gramStart"/>
      <w:r w:rsidRPr="00764367">
        <w:rPr>
          <w:rFonts w:ascii="Arial" w:hAnsi="Arial" w:cs="Arial"/>
          <w:sz w:val="20"/>
          <w:szCs w:val="20"/>
        </w:rPr>
        <w:t>Mặc dù giá dầu thực vật, chè, cao su tăng đáng kể, nhưng giá gạo và giá đậu giảm dầ</w:t>
      </w:r>
      <w:r w:rsidR="00A84FC9" w:rsidRPr="00764367">
        <w:rPr>
          <w:rFonts w:ascii="Arial" w:hAnsi="Arial" w:cs="Arial"/>
          <w:sz w:val="20"/>
          <w:szCs w:val="20"/>
        </w:rPr>
        <w:t>n.</w:t>
      </w:r>
      <w:proofErr w:type="gramEnd"/>
      <w:r w:rsidR="00A84FC9" w:rsidRPr="00764367">
        <w:rPr>
          <w:rFonts w:ascii="Arial" w:hAnsi="Arial" w:cs="Arial"/>
          <w:sz w:val="20"/>
          <w:szCs w:val="20"/>
        </w:rPr>
        <w:t xml:space="preserve"> Trong tháng 12/2016</w:t>
      </w:r>
      <w:r w:rsidRPr="00764367">
        <w:rPr>
          <w:rFonts w:ascii="Arial" w:hAnsi="Arial" w:cs="Arial"/>
          <w:sz w:val="20"/>
          <w:szCs w:val="20"/>
        </w:rPr>
        <w:t xml:space="preserve">, giá bột mỳ có lúc giảm xuống mức thấp nhất trong 11 năm qua, sau đó có phục hồi trở lại, nên cả năm 2016 tăng 15,2%. Giá ngô cũng tăng nhẹ, nhưng vẫn ở mức giá tương đối thấp trong lịch sử. </w:t>
      </w:r>
      <w:proofErr w:type="gramStart"/>
      <w:r w:rsidRPr="00764367">
        <w:rPr>
          <w:rFonts w:ascii="Arial" w:hAnsi="Arial" w:cs="Arial"/>
          <w:sz w:val="20"/>
          <w:szCs w:val="20"/>
        </w:rPr>
        <w:t>Trên toàn cầu, dự trữ bột mỳ và ngô vẫn vượt nhu cầu, thậm chí đạt mức cao nhấ</w:t>
      </w:r>
      <w:r w:rsidR="00A84FC9" w:rsidRPr="00764367">
        <w:rPr>
          <w:rFonts w:ascii="Arial" w:hAnsi="Arial" w:cs="Arial"/>
          <w:sz w:val="20"/>
          <w:szCs w:val="20"/>
        </w:rPr>
        <w:t>t trong 10 năm qua,</w:t>
      </w:r>
      <w:r w:rsidRPr="00764367">
        <w:rPr>
          <w:rFonts w:ascii="Arial" w:hAnsi="Arial" w:cs="Arial"/>
          <w:sz w:val="20"/>
          <w:szCs w:val="20"/>
        </w:rPr>
        <w:t xml:space="preserve"> thị trường </w:t>
      </w:r>
      <w:r w:rsidR="00A84FC9" w:rsidRPr="00764367">
        <w:rPr>
          <w:rFonts w:ascii="Arial" w:hAnsi="Arial" w:cs="Arial"/>
          <w:sz w:val="20"/>
          <w:szCs w:val="20"/>
        </w:rPr>
        <w:t xml:space="preserve">vì thế </w:t>
      </w:r>
      <w:r w:rsidRPr="00764367">
        <w:rPr>
          <w:rFonts w:ascii="Arial" w:hAnsi="Arial" w:cs="Arial"/>
          <w:sz w:val="20"/>
          <w:szCs w:val="20"/>
        </w:rPr>
        <w:t>sẽ được đáp ứng đầy đủ.</w:t>
      </w:r>
      <w:proofErr w:type="gramEnd"/>
      <w:r w:rsidRPr="00764367">
        <w:rPr>
          <w:rFonts w:ascii="Arial" w:hAnsi="Arial" w:cs="Arial"/>
          <w:sz w:val="20"/>
          <w:szCs w:val="20"/>
        </w:rPr>
        <w:t xml:space="preserve"> Giá dầu cọ tăng trên 36,7% trong năm 2016, và dự báo tăng 19% trong năm 2017, do hiện tượng El Ninô đã gây thiệt hại đến hoạt động trồng trọt tại Malaysia và Indonesia, trong khi lượng dầu cọ lưu kho giảm dần. Tuy nhiên, giá kacao giảm mạnh, do vụ mùa bội </w:t>
      </w:r>
      <w:proofErr w:type="gramStart"/>
      <w:r w:rsidRPr="00764367">
        <w:rPr>
          <w:rFonts w:ascii="Arial" w:hAnsi="Arial" w:cs="Arial"/>
          <w:sz w:val="20"/>
          <w:szCs w:val="20"/>
        </w:rPr>
        <w:t>thu</w:t>
      </w:r>
      <w:proofErr w:type="gramEnd"/>
      <w:r w:rsidRPr="00764367">
        <w:rPr>
          <w:rFonts w:ascii="Arial" w:hAnsi="Arial" w:cs="Arial"/>
          <w:sz w:val="20"/>
          <w:szCs w:val="20"/>
        </w:rPr>
        <w:t xml:space="preserve"> tại Tây Phi, ghi nhận mức giảm đầu tiên trong 5 năm qua. Báo cáo của IMF cũng điều chỉnh tăng giá đối với nhiều mặt hàng nông sản, do thời tiết diễn biến không thuận lợi, kể cả tại Mỹ. Giá thực phẩm tăng 3,0% trong năm 2017, giảm 0,5% trong năm 2018, sau đó sẽ ổn định về cơ bản. </w:t>
      </w:r>
    </w:p>
    <w:p w:rsidR="002D099B" w:rsidRPr="00764367" w:rsidRDefault="002D099B" w:rsidP="00764367">
      <w:pPr>
        <w:spacing w:after="60" w:line="240" w:lineRule="auto"/>
        <w:ind w:firstLine="360"/>
        <w:jc w:val="both"/>
        <w:rPr>
          <w:rFonts w:ascii="Arial" w:hAnsi="Arial" w:cs="Arial"/>
          <w:b/>
          <w:i/>
          <w:sz w:val="20"/>
          <w:szCs w:val="20"/>
        </w:rPr>
      </w:pPr>
      <w:r w:rsidRPr="00764367">
        <w:rPr>
          <w:rFonts w:ascii="Arial" w:hAnsi="Arial" w:cs="Arial"/>
          <w:b/>
          <w:i/>
          <w:sz w:val="20"/>
          <w:szCs w:val="20"/>
        </w:rPr>
        <w:t>Hoàng Thế Thỏa</w:t>
      </w:r>
    </w:p>
    <w:p w:rsidR="00126A12" w:rsidRPr="00764367" w:rsidRDefault="00296EB5" w:rsidP="00764367">
      <w:pPr>
        <w:tabs>
          <w:tab w:val="left" w:pos="5810"/>
        </w:tabs>
        <w:spacing w:after="60" w:line="240" w:lineRule="auto"/>
        <w:ind w:firstLine="360"/>
        <w:jc w:val="both"/>
        <w:rPr>
          <w:rFonts w:ascii="Arial" w:hAnsi="Arial" w:cs="Arial"/>
          <w:i/>
          <w:sz w:val="20"/>
          <w:szCs w:val="20"/>
        </w:rPr>
      </w:pPr>
      <w:r w:rsidRPr="00764367">
        <w:rPr>
          <w:rFonts w:ascii="Arial" w:hAnsi="Arial" w:cs="Arial"/>
          <w:i/>
          <w:sz w:val="20"/>
          <w:szCs w:val="20"/>
        </w:rPr>
        <w:t>Nguồn: IMF tháng 4/2017</w:t>
      </w:r>
    </w:p>
    <w:sectPr w:rsidR="00126A12" w:rsidRPr="00764367" w:rsidSect="00802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42E" w:rsidRDefault="00B3642E" w:rsidP="00296EB5">
      <w:pPr>
        <w:spacing w:after="0" w:line="240" w:lineRule="auto"/>
      </w:pPr>
      <w:r>
        <w:separator/>
      </w:r>
    </w:p>
  </w:endnote>
  <w:endnote w:type="continuationSeparator" w:id="0">
    <w:p w:rsidR="00B3642E" w:rsidRDefault="00B3642E" w:rsidP="0029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42E" w:rsidRDefault="00B3642E" w:rsidP="00296EB5">
      <w:pPr>
        <w:spacing w:after="0" w:line="240" w:lineRule="auto"/>
      </w:pPr>
      <w:r>
        <w:separator/>
      </w:r>
    </w:p>
  </w:footnote>
  <w:footnote w:type="continuationSeparator" w:id="0">
    <w:p w:rsidR="00B3642E" w:rsidRDefault="00B3642E" w:rsidP="00296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5A78"/>
    <w:multiLevelType w:val="hybridMultilevel"/>
    <w:tmpl w:val="5B5EBF18"/>
    <w:lvl w:ilvl="0" w:tplc="D376167E">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C41ADC"/>
    <w:multiLevelType w:val="hybridMultilevel"/>
    <w:tmpl w:val="39BE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49101C2"/>
    <w:multiLevelType w:val="hybridMultilevel"/>
    <w:tmpl w:val="50927F9C"/>
    <w:lvl w:ilvl="0" w:tplc="AC20D17E">
      <w:numFmt w:val="bullet"/>
      <w:lvlText w:val="-"/>
      <w:lvlJc w:val="left"/>
      <w:pPr>
        <w:ind w:left="360" w:hanging="360"/>
      </w:pPr>
      <w:rPr>
        <w:rFonts w:ascii="Times New Roman" w:eastAsiaTheme="minorHAnsi" w:hAnsi="Times New Roman" w:cs="Times New Roman" w:hint="default"/>
      </w:rPr>
    </w:lvl>
    <w:lvl w:ilvl="1" w:tplc="0736E80C">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A735A5B"/>
    <w:multiLevelType w:val="hybridMultilevel"/>
    <w:tmpl w:val="5D3AF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B5"/>
    <w:rsid w:val="00055673"/>
    <w:rsid w:val="00072191"/>
    <w:rsid w:val="00126A12"/>
    <w:rsid w:val="00183C79"/>
    <w:rsid w:val="001B2C5F"/>
    <w:rsid w:val="001E633C"/>
    <w:rsid w:val="00296EB5"/>
    <w:rsid w:val="00297631"/>
    <w:rsid w:val="002D099B"/>
    <w:rsid w:val="005E1378"/>
    <w:rsid w:val="00667E3A"/>
    <w:rsid w:val="00764367"/>
    <w:rsid w:val="007B575C"/>
    <w:rsid w:val="00802308"/>
    <w:rsid w:val="00A84FC9"/>
    <w:rsid w:val="00AB260B"/>
    <w:rsid w:val="00B3642E"/>
    <w:rsid w:val="00BC4DCA"/>
    <w:rsid w:val="00BE011B"/>
    <w:rsid w:val="00C51D4C"/>
    <w:rsid w:val="00D21362"/>
    <w:rsid w:val="00DF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6EB5"/>
    <w:pPr>
      <w:ind w:left="720"/>
      <w:contextualSpacing/>
    </w:pPr>
  </w:style>
  <w:style w:type="paragraph" w:styleId="Header">
    <w:name w:val="header"/>
    <w:basedOn w:val="Normal"/>
    <w:link w:val="HeaderChar"/>
    <w:uiPriority w:val="99"/>
    <w:unhideWhenUsed/>
    <w:rsid w:val="00296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B5"/>
  </w:style>
  <w:style w:type="paragraph" w:styleId="Footer">
    <w:name w:val="footer"/>
    <w:basedOn w:val="Normal"/>
    <w:link w:val="FooterChar"/>
    <w:uiPriority w:val="99"/>
    <w:unhideWhenUsed/>
    <w:rsid w:val="0029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6EB5"/>
    <w:pPr>
      <w:ind w:left="720"/>
      <w:contextualSpacing/>
    </w:pPr>
  </w:style>
  <w:style w:type="paragraph" w:styleId="Header">
    <w:name w:val="header"/>
    <w:basedOn w:val="Normal"/>
    <w:link w:val="HeaderChar"/>
    <w:uiPriority w:val="99"/>
    <w:unhideWhenUsed/>
    <w:rsid w:val="00296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B5"/>
  </w:style>
  <w:style w:type="paragraph" w:styleId="Footer">
    <w:name w:val="footer"/>
    <w:basedOn w:val="Normal"/>
    <w:link w:val="FooterChar"/>
    <w:uiPriority w:val="99"/>
    <w:unhideWhenUsed/>
    <w:rsid w:val="0029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6</cp:revision>
  <cp:lastPrinted>2017-04-25T02:32:00Z</cp:lastPrinted>
  <dcterms:created xsi:type="dcterms:W3CDTF">2017-04-25T04:09:00Z</dcterms:created>
  <dcterms:modified xsi:type="dcterms:W3CDTF">2017-04-25T04:12:00Z</dcterms:modified>
</cp:coreProperties>
</file>