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9B0" w:rsidRPr="007727F4" w:rsidRDefault="00DF69B0" w:rsidP="007727F4">
      <w:pPr>
        <w:shd w:val="clear" w:color="auto" w:fill="FFFFFF"/>
        <w:spacing w:after="60" w:line="240" w:lineRule="auto"/>
        <w:jc w:val="both"/>
        <w:rPr>
          <w:rFonts w:ascii="Arial" w:hAnsi="Arial" w:cs="Arial"/>
          <w:sz w:val="20"/>
          <w:szCs w:val="20"/>
        </w:rPr>
      </w:pPr>
      <w:bookmarkStart w:id="0" w:name="_GoBack"/>
      <w:bookmarkEnd w:id="0"/>
      <w:r w:rsidRPr="007727F4">
        <w:rPr>
          <w:rFonts w:ascii="Arial" w:eastAsia="Times New Roman" w:hAnsi="Arial" w:cs="Arial"/>
          <w:bCs/>
          <w:sz w:val="20"/>
          <w:szCs w:val="20"/>
        </w:rPr>
        <w:t xml:space="preserve">Tại báo cáo này, </w:t>
      </w:r>
      <w:r w:rsidR="00C00EC3" w:rsidRPr="007727F4">
        <w:rPr>
          <w:rFonts w:ascii="Arial" w:eastAsia="Times New Roman" w:hAnsi="Arial" w:cs="Arial"/>
          <w:bCs/>
          <w:sz w:val="20"/>
          <w:szCs w:val="20"/>
        </w:rPr>
        <w:t xml:space="preserve">các chuyên gia phân tích của </w:t>
      </w:r>
      <w:r w:rsidRPr="007727F4">
        <w:rPr>
          <w:rFonts w:ascii="Arial" w:eastAsia="Times New Roman" w:hAnsi="Arial" w:cs="Arial"/>
          <w:bCs/>
          <w:sz w:val="20"/>
          <w:szCs w:val="20"/>
        </w:rPr>
        <w:t>WB đã điều c</w:t>
      </w:r>
      <w:r w:rsidR="00C00EC3" w:rsidRPr="007727F4">
        <w:rPr>
          <w:rFonts w:ascii="Arial" w:eastAsia="Times New Roman" w:hAnsi="Arial" w:cs="Arial"/>
          <w:bCs/>
          <w:sz w:val="20"/>
          <w:szCs w:val="20"/>
        </w:rPr>
        <w:t>hỉnh nâng dự báo giá cả các mặt</w:t>
      </w:r>
      <w:r w:rsidRPr="007727F4">
        <w:rPr>
          <w:rFonts w:ascii="Arial" w:eastAsia="Times New Roman" w:hAnsi="Arial" w:cs="Arial"/>
          <w:bCs/>
          <w:sz w:val="20"/>
          <w:szCs w:val="20"/>
        </w:rPr>
        <w:t xml:space="preserve"> hàng hóa công nghiệp</w:t>
      </w:r>
      <w:r w:rsidR="00C00EC3" w:rsidRPr="007727F4">
        <w:rPr>
          <w:rFonts w:ascii="Arial" w:eastAsia="Times New Roman" w:hAnsi="Arial" w:cs="Arial"/>
          <w:bCs/>
          <w:sz w:val="20"/>
          <w:szCs w:val="20"/>
        </w:rPr>
        <w:t xml:space="preserve"> chủ chốt</w:t>
      </w:r>
      <w:r w:rsidRPr="007727F4">
        <w:rPr>
          <w:rFonts w:ascii="Arial" w:eastAsia="Times New Roman" w:hAnsi="Arial" w:cs="Arial"/>
          <w:bCs/>
          <w:sz w:val="20"/>
          <w:szCs w:val="20"/>
        </w:rPr>
        <w:t xml:space="preserve">, </w:t>
      </w:r>
      <w:r w:rsidR="00076A51" w:rsidRPr="007727F4">
        <w:rPr>
          <w:rFonts w:ascii="Arial" w:eastAsia="Times New Roman" w:hAnsi="Arial" w:cs="Arial"/>
          <w:bCs/>
          <w:sz w:val="20"/>
          <w:szCs w:val="20"/>
        </w:rPr>
        <w:t>nhất</w:t>
      </w:r>
      <w:r w:rsidR="00B728D6" w:rsidRPr="007727F4">
        <w:rPr>
          <w:rFonts w:ascii="Arial" w:eastAsia="Times New Roman" w:hAnsi="Arial" w:cs="Arial"/>
          <w:bCs/>
          <w:sz w:val="20"/>
          <w:szCs w:val="20"/>
        </w:rPr>
        <w:t xml:space="preserve"> là giá năng lượng và </w:t>
      </w:r>
      <w:proofErr w:type="gramStart"/>
      <w:r w:rsidR="00B728D6" w:rsidRPr="007727F4">
        <w:rPr>
          <w:rFonts w:ascii="Arial" w:eastAsia="Times New Roman" w:hAnsi="Arial" w:cs="Arial"/>
          <w:bCs/>
          <w:sz w:val="20"/>
          <w:szCs w:val="20"/>
        </w:rPr>
        <w:t>kim</w:t>
      </w:r>
      <w:proofErr w:type="gramEnd"/>
      <w:r w:rsidR="00B728D6" w:rsidRPr="007727F4">
        <w:rPr>
          <w:rFonts w:ascii="Arial" w:eastAsia="Times New Roman" w:hAnsi="Arial" w:cs="Arial"/>
          <w:bCs/>
          <w:sz w:val="20"/>
          <w:szCs w:val="20"/>
        </w:rPr>
        <w:t xml:space="preserve"> loại.</w:t>
      </w:r>
      <w:r w:rsidR="00076A51" w:rsidRPr="007727F4">
        <w:rPr>
          <w:rFonts w:ascii="Arial" w:eastAsia="Times New Roman" w:hAnsi="Arial" w:cs="Arial"/>
          <w:bCs/>
          <w:sz w:val="20"/>
          <w:szCs w:val="20"/>
        </w:rPr>
        <w:t xml:space="preserve"> Trong năm 2017, g</w:t>
      </w:r>
      <w:r w:rsidR="00076A51" w:rsidRPr="007727F4">
        <w:rPr>
          <w:rFonts w:ascii="Arial" w:hAnsi="Arial" w:cs="Arial"/>
          <w:sz w:val="20"/>
          <w:szCs w:val="20"/>
        </w:rPr>
        <w:t>iá dầu được dự báo tăng lên mức trung bình 55 USD/thùng, tăng 25</w:t>
      </w:r>
      <w:proofErr w:type="gramStart"/>
      <w:r w:rsidR="00076A51" w:rsidRPr="007727F4">
        <w:rPr>
          <w:rFonts w:ascii="Arial" w:hAnsi="Arial" w:cs="Arial"/>
          <w:sz w:val="20"/>
          <w:szCs w:val="20"/>
        </w:rPr>
        <w:t>,7</w:t>
      </w:r>
      <w:proofErr w:type="gramEnd"/>
      <w:r w:rsidR="00076A51" w:rsidRPr="007727F4">
        <w:rPr>
          <w:rFonts w:ascii="Arial" w:hAnsi="Arial" w:cs="Arial"/>
          <w:sz w:val="20"/>
          <w:szCs w:val="20"/>
        </w:rPr>
        <w:t>% so với năm 2016</w:t>
      </w:r>
      <w:r w:rsidR="00075B7E" w:rsidRPr="007727F4">
        <w:rPr>
          <w:rFonts w:ascii="Arial" w:hAnsi="Arial" w:cs="Arial"/>
          <w:sz w:val="20"/>
          <w:szCs w:val="20"/>
        </w:rPr>
        <w:t xml:space="preserve"> (</w:t>
      </w:r>
      <w:r w:rsidR="00076A51" w:rsidRPr="007727F4">
        <w:rPr>
          <w:rFonts w:ascii="Arial" w:hAnsi="Arial" w:cs="Arial"/>
          <w:sz w:val="20"/>
          <w:szCs w:val="20"/>
        </w:rPr>
        <w:t>không thay đổi so với dự báo đưa ra hồi tháng 10/2016</w:t>
      </w:r>
      <w:r w:rsidR="00075B7E" w:rsidRPr="007727F4">
        <w:rPr>
          <w:rFonts w:ascii="Arial" w:hAnsi="Arial" w:cs="Arial"/>
          <w:sz w:val="20"/>
          <w:szCs w:val="20"/>
        </w:rPr>
        <w:t>)</w:t>
      </w:r>
      <w:r w:rsidR="00076A51" w:rsidRPr="007727F4">
        <w:rPr>
          <w:rFonts w:ascii="Arial" w:hAnsi="Arial" w:cs="Arial"/>
          <w:sz w:val="20"/>
          <w:szCs w:val="20"/>
        </w:rPr>
        <w:t xml:space="preserve">, phản ánh những nỗ lực </w:t>
      </w:r>
      <w:r w:rsidR="00C00EC3" w:rsidRPr="007727F4">
        <w:rPr>
          <w:rFonts w:ascii="Arial" w:hAnsi="Arial" w:cs="Arial"/>
          <w:sz w:val="20"/>
          <w:szCs w:val="20"/>
        </w:rPr>
        <w:t xml:space="preserve">tái </w:t>
      </w:r>
      <w:r w:rsidR="00076A51" w:rsidRPr="007727F4">
        <w:rPr>
          <w:rFonts w:ascii="Arial" w:hAnsi="Arial" w:cs="Arial"/>
          <w:sz w:val="20"/>
          <w:szCs w:val="20"/>
        </w:rPr>
        <w:t>cân bằng cung - cầu trên thị trường, sau thỏa thuận giữ</w:t>
      </w:r>
      <w:r w:rsidR="00075B7E" w:rsidRPr="007727F4">
        <w:rPr>
          <w:rFonts w:ascii="Arial" w:hAnsi="Arial" w:cs="Arial"/>
          <w:sz w:val="20"/>
          <w:szCs w:val="20"/>
        </w:rPr>
        <w:t>a Tổ chứ</w:t>
      </w:r>
      <w:r w:rsidR="00E83175" w:rsidRPr="007727F4">
        <w:rPr>
          <w:rFonts w:ascii="Arial" w:hAnsi="Arial" w:cs="Arial"/>
          <w:sz w:val="20"/>
          <w:szCs w:val="20"/>
        </w:rPr>
        <w:t>c các n</w:t>
      </w:r>
      <w:r w:rsidR="00075B7E" w:rsidRPr="007727F4">
        <w:rPr>
          <w:rFonts w:ascii="Arial" w:hAnsi="Arial" w:cs="Arial"/>
          <w:sz w:val="20"/>
          <w:szCs w:val="20"/>
        </w:rPr>
        <w:t>ướ</w:t>
      </w:r>
      <w:r w:rsidR="00E83175" w:rsidRPr="007727F4">
        <w:rPr>
          <w:rFonts w:ascii="Arial" w:hAnsi="Arial" w:cs="Arial"/>
          <w:sz w:val="20"/>
          <w:szCs w:val="20"/>
        </w:rPr>
        <w:t>c x</w:t>
      </w:r>
      <w:r w:rsidR="00075B7E" w:rsidRPr="007727F4">
        <w:rPr>
          <w:rFonts w:ascii="Arial" w:hAnsi="Arial" w:cs="Arial"/>
          <w:sz w:val="20"/>
          <w:szCs w:val="20"/>
        </w:rPr>
        <w:t>uất khẩu dầu mỏ (</w:t>
      </w:r>
      <w:r w:rsidR="00076A51" w:rsidRPr="007727F4">
        <w:rPr>
          <w:rFonts w:ascii="Arial" w:hAnsi="Arial" w:cs="Arial"/>
          <w:sz w:val="20"/>
          <w:szCs w:val="20"/>
        </w:rPr>
        <w:t>OPEC</w:t>
      </w:r>
      <w:r w:rsidR="00075B7E" w:rsidRPr="007727F4">
        <w:rPr>
          <w:rFonts w:ascii="Arial" w:hAnsi="Arial" w:cs="Arial"/>
          <w:sz w:val="20"/>
          <w:szCs w:val="20"/>
        </w:rPr>
        <w:t>) với</w:t>
      </w:r>
      <w:r w:rsidR="00076A51" w:rsidRPr="007727F4">
        <w:rPr>
          <w:rFonts w:ascii="Arial" w:hAnsi="Arial" w:cs="Arial"/>
          <w:sz w:val="20"/>
          <w:szCs w:val="20"/>
        </w:rPr>
        <w:t xml:space="preserve"> </w:t>
      </w:r>
      <w:r w:rsidR="00075B7E" w:rsidRPr="007727F4">
        <w:rPr>
          <w:rFonts w:ascii="Arial" w:hAnsi="Arial" w:cs="Arial"/>
          <w:sz w:val="20"/>
          <w:szCs w:val="20"/>
        </w:rPr>
        <w:t xml:space="preserve">các nước </w:t>
      </w:r>
      <w:r w:rsidR="00BC4008" w:rsidRPr="007727F4">
        <w:rPr>
          <w:rFonts w:ascii="Arial" w:hAnsi="Arial" w:cs="Arial"/>
          <w:sz w:val="20"/>
          <w:szCs w:val="20"/>
        </w:rPr>
        <w:t xml:space="preserve">bên </w:t>
      </w:r>
      <w:r w:rsidR="00076A51" w:rsidRPr="007727F4">
        <w:rPr>
          <w:rFonts w:ascii="Arial" w:hAnsi="Arial" w:cs="Arial"/>
          <w:sz w:val="20"/>
          <w:szCs w:val="20"/>
        </w:rPr>
        <w:t>ngoài OPEC về cắt giảm sản lượng dầu trên toàn cầu.</w:t>
      </w:r>
      <w:r w:rsidR="00B467A2" w:rsidRPr="007727F4">
        <w:rPr>
          <w:rFonts w:ascii="Arial" w:hAnsi="Arial" w:cs="Arial"/>
          <w:sz w:val="20"/>
          <w:szCs w:val="20"/>
        </w:rPr>
        <w:t xml:space="preserve"> G</w:t>
      </w:r>
      <w:r w:rsidR="00076A51" w:rsidRPr="007727F4">
        <w:rPr>
          <w:rFonts w:ascii="Arial" w:hAnsi="Arial" w:cs="Arial"/>
          <w:sz w:val="20"/>
          <w:szCs w:val="20"/>
        </w:rPr>
        <w:t xml:space="preserve">iá </w:t>
      </w:r>
      <w:proofErr w:type="gramStart"/>
      <w:r w:rsidR="00076A51" w:rsidRPr="007727F4">
        <w:rPr>
          <w:rFonts w:ascii="Arial" w:hAnsi="Arial" w:cs="Arial"/>
          <w:sz w:val="20"/>
          <w:szCs w:val="20"/>
        </w:rPr>
        <w:t>kim</w:t>
      </w:r>
      <w:proofErr w:type="gramEnd"/>
      <w:r w:rsidR="00076A51" w:rsidRPr="007727F4">
        <w:rPr>
          <w:rFonts w:ascii="Arial" w:hAnsi="Arial" w:cs="Arial"/>
          <w:sz w:val="20"/>
          <w:szCs w:val="20"/>
        </w:rPr>
        <w:t xml:space="preserve"> loại được kỳ vọng tăng 16%</w:t>
      </w:r>
      <w:r w:rsidR="00B467A2" w:rsidRPr="007727F4">
        <w:rPr>
          <w:rFonts w:ascii="Arial" w:hAnsi="Arial" w:cs="Arial"/>
          <w:sz w:val="20"/>
          <w:szCs w:val="20"/>
        </w:rPr>
        <w:t xml:space="preserve"> trong năm nay</w:t>
      </w:r>
      <w:r w:rsidR="00076A51" w:rsidRPr="007727F4">
        <w:rPr>
          <w:rFonts w:ascii="Arial" w:hAnsi="Arial" w:cs="Arial"/>
          <w:sz w:val="20"/>
          <w:szCs w:val="20"/>
        </w:rPr>
        <w:t xml:space="preserve">, do nhu cầu tăng cao tại Trung Quốc và thiếu hụt nguồn cung </w:t>
      </w:r>
      <w:r w:rsidR="00B467A2" w:rsidRPr="007727F4">
        <w:rPr>
          <w:rFonts w:ascii="Arial" w:hAnsi="Arial" w:cs="Arial"/>
          <w:sz w:val="20"/>
          <w:szCs w:val="20"/>
        </w:rPr>
        <w:t>tại các nước xuất khẩ</w:t>
      </w:r>
      <w:r w:rsidR="00E83175" w:rsidRPr="007727F4">
        <w:rPr>
          <w:rFonts w:ascii="Arial" w:hAnsi="Arial" w:cs="Arial"/>
          <w:sz w:val="20"/>
          <w:szCs w:val="20"/>
        </w:rPr>
        <w:t>u hàng đầu trên thế giới</w:t>
      </w:r>
      <w:r w:rsidR="00076A51" w:rsidRPr="007727F4">
        <w:rPr>
          <w:rFonts w:ascii="Arial" w:hAnsi="Arial" w:cs="Arial"/>
          <w:sz w:val="20"/>
          <w:szCs w:val="20"/>
        </w:rPr>
        <w:t xml:space="preserve">. </w:t>
      </w:r>
      <w:r w:rsidR="00075B7E" w:rsidRPr="007727F4">
        <w:rPr>
          <w:rFonts w:ascii="Arial" w:hAnsi="Arial" w:cs="Arial"/>
          <w:sz w:val="20"/>
          <w:szCs w:val="20"/>
        </w:rPr>
        <w:t>Sau khi tăng 1% trong quý I/2017</w:t>
      </w:r>
      <w:r w:rsidR="00076A51" w:rsidRPr="007727F4">
        <w:rPr>
          <w:rFonts w:ascii="Arial" w:hAnsi="Arial" w:cs="Arial"/>
          <w:sz w:val="20"/>
          <w:szCs w:val="20"/>
        </w:rPr>
        <w:t>, giá nông sản dự kiến sẽ tiếp tục ổn đị</w:t>
      </w:r>
      <w:r w:rsidR="00075B7E" w:rsidRPr="007727F4">
        <w:rPr>
          <w:rFonts w:ascii="Arial" w:hAnsi="Arial" w:cs="Arial"/>
          <w:sz w:val="20"/>
          <w:szCs w:val="20"/>
        </w:rPr>
        <w:t>nh trong năm nay</w:t>
      </w:r>
      <w:r w:rsidR="00076A51" w:rsidRPr="007727F4">
        <w:rPr>
          <w:rFonts w:ascii="Arial" w:hAnsi="Arial" w:cs="Arial"/>
          <w:sz w:val="20"/>
          <w:szCs w:val="20"/>
        </w:rPr>
        <w:t>, trong đó mức tăng khiêm tốn của giá dầ</w:t>
      </w:r>
      <w:r w:rsidR="006D511A">
        <w:rPr>
          <w:rFonts w:ascii="Arial" w:hAnsi="Arial" w:cs="Arial"/>
          <w:sz w:val="20"/>
          <w:szCs w:val="20"/>
        </w:rPr>
        <w:t xml:space="preserve">u và </w:t>
      </w:r>
      <w:proofErr w:type="gramStart"/>
      <w:r w:rsidR="006D511A">
        <w:rPr>
          <w:rFonts w:ascii="Arial" w:hAnsi="Arial" w:cs="Arial"/>
          <w:sz w:val="20"/>
          <w:szCs w:val="20"/>
        </w:rPr>
        <w:t>kim</w:t>
      </w:r>
      <w:proofErr w:type="gramEnd"/>
      <w:r w:rsidR="006D511A">
        <w:rPr>
          <w:rFonts w:ascii="Arial" w:hAnsi="Arial" w:cs="Arial"/>
          <w:sz w:val="20"/>
          <w:szCs w:val="20"/>
        </w:rPr>
        <w:t xml:space="preserve"> </w:t>
      </w:r>
      <w:r w:rsidR="00076A51" w:rsidRPr="007727F4">
        <w:rPr>
          <w:rFonts w:ascii="Arial" w:hAnsi="Arial" w:cs="Arial"/>
          <w:sz w:val="20"/>
          <w:szCs w:val="20"/>
        </w:rPr>
        <w:t>loại sẽ bù đắp cho sự suy giảm của giá ngũ cốc và đồ uống.</w:t>
      </w:r>
    </w:p>
    <w:p w:rsidR="00C00EC3" w:rsidRPr="007727F4" w:rsidRDefault="00C00EC3" w:rsidP="007727F4">
      <w:pPr>
        <w:shd w:val="clear" w:color="auto" w:fill="FFFFFF"/>
        <w:spacing w:after="60" w:line="240" w:lineRule="auto"/>
        <w:jc w:val="center"/>
        <w:rPr>
          <w:rFonts w:ascii="Arial" w:eastAsia="Times New Roman" w:hAnsi="Arial" w:cs="Arial"/>
          <w:b/>
          <w:i/>
          <w:sz w:val="20"/>
          <w:szCs w:val="20"/>
        </w:rPr>
      </w:pPr>
      <w:r w:rsidRPr="007727F4">
        <w:rPr>
          <w:rFonts w:ascii="Arial" w:eastAsia="Times New Roman" w:hAnsi="Arial" w:cs="Arial"/>
          <w:b/>
          <w:i/>
          <w:sz w:val="20"/>
          <w:szCs w:val="20"/>
        </w:rPr>
        <w:t>Diễn biến CPI hàng năm của các mặt hàng hóa chủ chốt (%)</w:t>
      </w:r>
    </w:p>
    <w:tbl>
      <w:tblPr>
        <w:tblStyle w:val="TableGrid"/>
        <w:tblW w:w="0" w:type="auto"/>
        <w:tblInd w:w="108" w:type="dxa"/>
        <w:tblLook w:val="04A0" w:firstRow="1" w:lastRow="0" w:firstColumn="1" w:lastColumn="0" w:noHBand="0" w:noVBand="1"/>
      </w:tblPr>
      <w:tblGrid>
        <w:gridCol w:w="3060"/>
        <w:gridCol w:w="720"/>
        <w:gridCol w:w="810"/>
        <w:gridCol w:w="810"/>
        <w:gridCol w:w="810"/>
        <w:gridCol w:w="810"/>
        <w:gridCol w:w="810"/>
        <w:gridCol w:w="810"/>
        <w:gridCol w:w="810"/>
      </w:tblGrid>
      <w:tr w:rsidR="00C00EC3" w:rsidRPr="007727F4" w:rsidTr="000B1078">
        <w:tc>
          <w:tcPr>
            <w:tcW w:w="3060" w:type="dxa"/>
          </w:tcPr>
          <w:p w:rsidR="00C00EC3" w:rsidRPr="007727F4" w:rsidRDefault="00C00EC3" w:rsidP="007727F4">
            <w:pPr>
              <w:spacing w:after="60"/>
              <w:jc w:val="center"/>
              <w:rPr>
                <w:rFonts w:ascii="Arial" w:eastAsia="Times New Roman" w:hAnsi="Arial" w:cs="Arial"/>
                <w:b/>
                <w:sz w:val="20"/>
                <w:szCs w:val="20"/>
              </w:rPr>
            </w:pPr>
          </w:p>
        </w:tc>
        <w:tc>
          <w:tcPr>
            <w:tcW w:w="3150" w:type="dxa"/>
            <w:gridSpan w:val="4"/>
          </w:tcPr>
          <w:p w:rsidR="00C00EC3" w:rsidRPr="007727F4" w:rsidRDefault="00C00EC3" w:rsidP="007727F4">
            <w:pPr>
              <w:spacing w:after="60"/>
              <w:jc w:val="center"/>
              <w:rPr>
                <w:rFonts w:ascii="Arial" w:eastAsia="Times New Roman" w:hAnsi="Arial" w:cs="Arial"/>
                <w:b/>
                <w:sz w:val="20"/>
                <w:szCs w:val="20"/>
              </w:rPr>
            </w:pPr>
            <w:r w:rsidRPr="007727F4">
              <w:rPr>
                <w:rFonts w:ascii="Arial" w:eastAsia="Times New Roman" w:hAnsi="Arial" w:cs="Arial"/>
                <w:b/>
                <w:sz w:val="20"/>
                <w:szCs w:val="20"/>
              </w:rPr>
              <w:t>Tính theo giá cố định năm 2010</w:t>
            </w:r>
          </w:p>
        </w:tc>
        <w:tc>
          <w:tcPr>
            <w:tcW w:w="1620" w:type="dxa"/>
            <w:gridSpan w:val="2"/>
          </w:tcPr>
          <w:p w:rsidR="00C00EC3" w:rsidRPr="007727F4" w:rsidRDefault="00C00EC3" w:rsidP="007727F4">
            <w:pPr>
              <w:spacing w:after="60"/>
              <w:jc w:val="center"/>
              <w:rPr>
                <w:rFonts w:ascii="Arial" w:eastAsia="Times New Roman" w:hAnsi="Arial" w:cs="Arial"/>
                <w:b/>
                <w:sz w:val="20"/>
                <w:szCs w:val="20"/>
              </w:rPr>
            </w:pPr>
            <w:r w:rsidRPr="007727F4">
              <w:rPr>
                <w:rFonts w:ascii="Arial" w:eastAsia="Times New Roman" w:hAnsi="Arial" w:cs="Arial"/>
                <w:b/>
                <w:sz w:val="20"/>
                <w:szCs w:val="20"/>
              </w:rPr>
              <w:t>CPI hiện hành</w:t>
            </w:r>
          </w:p>
        </w:tc>
        <w:tc>
          <w:tcPr>
            <w:tcW w:w="1620" w:type="dxa"/>
            <w:gridSpan w:val="2"/>
          </w:tcPr>
          <w:p w:rsidR="00C00EC3" w:rsidRPr="007727F4" w:rsidRDefault="00C00EC3" w:rsidP="007727F4">
            <w:pPr>
              <w:spacing w:after="60"/>
              <w:jc w:val="center"/>
              <w:rPr>
                <w:rFonts w:ascii="Arial" w:eastAsia="Times New Roman" w:hAnsi="Arial" w:cs="Arial"/>
                <w:b/>
                <w:sz w:val="20"/>
                <w:szCs w:val="20"/>
              </w:rPr>
            </w:pPr>
            <w:r w:rsidRPr="007727F4">
              <w:rPr>
                <w:rFonts w:ascii="Arial" w:eastAsia="Times New Roman" w:hAnsi="Arial" w:cs="Arial"/>
                <w:b/>
                <w:sz w:val="20"/>
                <w:szCs w:val="20"/>
              </w:rPr>
              <w:t>Thay đổi *</w:t>
            </w:r>
          </w:p>
        </w:tc>
      </w:tr>
      <w:tr w:rsidR="00C00EC3" w:rsidRPr="007727F4" w:rsidTr="000B1078">
        <w:tc>
          <w:tcPr>
            <w:tcW w:w="3060" w:type="dxa"/>
          </w:tcPr>
          <w:p w:rsidR="00C00EC3" w:rsidRPr="007727F4" w:rsidRDefault="00C00EC3" w:rsidP="007727F4">
            <w:pPr>
              <w:spacing w:after="60"/>
              <w:jc w:val="center"/>
              <w:rPr>
                <w:rFonts w:ascii="Arial" w:eastAsia="Times New Roman" w:hAnsi="Arial" w:cs="Arial"/>
                <w:sz w:val="20"/>
                <w:szCs w:val="20"/>
              </w:rPr>
            </w:pPr>
          </w:p>
        </w:tc>
        <w:tc>
          <w:tcPr>
            <w:tcW w:w="720" w:type="dxa"/>
          </w:tcPr>
          <w:p w:rsidR="00C00EC3" w:rsidRPr="007727F4" w:rsidRDefault="00C00EC3" w:rsidP="007727F4">
            <w:pPr>
              <w:spacing w:after="60"/>
              <w:jc w:val="center"/>
              <w:rPr>
                <w:rFonts w:ascii="Arial" w:eastAsia="Times New Roman" w:hAnsi="Arial" w:cs="Arial"/>
                <w:b/>
                <w:sz w:val="20"/>
                <w:szCs w:val="20"/>
              </w:rPr>
            </w:pPr>
            <w:r w:rsidRPr="007727F4">
              <w:rPr>
                <w:rFonts w:ascii="Arial" w:eastAsia="Times New Roman" w:hAnsi="Arial" w:cs="Arial"/>
                <w:b/>
                <w:sz w:val="20"/>
                <w:szCs w:val="20"/>
              </w:rPr>
              <w:t>2015</w:t>
            </w:r>
          </w:p>
        </w:tc>
        <w:tc>
          <w:tcPr>
            <w:tcW w:w="810" w:type="dxa"/>
          </w:tcPr>
          <w:p w:rsidR="00C00EC3" w:rsidRPr="007727F4" w:rsidRDefault="00C00EC3" w:rsidP="007727F4">
            <w:pPr>
              <w:spacing w:after="60"/>
              <w:jc w:val="center"/>
              <w:rPr>
                <w:rFonts w:ascii="Arial" w:eastAsia="Times New Roman" w:hAnsi="Arial" w:cs="Arial"/>
                <w:b/>
                <w:sz w:val="20"/>
                <w:szCs w:val="20"/>
              </w:rPr>
            </w:pPr>
            <w:r w:rsidRPr="007727F4">
              <w:rPr>
                <w:rFonts w:ascii="Arial" w:eastAsia="Times New Roman" w:hAnsi="Arial" w:cs="Arial"/>
                <w:b/>
                <w:sz w:val="20"/>
                <w:szCs w:val="20"/>
              </w:rPr>
              <w:t>2016</w:t>
            </w:r>
          </w:p>
        </w:tc>
        <w:tc>
          <w:tcPr>
            <w:tcW w:w="810" w:type="dxa"/>
          </w:tcPr>
          <w:p w:rsidR="00C00EC3" w:rsidRPr="007727F4" w:rsidRDefault="00C00EC3" w:rsidP="007727F4">
            <w:pPr>
              <w:spacing w:after="60"/>
              <w:jc w:val="center"/>
              <w:rPr>
                <w:rFonts w:ascii="Arial" w:eastAsia="Times New Roman" w:hAnsi="Arial" w:cs="Arial"/>
                <w:b/>
                <w:sz w:val="20"/>
                <w:szCs w:val="20"/>
              </w:rPr>
            </w:pPr>
            <w:r w:rsidRPr="007727F4">
              <w:rPr>
                <w:rFonts w:ascii="Arial" w:eastAsia="Times New Roman" w:hAnsi="Arial" w:cs="Arial"/>
                <w:b/>
                <w:sz w:val="20"/>
                <w:szCs w:val="20"/>
              </w:rPr>
              <w:t>2017</w:t>
            </w:r>
          </w:p>
        </w:tc>
        <w:tc>
          <w:tcPr>
            <w:tcW w:w="810" w:type="dxa"/>
          </w:tcPr>
          <w:p w:rsidR="00C00EC3" w:rsidRPr="007727F4" w:rsidRDefault="00C00EC3" w:rsidP="007727F4">
            <w:pPr>
              <w:spacing w:after="60"/>
              <w:jc w:val="center"/>
              <w:rPr>
                <w:rFonts w:ascii="Arial" w:eastAsia="Times New Roman" w:hAnsi="Arial" w:cs="Arial"/>
                <w:b/>
                <w:sz w:val="20"/>
                <w:szCs w:val="20"/>
              </w:rPr>
            </w:pPr>
            <w:r w:rsidRPr="007727F4">
              <w:rPr>
                <w:rFonts w:ascii="Arial" w:eastAsia="Times New Roman" w:hAnsi="Arial" w:cs="Arial"/>
                <w:b/>
                <w:sz w:val="20"/>
                <w:szCs w:val="20"/>
              </w:rPr>
              <w:t>2018</w:t>
            </w:r>
          </w:p>
        </w:tc>
        <w:tc>
          <w:tcPr>
            <w:tcW w:w="810" w:type="dxa"/>
          </w:tcPr>
          <w:p w:rsidR="00C00EC3" w:rsidRPr="007727F4" w:rsidRDefault="00C00EC3" w:rsidP="007727F4">
            <w:pPr>
              <w:spacing w:after="60"/>
              <w:jc w:val="center"/>
              <w:rPr>
                <w:rFonts w:ascii="Arial" w:eastAsia="Times New Roman" w:hAnsi="Arial" w:cs="Arial"/>
                <w:b/>
                <w:sz w:val="20"/>
                <w:szCs w:val="20"/>
              </w:rPr>
            </w:pPr>
            <w:r w:rsidRPr="007727F4">
              <w:rPr>
                <w:rFonts w:ascii="Arial" w:eastAsia="Times New Roman" w:hAnsi="Arial" w:cs="Arial"/>
                <w:b/>
                <w:sz w:val="20"/>
                <w:szCs w:val="20"/>
              </w:rPr>
              <w:t>2017</w:t>
            </w:r>
          </w:p>
        </w:tc>
        <w:tc>
          <w:tcPr>
            <w:tcW w:w="810" w:type="dxa"/>
          </w:tcPr>
          <w:p w:rsidR="00C00EC3" w:rsidRPr="007727F4" w:rsidRDefault="00C00EC3" w:rsidP="007727F4">
            <w:pPr>
              <w:spacing w:after="60"/>
              <w:jc w:val="center"/>
              <w:rPr>
                <w:rFonts w:ascii="Arial" w:eastAsia="Times New Roman" w:hAnsi="Arial" w:cs="Arial"/>
                <w:b/>
                <w:sz w:val="20"/>
                <w:szCs w:val="20"/>
              </w:rPr>
            </w:pPr>
            <w:r w:rsidRPr="007727F4">
              <w:rPr>
                <w:rFonts w:ascii="Arial" w:eastAsia="Times New Roman" w:hAnsi="Arial" w:cs="Arial"/>
                <w:b/>
                <w:sz w:val="20"/>
                <w:szCs w:val="20"/>
              </w:rPr>
              <w:t>2018</w:t>
            </w:r>
          </w:p>
        </w:tc>
        <w:tc>
          <w:tcPr>
            <w:tcW w:w="810" w:type="dxa"/>
          </w:tcPr>
          <w:p w:rsidR="00C00EC3" w:rsidRPr="007727F4" w:rsidRDefault="00C00EC3" w:rsidP="007727F4">
            <w:pPr>
              <w:spacing w:after="60"/>
              <w:jc w:val="center"/>
              <w:rPr>
                <w:rFonts w:ascii="Arial" w:eastAsia="Times New Roman" w:hAnsi="Arial" w:cs="Arial"/>
                <w:b/>
                <w:sz w:val="20"/>
                <w:szCs w:val="20"/>
              </w:rPr>
            </w:pPr>
            <w:r w:rsidRPr="007727F4">
              <w:rPr>
                <w:rFonts w:ascii="Arial" w:eastAsia="Times New Roman" w:hAnsi="Arial" w:cs="Arial"/>
                <w:b/>
                <w:sz w:val="20"/>
                <w:szCs w:val="20"/>
              </w:rPr>
              <w:t>2017</w:t>
            </w:r>
          </w:p>
        </w:tc>
        <w:tc>
          <w:tcPr>
            <w:tcW w:w="810" w:type="dxa"/>
          </w:tcPr>
          <w:p w:rsidR="00C00EC3" w:rsidRPr="007727F4" w:rsidRDefault="00C00EC3" w:rsidP="007727F4">
            <w:pPr>
              <w:spacing w:after="60"/>
              <w:jc w:val="center"/>
              <w:rPr>
                <w:rFonts w:ascii="Arial" w:eastAsia="Times New Roman" w:hAnsi="Arial" w:cs="Arial"/>
                <w:b/>
                <w:sz w:val="20"/>
                <w:szCs w:val="20"/>
              </w:rPr>
            </w:pPr>
            <w:r w:rsidRPr="007727F4">
              <w:rPr>
                <w:rFonts w:ascii="Arial" w:eastAsia="Times New Roman" w:hAnsi="Arial" w:cs="Arial"/>
                <w:b/>
                <w:sz w:val="20"/>
                <w:szCs w:val="20"/>
              </w:rPr>
              <w:t>2018</w:t>
            </w:r>
          </w:p>
        </w:tc>
      </w:tr>
      <w:tr w:rsidR="00C00EC3" w:rsidRPr="007727F4" w:rsidTr="000B1078">
        <w:tc>
          <w:tcPr>
            <w:tcW w:w="3060" w:type="dxa"/>
          </w:tcPr>
          <w:p w:rsidR="00C00EC3" w:rsidRPr="007727F4" w:rsidRDefault="00C00EC3" w:rsidP="007727F4">
            <w:pPr>
              <w:rPr>
                <w:rFonts w:ascii="Arial" w:eastAsia="Times New Roman" w:hAnsi="Arial" w:cs="Arial"/>
                <w:b/>
                <w:i/>
                <w:sz w:val="20"/>
                <w:szCs w:val="20"/>
              </w:rPr>
            </w:pPr>
            <w:r w:rsidRPr="007727F4">
              <w:rPr>
                <w:rFonts w:ascii="Arial" w:eastAsia="Times New Roman" w:hAnsi="Arial" w:cs="Arial"/>
                <w:b/>
                <w:i/>
                <w:sz w:val="20"/>
                <w:szCs w:val="20"/>
              </w:rPr>
              <w:t>Các mặt hàng năng lượng</w:t>
            </w:r>
          </w:p>
        </w:tc>
        <w:tc>
          <w:tcPr>
            <w:tcW w:w="720" w:type="dxa"/>
          </w:tcPr>
          <w:p w:rsidR="00C00EC3" w:rsidRPr="007727F4" w:rsidRDefault="00C00EC3" w:rsidP="007727F4">
            <w:pPr>
              <w:jc w:val="center"/>
              <w:rPr>
                <w:rFonts w:ascii="Arial" w:eastAsia="Times New Roman" w:hAnsi="Arial" w:cs="Arial"/>
                <w:b/>
                <w:i/>
                <w:sz w:val="20"/>
                <w:szCs w:val="20"/>
              </w:rPr>
            </w:pPr>
            <w:r w:rsidRPr="007727F4">
              <w:rPr>
                <w:rFonts w:ascii="Arial" w:eastAsia="Times New Roman" w:hAnsi="Arial" w:cs="Arial"/>
                <w:b/>
                <w:i/>
                <w:sz w:val="20"/>
                <w:szCs w:val="20"/>
              </w:rPr>
              <w:t>65</w:t>
            </w:r>
          </w:p>
        </w:tc>
        <w:tc>
          <w:tcPr>
            <w:tcW w:w="810" w:type="dxa"/>
          </w:tcPr>
          <w:p w:rsidR="00C00EC3" w:rsidRPr="007727F4" w:rsidRDefault="00C00EC3" w:rsidP="007727F4">
            <w:pPr>
              <w:jc w:val="center"/>
              <w:rPr>
                <w:rFonts w:ascii="Arial" w:eastAsia="Times New Roman" w:hAnsi="Arial" w:cs="Arial"/>
                <w:b/>
                <w:i/>
                <w:sz w:val="20"/>
                <w:szCs w:val="20"/>
              </w:rPr>
            </w:pPr>
            <w:r w:rsidRPr="007727F4">
              <w:rPr>
                <w:rFonts w:ascii="Arial" w:eastAsia="Times New Roman" w:hAnsi="Arial" w:cs="Arial"/>
                <w:b/>
                <w:i/>
                <w:sz w:val="20"/>
                <w:szCs w:val="20"/>
              </w:rPr>
              <w:t>55</w:t>
            </w:r>
          </w:p>
        </w:tc>
        <w:tc>
          <w:tcPr>
            <w:tcW w:w="810" w:type="dxa"/>
          </w:tcPr>
          <w:p w:rsidR="00C00EC3" w:rsidRPr="007727F4" w:rsidRDefault="00C00EC3" w:rsidP="007727F4">
            <w:pPr>
              <w:jc w:val="center"/>
              <w:rPr>
                <w:rFonts w:ascii="Arial" w:eastAsia="Times New Roman" w:hAnsi="Arial" w:cs="Arial"/>
                <w:b/>
                <w:i/>
                <w:sz w:val="20"/>
                <w:szCs w:val="20"/>
              </w:rPr>
            </w:pPr>
            <w:r w:rsidRPr="007727F4">
              <w:rPr>
                <w:rFonts w:ascii="Arial" w:eastAsia="Times New Roman" w:hAnsi="Arial" w:cs="Arial"/>
                <w:b/>
                <w:i/>
                <w:sz w:val="20"/>
                <w:szCs w:val="20"/>
              </w:rPr>
              <w:t>69</w:t>
            </w:r>
          </w:p>
        </w:tc>
        <w:tc>
          <w:tcPr>
            <w:tcW w:w="810" w:type="dxa"/>
          </w:tcPr>
          <w:p w:rsidR="00C00EC3" w:rsidRPr="007727F4" w:rsidRDefault="00C00EC3" w:rsidP="007727F4">
            <w:pPr>
              <w:jc w:val="center"/>
              <w:rPr>
                <w:rFonts w:ascii="Arial" w:eastAsia="Times New Roman" w:hAnsi="Arial" w:cs="Arial"/>
                <w:b/>
                <w:i/>
                <w:sz w:val="20"/>
                <w:szCs w:val="20"/>
              </w:rPr>
            </w:pPr>
            <w:r w:rsidRPr="007727F4">
              <w:rPr>
                <w:rFonts w:ascii="Arial" w:eastAsia="Times New Roman" w:hAnsi="Arial" w:cs="Arial"/>
                <w:b/>
                <w:i/>
                <w:sz w:val="20"/>
                <w:szCs w:val="20"/>
              </w:rPr>
              <w:t>75</w:t>
            </w:r>
          </w:p>
        </w:tc>
        <w:tc>
          <w:tcPr>
            <w:tcW w:w="810" w:type="dxa"/>
          </w:tcPr>
          <w:p w:rsidR="00C00EC3" w:rsidRPr="007727F4" w:rsidRDefault="00C00EC3" w:rsidP="007727F4">
            <w:pPr>
              <w:jc w:val="center"/>
              <w:rPr>
                <w:rFonts w:ascii="Arial" w:eastAsia="Times New Roman" w:hAnsi="Arial" w:cs="Arial"/>
                <w:b/>
                <w:i/>
                <w:sz w:val="20"/>
                <w:szCs w:val="20"/>
              </w:rPr>
            </w:pPr>
            <w:r w:rsidRPr="007727F4">
              <w:rPr>
                <w:rFonts w:ascii="Arial" w:eastAsia="Times New Roman" w:hAnsi="Arial" w:cs="Arial"/>
                <w:b/>
                <w:i/>
                <w:sz w:val="20"/>
                <w:szCs w:val="20"/>
              </w:rPr>
              <w:t>25,7</w:t>
            </w:r>
          </w:p>
        </w:tc>
        <w:tc>
          <w:tcPr>
            <w:tcW w:w="810" w:type="dxa"/>
          </w:tcPr>
          <w:p w:rsidR="00C00EC3" w:rsidRPr="007727F4" w:rsidRDefault="00C00EC3" w:rsidP="007727F4">
            <w:pPr>
              <w:jc w:val="center"/>
              <w:rPr>
                <w:rFonts w:ascii="Arial" w:eastAsia="Times New Roman" w:hAnsi="Arial" w:cs="Arial"/>
                <w:b/>
                <w:i/>
                <w:sz w:val="20"/>
                <w:szCs w:val="20"/>
              </w:rPr>
            </w:pPr>
            <w:r w:rsidRPr="007727F4">
              <w:rPr>
                <w:rFonts w:ascii="Arial" w:eastAsia="Times New Roman" w:hAnsi="Arial" w:cs="Arial"/>
                <w:b/>
                <w:i/>
                <w:sz w:val="20"/>
                <w:szCs w:val="20"/>
              </w:rPr>
              <w:t>8,2</w:t>
            </w:r>
          </w:p>
        </w:tc>
        <w:tc>
          <w:tcPr>
            <w:tcW w:w="810" w:type="dxa"/>
          </w:tcPr>
          <w:p w:rsidR="00C00EC3" w:rsidRPr="007727F4" w:rsidRDefault="00C00EC3" w:rsidP="007727F4">
            <w:pPr>
              <w:jc w:val="center"/>
              <w:rPr>
                <w:rFonts w:ascii="Arial" w:eastAsia="Times New Roman" w:hAnsi="Arial" w:cs="Arial"/>
                <w:b/>
                <w:i/>
                <w:sz w:val="20"/>
                <w:szCs w:val="20"/>
              </w:rPr>
            </w:pPr>
            <w:r w:rsidRPr="007727F4">
              <w:rPr>
                <w:rFonts w:ascii="Arial" w:eastAsia="Times New Roman" w:hAnsi="Arial" w:cs="Arial"/>
                <w:b/>
                <w:i/>
                <w:sz w:val="20"/>
                <w:szCs w:val="20"/>
              </w:rPr>
              <w:t>0,0</w:t>
            </w:r>
          </w:p>
        </w:tc>
        <w:tc>
          <w:tcPr>
            <w:tcW w:w="810" w:type="dxa"/>
          </w:tcPr>
          <w:p w:rsidR="00C00EC3" w:rsidRPr="007727F4" w:rsidRDefault="00C00EC3" w:rsidP="007727F4">
            <w:pPr>
              <w:jc w:val="center"/>
              <w:rPr>
                <w:rFonts w:ascii="Arial" w:eastAsia="Times New Roman" w:hAnsi="Arial" w:cs="Arial"/>
                <w:b/>
                <w:i/>
                <w:sz w:val="20"/>
                <w:szCs w:val="20"/>
              </w:rPr>
            </w:pPr>
            <w:r w:rsidRPr="007727F4">
              <w:rPr>
                <w:rFonts w:ascii="Arial" w:eastAsia="Times New Roman" w:hAnsi="Arial" w:cs="Arial"/>
                <w:b/>
                <w:i/>
                <w:sz w:val="20"/>
                <w:szCs w:val="20"/>
              </w:rPr>
              <w:t>0,0</w:t>
            </w:r>
          </w:p>
        </w:tc>
      </w:tr>
      <w:tr w:rsidR="00C00EC3" w:rsidRPr="007727F4" w:rsidTr="000B1078">
        <w:tc>
          <w:tcPr>
            <w:tcW w:w="3060" w:type="dxa"/>
          </w:tcPr>
          <w:p w:rsidR="00C00EC3" w:rsidRPr="007727F4" w:rsidRDefault="00C00EC3" w:rsidP="007727F4">
            <w:pPr>
              <w:rPr>
                <w:rFonts w:ascii="Arial" w:eastAsia="Times New Roman" w:hAnsi="Arial" w:cs="Arial"/>
                <w:b/>
                <w:i/>
                <w:sz w:val="20"/>
                <w:szCs w:val="20"/>
              </w:rPr>
            </w:pPr>
            <w:r w:rsidRPr="007727F4">
              <w:rPr>
                <w:rFonts w:ascii="Arial" w:eastAsia="Times New Roman" w:hAnsi="Arial" w:cs="Arial"/>
                <w:b/>
                <w:i/>
                <w:sz w:val="20"/>
                <w:szCs w:val="20"/>
              </w:rPr>
              <w:t>Các mặt hàng phi năng lượng</w:t>
            </w:r>
          </w:p>
        </w:tc>
        <w:tc>
          <w:tcPr>
            <w:tcW w:w="720" w:type="dxa"/>
          </w:tcPr>
          <w:p w:rsidR="00C00EC3" w:rsidRPr="007727F4" w:rsidRDefault="00C00EC3" w:rsidP="007727F4">
            <w:pPr>
              <w:jc w:val="center"/>
              <w:rPr>
                <w:rFonts w:ascii="Arial" w:eastAsia="Times New Roman" w:hAnsi="Arial" w:cs="Arial"/>
                <w:b/>
                <w:i/>
                <w:sz w:val="20"/>
                <w:szCs w:val="20"/>
              </w:rPr>
            </w:pPr>
            <w:r w:rsidRPr="007727F4">
              <w:rPr>
                <w:rFonts w:ascii="Arial" w:eastAsia="Times New Roman" w:hAnsi="Arial" w:cs="Arial"/>
                <w:b/>
                <w:i/>
                <w:sz w:val="20"/>
                <w:szCs w:val="20"/>
              </w:rPr>
              <w:t>82</w:t>
            </w:r>
          </w:p>
        </w:tc>
        <w:tc>
          <w:tcPr>
            <w:tcW w:w="810" w:type="dxa"/>
          </w:tcPr>
          <w:p w:rsidR="00C00EC3" w:rsidRPr="007727F4" w:rsidRDefault="00C00EC3" w:rsidP="007727F4">
            <w:pPr>
              <w:jc w:val="center"/>
              <w:rPr>
                <w:rFonts w:ascii="Arial" w:eastAsia="Times New Roman" w:hAnsi="Arial" w:cs="Arial"/>
                <w:b/>
                <w:i/>
                <w:sz w:val="20"/>
                <w:szCs w:val="20"/>
              </w:rPr>
            </w:pPr>
            <w:r w:rsidRPr="007727F4">
              <w:rPr>
                <w:rFonts w:ascii="Arial" w:eastAsia="Times New Roman" w:hAnsi="Arial" w:cs="Arial"/>
                <w:b/>
                <w:i/>
                <w:sz w:val="20"/>
                <w:szCs w:val="20"/>
              </w:rPr>
              <w:t>80</w:t>
            </w:r>
          </w:p>
        </w:tc>
        <w:tc>
          <w:tcPr>
            <w:tcW w:w="810" w:type="dxa"/>
          </w:tcPr>
          <w:p w:rsidR="00C00EC3" w:rsidRPr="007727F4" w:rsidRDefault="00C00EC3" w:rsidP="007727F4">
            <w:pPr>
              <w:jc w:val="center"/>
              <w:rPr>
                <w:rFonts w:ascii="Arial" w:eastAsia="Times New Roman" w:hAnsi="Arial" w:cs="Arial"/>
                <w:b/>
                <w:i/>
                <w:sz w:val="20"/>
                <w:szCs w:val="20"/>
              </w:rPr>
            </w:pPr>
            <w:r w:rsidRPr="007727F4">
              <w:rPr>
                <w:rFonts w:ascii="Arial" w:eastAsia="Times New Roman" w:hAnsi="Arial" w:cs="Arial"/>
                <w:b/>
                <w:i/>
                <w:sz w:val="20"/>
                <w:szCs w:val="20"/>
              </w:rPr>
              <w:t>84</w:t>
            </w:r>
          </w:p>
        </w:tc>
        <w:tc>
          <w:tcPr>
            <w:tcW w:w="810" w:type="dxa"/>
          </w:tcPr>
          <w:p w:rsidR="00C00EC3" w:rsidRPr="007727F4" w:rsidRDefault="00C00EC3" w:rsidP="007727F4">
            <w:pPr>
              <w:jc w:val="center"/>
              <w:rPr>
                <w:rFonts w:ascii="Arial" w:eastAsia="Times New Roman" w:hAnsi="Arial" w:cs="Arial"/>
                <w:b/>
                <w:i/>
                <w:sz w:val="20"/>
                <w:szCs w:val="20"/>
              </w:rPr>
            </w:pPr>
            <w:r w:rsidRPr="007727F4">
              <w:rPr>
                <w:rFonts w:ascii="Arial" w:eastAsia="Times New Roman" w:hAnsi="Arial" w:cs="Arial"/>
                <w:b/>
                <w:i/>
                <w:sz w:val="20"/>
                <w:szCs w:val="20"/>
              </w:rPr>
              <w:t>84</w:t>
            </w:r>
          </w:p>
        </w:tc>
        <w:tc>
          <w:tcPr>
            <w:tcW w:w="810" w:type="dxa"/>
          </w:tcPr>
          <w:p w:rsidR="00C00EC3" w:rsidRPr="007727F4" w:rsidRDefault="00C00EC3" w:rsidP="007727F4">
            <w:pPr>
              <w:jc w:val="center"/>
              <w:rPr>
                <w:rFonts w:ascii="Arial" w:eastAsia="Times New Roman" w:hAnsi="Arial" w:cs="Arial"/>
                <w:b/>
                <w:i/>
                <w:sz w:val="20"/>
                <w:szCs w:val="20"/>
              </w:rPr>
            </w:pPr>
            <w:r w:rsidRPr="007727F4">
              <w:rPr>
                <w:rFonts w:ascii="Arial" w:eastAsia="Times New Roman" w:hAnsi="Arial" w:cs="Arial"/>
                <w:b/>
                <w:i/>
                <w:sz w:val="20"/>
                <w:szCs w:val="20"/>
              </w:rPr>
              <w:t>4,0</w:t>
            </w:r>
          </w:p>
        </w:tc>
        <w:tc>
          <w:tcPr>
            <w:tcW w:w="810" w:type="dxa"/>
          </w:tcPr>
          <w:p w:rsidR="00C00EC3" w:rsidRPr="007727F4" w:rsidRDefault="00C00EC3" w:rsidP="007727F4">
            <w:pPr>
              <w:jc w:val="center"/>
              <w:rPr>
                <w:rFonts w:ascii="Arial" w:eastAsia="Times New Roman" w:hAnsi="Arial" w:cs="Arial"/>
                <w:b/>
                <w:i/>
                <w:sz w:val="20"/>
                <w:szCs w:val="20"/>
              </w:rPr>
            </w:pPr>
            <w:r w:rsidRPr="007727F4">
              <w:rPr>
                <w:rFonts w:ascii="Arial" w:eastAsia="Times New Roman" w:hAnsi="Arial" w:cs="Arial"/>
                <w:b/>
                <w:i/>
                <w:sz w:val="20"/>
                <w:szCs w:val="20"/>
              </w:rPr>
              <w:t>0,7</w:t>
            </w:r>
          </w:p>
        </w:tc>
        <w:tc>
          <w:tcPr>
            <w:tcW w:w="810" w:type="dxa"/>
          </w:tcPr>
          <w:p w:rsidR="00C00EC3" w:rsidRPr="007727F4" w:rsidRDefault="00C00EC3" w:rsidP="007727F4">
            <w:pPr>
              <w:jc w:val="center"/>
              <w:rPr>
                <w:rFonts w:ascii="Arial" w:eastAsia="Times New Roman" w:hAnsi="Arial" w:cs="Arial"/>
                <w:b/>
                <w:i/>
                <w:sz w:val="20"/>
                <w:szCs w:val="20"/>
              </w:rPr>
            </w:pPr>
            <w:r w:rsidRPr="007727F4">
              <w:rPr>
                <w:rFonts w:ascii="Arial" w:eastAsia="Times New Roman" w:hAnsi="Arial" w:cs="Arial"/>
                <w:b/>
                <w:i/>
                <w:sz w:val="20"/>
                <w:szCs w:val="20"/>
              </w:rPr>
              <w:t>0,7</w:t>
            </w:r>
          </w:p>
        </w:tc>
        <w:tc>
          <w:tcPr>
            <w:tcW w:w="810" w:type="dxa"/>
          </w:tcPr>
          <w:p w:rsidR="00C00EC3" w:rsidRPr="007727F4" w:rsidRDefault="00C00EC3" w:rsidP="007727F4">
            <w:pPr>
              <w:jc w:val="center"/>
              <w:rPr>
                <w:rFonts w:ascii="Arial" w:eastAsia="Times New Roman" w:hAnsi="Arial" w:cs="Arial"/>
                <w:b/>
                <w:i/>
                <w:sz w:val="20"/>
                <w:szCs w:val="20"/>
              </w:rPr>
            </w:pPr>
            <w:r w:rsidRPr="007727F4">
              <w:rPr>
                <w:rFonts w:ascii="Arial" w:eastAsia="Times New Roman" w:hAnsi="Arial" w:cs="Arial"/>
                <w:b/>
                <w:i/>
                <w:sz w:val="20"/>
                <w:szCs w:val="20"/>
              </w:rPr>
              <w:t>0,4</w:t>
            </w:r>
          </w:p>
        </w:tc>
      </w:tr>
      <w:tr w:rsidR="00C00EC3" w:rsidRPr="007727F4" w:rsidTr="000B1078">
        <w:tc>
          <w:tcPr>
            <w:tcW w:w="3060" w:type="dxa"/>
          </w:tcPr>
          <w:p w:rsidR="00C00EC3" w:rsidRPr="007727F4" w:rsidRDefault="00C00EC3" w:rsidP="007727F4">
            <w:pPr>
              <w:rPr>
                <w:rFonts w:ascii="Arial" w:eastAsia="Times New Roman" w:hAnsi="Arial" w:cs="Arial"/>
                <w:sz w:val="20"/>
                <w:szCs w:val="20"/>
              </w:rPr>
            </w:pPr>
            <w:r w:rsidRPr="007727F4">
              <w:rPr>
                <w:rFonts w:ascii="Arial" w:eastAsia="Times New Roman" w:hAnsi="Arial" w:cs="Arial"/>
                <w:sz w:val="20"/>
                <w:szCs w:val="20"/>
              </w:rPr>
              <w:t>Các mặt hàng nông sản</w:t>
            </w:r>
          </w:p>
        </w:tc>
        <w:tc>
          <w:tcPr>
            <w:tcW w:w="72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89</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89</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89</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90</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0,1</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1,2</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-0,4</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-0,4</w:t>
            </w:r>
          </w:p>
        </w:tc>
      </w:tr>
      <w:tr w:rsidR="00C00EC3" w:rsidRPr="007727F4" w:rsidTr="000B1078">
        <w:tc>
          <w:tcPr>
            <w:tcW w:w="3060" w:type="dxa"/>
          </w:tcPr>
          <w:p w:rsidR="00C00EC3" w:rsidRPr="007727F4" w:rsidRDefault="00C00EC3" w:rsidP="007727F4">
            <w:pPr>
              <w:rPr>
                <w:rFonts w:ascii="Arial" w:eastAsia="Times New Roman" w:hAnsi="Arial" w:cs="Arial"/>
                <w:sz w:val="20"/>
                <w:szCs w:val="20"/>
              </w:rPr>
            </w:pPr>
            <w:r w:rsidRPr="007727F4">
              <w:rPr>
                <w:rFonts w:ascii="Arial" w:eastAsia="Times New Roman" w:hAnsi="Arial" w:cs="Arial"/>
                <w:sz w:val="20"/>
                <w:szCs w:val="20"/>
              </w:rPr>
              <w:t>Đồ uống các loại</w:t>
            </w:r>
          </w:p>
        </w:tc>
        <w:tc>
          <w:tcPr>
            <w:tcW w:w="72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94</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91</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85</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86</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-6,4</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0,6</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-4,7</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-4,4</w:t>
            </w:r>
          </w:p>
        </w:tc>
      </w:tr>
      <w:tr w:rsidR="00C00EC3" w:rsidRPr="007727F4" w:rsidTr="000B1078">
        <w:tc>
          <w:tcPr>
            <w:tcW w:w="3060" w:type="dxa"/>
          </w:tcPr>
          <w:p w:rsidR="00C00EC3" w:rsidRPr="007727F4" w:rsidRDefault="00C00EC3" w:rsidP="007727F4">
            <w:pPr>
              <w:rPr>
                <w:rFonts w:ascii="Arial" w:eastAsia="Times New Roman" w:hAnsi="Arial" w:cs="Arial"/>
                <w:sz w:val="20"/>
                <w:szCs w:val="20"/>
              </w:rPr>
            </w:pPr>
            <w:r w:rsidRPr="007727F4">
              <w:rPr>
                <w:rFonts w:ascii="Arial" w:eastAsia="Times New Roman" w:hAnsi="Arial" w:cs="Arial"/>
                <w:sz w:val="20"/>
                <w:szCs w:val="20"/>
              </w:rPr>
              <w:t>Thực phẩm</w:t>
            </w:r>
          </w:p>
        </w:tc>
        <w:tc>
          <w:tcPr>
            <w:tcW w:w="72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91</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92</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92</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94</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0,1</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1,2</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-0,2</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-0,2</w:t>
            </w:r>
          </w:p>
        </w:tc>
      </w:tr>
      <w:tr w:rsidR="00C00EC3" w:rsidRPr="007727F4" w:rsidTr="000B1078">
        <w:tc>
          <w:tcPr>
            <w:tcW w:w="3060" w:type="dxa"/>
          </w:tcPr>
          <w:p w:rsidR="00C00EC3" w:rsidRPr="007727F4" w:rsidRDefault="00C00EC3" w:rsidP="007727F4">
            <w:pPr>
              <w:rPr>
                <w:rFonts w:ascii="Arial" w:eastAsia="Times New Roman" w:hAnsi="Arial" w:cs="Arial"/>
                <w:sz w:val="20"/>
                <w:szCs w:val="20"/>
              </w:rPr>
            </w:pPr>
            <w:r w:rsidRPr="007727F4">
              <w:rPr>
                <w:rFonts w:ascii="Arial" w:eastAsia="Times New Roman" w:hAnsi="Arial" w:cs="Arial"/>
                <w:sz w:val="20"/>
                <w:szCs w:val="20"/>
              </w:rPr>
              <w:t>Dầu thực vật và hàng ăn uống</w:t>
            </w:r>
          </w:p>
        </w:tc>
        <w:tc>
          <w:tcPr>
            <w:tcW w:w="72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85</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90</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92</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93</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2,5</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1,4</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-0,5</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-0,5</w:t>
            </w:r>
          </w:p>
        </w:tc>
      </w:tr>
      <w:tr w:rsidR="00C00EC3" w:rsidRPr="007727F4" w:rsidTr="000B1078">
        <w:tc>
          <w:tcPr>
            <w:tcW w:w="3060" w:type="dxa"/>
          </w:tcPr>
          <w:p w:rsidR="00C00EC3" w:rsidRPr="007727F4" w:rsidRDefault="00C00EC3" w:rsidP="007727F4">
            <w:pPr>
              <w:rPr>
                <w:rFonts w:ascii="Arial" w:eastAsia="Times New Roman" w:hAnsi="Arial" w:cs="Arial"/>
                <w:sz w:val="20"/>
                <w:szCs w:val="20"/>
              </w:rPr>
            </w:pPr>
            <w:r w:rsidRPr="007727F4">
              <w:rPr>
                <w:rFonts w:ascii="Arial" w:eastAsia="Times New Roman" w:hAnsi="Arial" w:cs="Arial"/>
                <w:sz w:val="20"/>
                <w:szCs w:val="20"/>
              </w:rPr>
              <w:t>Ngũ cốc các loại</w:t>
            </w:r>
          </w:p>
        </w:tc>
        <w:tc>
          <w:tcPr>
            <w:tcW w:w="72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89</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82</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79</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81</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-3,2</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2,1</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0,0</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0,0</w:t>
            </w:r>
          </w:p>
        </w:tc>
      </w:tr>
      <w:tr w:rsidR="00C00EC3" w:rsidRPr="007727F4" w:rsidTr="000B1078">
        <w:tc>
          <w:tcPr>
            <w:tcW w:w="3060" w:type="dxa"/>
          </w:tcPr>
          <w:p w:rsidR="00C00EC3" w:rsidRPr="007727F4" w:rsidRDefault="00C00EC3" w:rsidP="007727F4">
            <w:pPr>
              <w:rPr>
                <w:rFonts w:ascii="Arial" w:eastAsia="Times New Roman" w:hAnsi="Arial" w:cs="Arial"/>
                <w:sz w:val="20"/>
                <w:szCs w:val="20"/>
              </w:rPr>
            </w:pPr>
            <w:r w:rsidRPr="007727F4">
              <w:rPr>
                <w:rFonts w:ascii="Arial" w:eastAsia="Times New Roman" w:hAnsi="Arial" w:cs="Arial"/>
                <w:sz w:val="20"/>
                <w:szCs w:val="20"/>
              </w:rPr>
              <w:t>Thực phẩm khác</w:t>
            </w:r>
          </w:p>
        </w:tc>
        <w:tc>
          <w:tcPr>
            <w:tcW w:w="72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100</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105</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105</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105</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-0,2</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0,2</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0,0</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0,0</w:t>
            </w:r>
          </w:p>
        </w:tc>
      </w:tr>
      <w:tr w:rsidR="00C00EC3" w:rsidRPr="007727F4" w:rsidTr="000B1078">
        <w:tc>
          <w:tcPr>
            <w:tcW w:w="3060" w:type="dxa"/>
          </w:tcPr>
          <w:p w:rsidR="00C00EC3" w:rsidRPr="007727F4" w:rsidRDefault="00C00EC3" w:rsidP="007727F4">
            <w:pPr>
              <w:rPr>
                <w:rFonts w:ascii="Arial" w:eastAsia="Times New Roman" w:hAnsi="Arial" w:cs="Arial"/>
                <w:sz w:val="20"/>
                <w:szCs w:val="20"/>
              </w:rPr>
            </w:pPr>
            <w:r w:rsidRPr="007727F4">
              <w:rPr>
                <w:rFonts w:ascii="Arial" w:eastAsia="Times New Roman" w:hAnsi="Arial" w:cs="Arial"/>
                <w:sz w:val="20"/>
                <w:szCs w:val="20"/>
              </w:rPr>
              <w:t>Nông sản thô</w:t>
            </w:r>
          </w:p>
        </w:tc>
        <w:tc>
          <w:tcPr>
            <w:tcW w:w="72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83</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80</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83</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85</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3,9</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1,5</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1,4</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1,2</w:t>
            </w:r>
          </w:p>
        </w:tc>
      </w:tr>
      <w:tr w:rsidR="00C00EC3" w:rsidRPr="007727F4" w:rsidTr="000B1078">
        <w:tc>
          <w:tcPr>
            <w:tcW w:w="3060" w:type="dxa"/>
          </w:tcPr>
          <w:p w:rsidR="00C00EC3" w:rsidRPr="007727F4" w:rsidRDefault="00C00EC3" w:rsidP="007727F4">
            <w:pPr>
              <w:rPr>
                <w:rFonts w:ascii="Arial" w:eastAsia="Times New Roman" w:hAnsi="Arial" w:cs="Arial"/>
                <w:sz w:val="20"/>
                <w:szCs w:val="20"/>
              </w:rPr>
            </w:pPr>
            <w:r w:rsidRPr="007727F4">
              <w:rPr>
                <w:rFonts w:ascii="Arial" w:eastAsia="Times New Roman" w:hAnsi="Arial" w:cs="Arial"/>
                <w:sz w:val="20"/>
                <w:szCs w:val="20"/>
              </w:rPr>
              <w:t>Phân bón</w:t>
            </w:r>
          </w:p>
        </w:tc>
        <w:tc>
          <w:tcPr>
            <w:tcW w:w="72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95</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75</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76</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78</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0,8</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2,2</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-1,1</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-1,0</w:t>
            </w:r>
          </w:p>
        </w:tc>
      </w:tr>
      <w:tr w:rsidR="00C00EC3" w:rsidRPr="007727F4" w:rsidTr="000B1078">
        <w:tc>
          <w:tcPr>
            <w:tcW w:w="3060" w:type="dxa"/>
          </w:tcPr>
          <w:p w:rsidR="00C00EC3" w:rsidRPr="007727F4" w:rsidRDefault="00C00EC3" w:rsidP="007727F4">
            <w:pPr>
              <w:rPr>
                <w:rFonts w:ascii="Arial" w:eastAsia="Times New Roman" w:hAnsi="Arial" w:cs="Arial"/>
                <w:sz w:val="20"/>
                <w:szCs w:val="20"/>
              </w:rPr>
            </w:pPr>
            <w:r w:rsidRPr="007727F4">
              <w:rPr>
                <w:rFonts w:ascii="Arial" w:eastAsia="Times New Roman" w:hAnsi="Arial" w:cs="Arial"/>
                <w:sz w:val="20"/>
                <w:szCs w:val="20"/>
              </w:rPr>
              <w:t>Kim loại và chất khoáng</w:t>
            </w:r>
          </w:p>
        </w:tc>
        <w:tc>
          <w:tcPr>
            <w:tcW w:w="72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67</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63</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73</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72</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15,6</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-0,8</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3,0</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2,3</w:t>
            </w:r>
          </w:p>
        </w:tc>
      </w:tr>
      <w:tr w:rsidR="00C00EC3" w:rsidRPr="007727F4" w:rsidTr="000B1078">
        <w:tc>
          <w:tcPr>
            <w:tcW w:w="3060" w:type="dxa"/>
          </w:tcPr>
          <w:p w:rsidR="00C00EC3" w:rsidRPr="007727F4" w:rsidRDefault="00C00EC3" w:rsidP="007727F4">
            <w:pPr>
              <w:spacing w:after="60"/>
              <w:rPr>
                <w:rFonts w:ascii="Arial" w:eastAsia="Times New Roman" w:hAnsi="Arial" w:cs="Arial"/>
                <w:sz w:val="20"/>
                <w:szCs w:val="20"/>
              </w:rPr>
            </w:pPr>
            <w:r w:rsidRPr="007727F4">
              <w:rPr>
                <w:rFonts w:ascii="Arial" w:eastAsia="Times New Roman" w:hAnsi="Arial" w:cs="Arial"/>
                <w:sz w:val="20"/>
                <w:szCs w:val="20"/>
              </w:rPr>
              <w:t>Kim loại quý</w:t>
            </w:r>
          </w:p>
        </w:tc>
        <w:tc>
          <w:tcPr>
            <w:tcW w:w="720" w:type="dxa"/>
          </w:tcPr>
          <w:p w:rsidR="00C00EC3" w:rsidRPr="007727F4" w:rsidRDefault="00C00EC3" w:rsidP="007727F4">
            <w:pPr>
              <w:spacing w:after="60"/>
              <w:jc w:val="center"/>
              <w:rPr>
                <w:rFonts w:ascii="Arial" w:eastAsia="Times New Roman" w:hAnsi="Arial" w:cs="Arial"/>
                <w:sz w:val="20"/>
                <w:szCs w:val="20"/>
              </w:rPr>
            </w:pPr>
            <w:r w:rsidRPr="007727F4">
              <w:rPr>
                <w:rFonts w:ascii="Arial" w:eastAsia="Times New Roman" w:hAnsi="Arial" w:cs="Arial"/>
                <w:sz w:val="20"/>
                <w:szCs w:val="20"/>
              </w:rPr>
              <w:t>91</w:t>
            </w:r>
          </w:p>
        </w:tc>
        <w:tc>
          <w:tcPr>
            <w:tcW w:w="810" w:type="dxa"/>
          </w:tcPr>
          <w:p w:rsidR="00C00EC3" w:rsidRPr="007727F4" w:rsidRDefault="00C00EC3" w:rsidP="007727F4">
            <w:pPr>
              <w:spacing w:after="60"/>
              <w:jc w:val="center"/>
              <w:rPr>
                <w:rFonts w:ascii="Arial" w:eastAsia="Times New Roman" w:hAnsi="Arial" w:cs="Arial"/>
                <w:sz w:val="20"/>
                <w:szCs w:val="20"/>
              </w:rPr>
            </w:pPr>
            <w:r w:rsidRPr="007727F4">
              <w:rPr>
                <w:rFonts w:ascii="Arial" w:eastAsia="Times New Roman" w:hAnsi="Arial" w:cs="Arial"/>
                <w:sz w:val="20"/>
                <w:szCs w:val="20"/>
              </w:rPr>
              <w:t>97</w:t>
            </w:r>
          </w:p>
        </w:tc>
        <w:tc>
          <w:tcPr>
            <w:tcW w:w="810" w:type="dxa"/>
          </w:tcPr>
          <w:p w:rsidR="00C00EC3" w:rsidRPr="007727F4" w:rsidRDefault="00C00EC3" w:rsidP="007727F4">
            <w:pPr>
              <w:spacing w:after="60"/>
              <w:jc w:val="center"/>
              <w:rPr>
                <w:rFonts w:ascii="Arial" w:eastAsia="Times New Roman" w:hAnsi="Arial" w:cs="Arial"/>
                <w:sz w:val="20"/>
                <w:szCs w:val="20"/>
              </w:rPr>
            </w:pPr>
            <w:r w:rsidRPr="007727F4">
              <w:rPr>
                <w:rFonts w:ascii="Arial" w:eastAsia="Times New Roman" w:hAnsi="Arial" w:cs="Arial"/>
                <w:sz w:val="20"/>
                <w:szCs w:val="20"/>
              </w:rPr>
              <w:t>96</w:t>
            </w:r>
          </w:p>
        </w:tc>
        <w:tc>
          <w:tcPr>
            <w:tcW w:w="810" w:type="dxa"/>
          </w:tcPr>
          <w:p w:rsidR="00C00EC3" w:rsidRPr="007727F4" w:rsidRDefault="00C00EC3" w:rsidP="007727F4">
            <w:pPr>
              <w:spacing w:after="60"/>
              <w:jc w:val="center"/>
              <w:rPr>
                <w:rFonts w:ascii="Arial" w:eastAsia="Times New Roman" w:hAnsi="Arial" w:cs="Arial"/>
                <w:sz w:val="20"/>
                <w:szCs w:val="20"/>
              </w:rPr>
            </w:pPr>
            <w:r w:rsidRPr="007727F4">
              <w:rPr>
                <w:rFonts w:ascii="Arial" w:eastAsia="Times New Roman" w:hAnsi="Arial" w:cs="Arial"/>
                <w:sz w:val="20"/>
                <w:szCs w:val="20"/>
              </w:rPr>
              <w:t>95</w:t>
            </w:r>
          </w:p>
        </w:tc>
        <w:tc>
          <w:tcPr>
            <w:tcW w:w="810" w:type="dxa"/>
          </w:tcPr>
          <w:p w:rsidR="00C00EC3" w:rsidRPr="007727F4" w:rsidRDefault="00C00EC3" w:rsidP="007727F4">
            <w:pPr>
              <w:spacing w:after="60"/>
              <w:jc w:val="center"/>
              <w:rPr>
                <w:rFonts w:ascii="Arial" w:eastAsia="Times New Roman" w:hAnsi="Arial" w:cs="Arial"/>
                <w:sz w:val="20"/>
                <w:szCs w:val="20"/>
              </w:rPr>
            </w:pPr>
            <w:r w:rsidRPr="007727F4">
              <w:rPr>
                <w:rFonts w:ascii="Arial" w:eastAsia="Times New Roman" w:hAnsi="Arial" w:cs="Arial"/>
                <w:sz w:val="20"/>
                <w:szCs w:val="20"/>
              </w:rPr>
              <w:t>-1,4</w:t>
            </w:r>
          </w:p>
        </w:tc>
        <w:tc>
          <w:tcPr>
            <w:tcW w:w="810" w:type="dxa"/>
          </w:tcPr>
          <w:p w:rsidR="00C00EC3" w:rsidRPr="007727F4" w:rsidRDefault="00C00EC3" w:rsidP="007727F4">
            <w:pPr>
              <w:spacing w:after="60"/>
              <w:jc w:val="center"/>
              <w:rPr>
                <w:rFonts w:ascii="Arial" w:eastAsia="Times New Roman" w:hAnsi="Arial" w:cs="Arial"/>
                <w:sz w:val="20"/>
                <w:szCs w:val="20"/>
              </w:rPr>
            </w:pPr>
            <w:r w:rsidRPr="007727F4">
              <w:rPr>
                <w:rFonts w:ascii="Arial" w:eastAsia="Times New Roman" w:hAnsi="Arial" w:cs="Arial"/>
                <w:sz w:val="20"/>
                <w:szCs w:val="20"/>
              </w:rPr>
              <w:t>-1,3</w:t>
            </w:r>
          </w:p>
        </w:tc>
        <w:tc>
          <w:tcPr>
            <w:tcW w:w="810" w:type="dxa"/>
          </w:tcPr>
          <w:p w:rsidR="00C00EC3" w:rsidRPr="007727F4" w:rsidRDefault="00C00EC3" w:rsidP="007727F4">
            <w:pPr>
              <w:spacing w:after="60"/>
              <w:jc w:val="center"/>
              <w:rPr>
                <w:rFonts w:ascii="Arial" w:eastAsia="Times New Roman" w:hAnsi="Arial" w:cs="Arial"/>
                <w:sz w:val="20"/>
                <w:szCs w:val="20"/>
              </w:rPr>
            </w:pPr>
            <w:r w:rsidRPr="007727F4">
              <w:rPr>
                <w:rFonts w:ascii="Arial" w:eastAsia="Times New Roman" w:hAnsi="Arial" w:cs="Arial"/>
                <w:sz w:val="20"/>
                <w:szCs w:val="20"/>
              </w:rPr>
              <w:t>5,5</w:t>
            </w:r>
          </w:p>
        </w:tc>
        <w:tc>
          <w:tcPr>
            <w:tcW w:w="810" w:type="dxa"/>
          </w:tcPr>
          <w:p w:rsidR="00C00EC3" w:rsidRPr="007727F4" w:rsidRDefault="00C00EC3" w:rsidP="007727F4">
            <w:pPr>
              <w:spacing w:after="60"/>
              <w:jc w:val="center"/>
              <w:rPr>
                <w:rFonts w:ascii="Arial" w:eastAsia="Times New Roman" w:hAnsi="Arial" w:cs="Arial"/>
                <w:sz w:val="20"/>
                <w:szCs w:val="20"/>
              </w:rPr>
            </w:pPr>
            <w:r w:rsidRPr="007727F4">
              <w:rPr>
                <w:rFonts w:ascii="Arial" w:eastAsia="Times New Roman" w:hAnsi="Arial" w:cs="Arial"/>
                <w:sz w:val="20"/>
                <w:szCs w:val="20"/>
              </w:rPr>
              <w:t>5,0</w:t>
            </w:r>
          </w:p>
        </w:tc>
      </w:tr>
      <w:tr w:rsidR="00C00EC3" w:rsidRPr="007727F4" w:rsidTr="000B1078">
        <w:tc>
          <w:tcPr>
            <w:tcW w:w="9450" w:type="dxa"/>
            <w:gridSpan w:val="9"/>
          </w:tcPr>
          <w:p w:rsidR="00C00EC3" w:rsidRPr="007727F4" w:rsidRDefault="00C00EC3" w:rsidP="007727F4">
            <w:pPr>
              <w:spacing w:before="60" w:after="60"/>
              <w:rPr>
                <w:rFonts w:ascii="Arial" w:eastAsia="Times New Roman" w:hAnsi="Arial" w:cs="Arial"/>
                <w:b/>
                <w:sz w:val="20"/>
                <w:szCs w:val="20"/>
              </w:rPr>
            </w:pPr>
            <w:r w:rsidRPr="007727F4">
              <w:rPr>
                <w:rFonts w:ascii="Arial" w:eastAsia="Times New Roman" w:hAnsi="Arial" w:cs="Arial"/>
                <w:b/>
                <w:sz w:val="20"/>
                <w:szCs w:val="20"/>
              </w:rPr>
              <w:t>Các khoản mục ghi nhớ</w:t>
            </w:r>
          </w:p>
        </w:tc>
      </w:tr>
      <w:tr w:rsidR="00C00EC3" w:rsidRPr="007727F4" w:rsidTr="000B1078">
        <w:tc>
          <w:tcPr>
            <w:tcW w:w="3060" w:type="dxa"/>
          </w:tcPr>
          <w:p w:rsidR="00C00EC3" w:rsidRPr="007727F4" w:rsidRDefault="00C00EC3" w:rsidP="007727F4">
            <w:pPr>
              <w:rPr>
                <w:rFonts w:ascii="Arial" w:eastAsia="Times New Roman" w:hAnsi="Arial" w:cs="Arial"/>
                <w:sz w:val="20"/>
                <w:szCs w:val="20"/>
              </w:rPr>
            </w:pPr>
            <w:r w:rsidRPr="007727F4">
              <w:rPr>
                <w:rFonts w:ascii="Arial" w:eastAsia="Times New Roman" w:hAnsi="Arial" w:cs="Arial"/>
                <w:sz w:val="20"/>
                <w:szCs w:val="20"/>
              </w:rPr>
              <w:t>Giá dầu (USD/thùng)</w:t>
            </w:r>
          </w:p>
        </w:tc>
        <w:tc>
          <w:tcPr>
            <w:tcW w:w="72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51</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43</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55</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60</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28,5</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9,1</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0,0</w:t>
            </w:r>
          </w:p>
        </w:tc>
        <w:tc>
          <w:tcPr>
            <w:tcW w:w="810" w:type="dxa"/>
          </w:tcPr>
          <w:p w:rsidR="00C00EC3" w:rsidRPr="007727F4" w:rsidRDefault="00C00EC3" w:rsidP="007727F4">
            <w:pPr>
              <w:jc w:val="center"/>
              <w:rPr>
                <w:rFonts w:ascii="Arial" w:eastAsia="Times New Roman" w:hAnsi="Arial" w:cs="Arial"/>
                <w:sz w:val="20"/>
                <w:szCs w:val="20"/>
              </w:rPr>
            </w:pPr>
            <w:r w:rsidRPr="007727F4">
              <w:rPr>
                <w:rFonts w:ascii="Arial" w:eastAsia="Times New Roman" w:hAnsi="Arial" w:cs="Arial"/>
                <w:sz w:val="20"/>
                <w:szCs w:val="20"/>
              </w:rPr>
              <w:t>0,0</w:t>
            </w:r>
          </w:p>
        </w:tc>
      </w:tr>
      <w:tr w:rsidR="00C00EC3" w:rsidRPr="007727F4" w:rsidTr="000B1078">
        <w:tc>
          <w:tcPr>
            <w:tcW w:w="3060" w:type="dxa"/>
          </w:tcPr>
          <w:p w:rsidR="00C00EC3" w:rsidRPr="007727F4" w:rsidRDefault="00C00EC3" w:rsidP="007727F4">
            <w:pPr>
              <w:spacing w:after="60"/>
              <w:rPr>
                <w:rFonts w:ascii="Arial" w:eastAsia="Times New Roman" w:hAnsi="Arial" w:cs="Arial"/>
                <w:sz w:val="20"/>
                <w:szCs w:val="20"/>
              </w:rPr>
            </w:pPr>
            <w:r w:rsidRPr="007727F4">
              <w:rPr>
                <w:rFonts w:ascii="Arial" w:eastAsia="Times New Roman" w:hAnsi="Arial" w:cs="Arial"/>
                <w:sz w:val="20"/>
                <w:szCs w:val="20"/>
              </w:rPr>
              <w:t>Giá vàng (USD/oz)</w:t>
            </w:r>
          </w:p>
        </w:tc>
        <w:tc>
          <w:tcPr>
            <w:tcW w:w="720" w:type="dxa"/>
          </w:tcPr>
          <w:p w:rsidR="00C00EC3" w:rsidRPr="007727F4" w:rsidRDefault="00C00EC3" w:rsidP="007727F4">
            <w:pPr>
              <w:spacing w:after="60"/>
              <w:jc w:val="center"/>
              <w:rPr>
                <w:rFonts w:ascii="Arial" w:eastAsia="Times New Roman" w:hAnsi="Arial" w:cs="Arial"/>
                <w:sz w:val="20"/>
                <w:szCs w:val="20"/>
              </w:rPr>
            </w:pPr>
            <w:r w:rsidRPr="007727F4">
              <w:rPr>
                <w:rFonts w:ascii="Arial" w:eastAsia="Times New Roman" w:hAnsi="Arial" w:cs="Arial"/>
                <w:sz w:val="20"/>
                <w:szCs w:val="20"/>
              </w:rPr>
              <w:t>1.161</w:t>
            </w:r>
          </w:p>
        </w:tc>
        <w:tc>
          <w:tcPr>
            <w:tcW w:w="810" w:type="dxa"/>
          </w:tcPr>
          <w:p w:rsidR="00C00EC3" w:rsidRPr="007727F4" w:rsidRDefault="00C00EC3" w:rsidP="007727F4">
            <w:pPr>
              <w:spacing w:after="60"/>
              <w:jc w:val="center"/>
              <w:rPr>
                <w:rFonts w:ascii="Arial" w:eastAsia="Times New Roman" w:hAnsi="Arial" w:cs="Arial"/>
                <w:sz w:val="20"/>
                <w:szCs w:val="20"/>
              </w:rPr>
            </w:pPr>
            <w:r w:rsidRPr="007727F4">
              <w:rPr>
                <w:rFonts w:ascii="Arial" w:eastAsia="Times New Roman" w:hAnsi="Arial" w:cs="Arial"/>
                <w:sz w:val="20"/>
                <w:szCs w:val="20"/>
              </w:rPr>
              <w:t>1.249</w:t>
            </w:r>
          </w:p>
        </w:tc>
        <w:tc>
          <w:tcPr>
            <w:tcW w:w="810" w:type="dxa"/>
          </w:tcPr>
          <w:p w:rsidR="00C00EC3" w:rsidRPr="007727F4" w:rsidRDefault="00C00EC3" w:rsidP="007727F4">
            <w:pPr>
              <w:spacing w:after="60"/>
              <w:jc w:val="center"/>
              <w:rPr>
                <w:rFonts w:ascii="Arial" w:eastAsia="Times New Roman" w:hAnsi="Arial" w:cs="Arial"/>
                <w:sz w:val="20"/>
                <w:szCs w:val="20"/>
              </w:rPr>
            </w:pPr>
            <w:r w:rsidRPr="007727F4">
              <w:rPr>
                <w:rFonts w:ascii="Arial" w:eastAsia="Times New Roman" w:hAnsi="Arial" w:cs="Arial"/>
                <w:sz w:val="20"/>
                <w:szCs w:val="20"/>
              </w:rPr>
              <w:t>1.225</w:t>
            </w:r>
          </w:p>
        </w:tc>
        <w:tc>
          <w:tcPr>
            <w:tcW w:w="810" w:type="dxa"/>
          </w:tcPr>
          <w:p w:rsidR="00C00EC3" w:rsidRPr="007727F4" w:rsidRDefault="00C00EC3" w:rsidP="007727F4">
            <w:pPr>
              <w:spacing w:after="60"/>
              <w:jc w:val="center"/>
              <w:rPr>
                <w:rFonts w:ascii="Arial" w:eastAsia="Times New Roman" w:hAnsi="Arial" w:cs="Arial"/>
                <w:sz w:val="20"/>
                <w:szCs w:val="20"/>
              </w:rPr>
            </w:pPr>
            <w:r w:rsidRPr="007727F4">
              <w:rPr>
                <w:rFonts w:ascii="Arial" w:eastAsia="Times New Roman" w:hAnsi="Arial" w:cs="Arial"/>
                <w:sz w:val="20"/>
                <w:szCs w:val="20"/>
              </w:rPr>
              <w:t>1.206</w:t>
            </w:r>
          </w:p>
        </w:tc>
        <w:tc>
          <w:tcPr>
            <w:tcW w:w="810" w:type="dxa"/>
          </w:tcPr>
          <w:p w:rsidR="00C00EC3" w:rsidRPr="007727F4" w:rsidRDefault="00C00EC3" w:rsidP="007727F4">
            <w:pPr>
              <w:spacing w:after="60"/>
              <w:jc w:val="center"/>
              <w:rPr>
                <w:rFonts w:ascii="Arial" w:eastAsia="Times New Roman" w:hAnsi="Arial" w:cs="Arial"/>
                <w:sz w:val="20"/>
                <w:szCs w:val="20"/>
              </w:rPr>
            </w:pPr>
            <w:r w:rsidRPr="007727F4">
              <w:rPr>
                <w:rFonts w:ascii="Arial" w:eastAsia="Times New Roman" w:hAnsi="Arial" w:cs="Arial"/>
                <w:sz w:val="20"/>
                <w:szCs w:val="20"/>
              </w:rPr>
              <w:t>-1,9</w:t>
            </w:r>
          </w:p>
        </w:tc>
        <w:tc>
          <w:tcPr>
            <w:tcW w:w="810" w:type="dxa"/>
          </w:tcPr>
          <w:p w:rsidR="00C00EC3" w:rsidRPr="007727F4" w:rsidRDefault="00C00EC3" w:rsidP="007727F4">
            <w:pPr>
              <w:spacing w:after="60"/>
              <w:jc w:val="center"/>
              <w:rPr>
                <w:rFonts w:ascii="Arial" w:eastAsia="Times New Roman" w:hAnsi="Arial" w:cs="Arial"/>
                <w:sz w:val="20"/>
                <w:szCs w:val="20"/>
              </w:rPr>
            </w:pPr>
            <w:r w:rsidRPr="007727F4">
              <w:rPr>
                <w:rFonts w:ascii="Arial" w:eastAsia="Times New Roman" w:hAnsi="Arial" w:cs="Arial"/>
                <w:sz w:val="20"/>
                <w:szCs w:val="20"/>
              </w:rPr>
              <w:t>-1,5</w:t>
            </w:r>
          </w:p>
        </w:tc>
        <w:tc>
          <w:tcPr>
            <w:tcW w:w="810" w:type="dxa"/>
          </w:tcPr>
          <w:p w:rsidR="00C00EC3" w:rsidRPr="007727F4" w:rsidRDefault="00C00EC3" w:rsidP="007727F4">
            <w:pPr>
              <w:spacing w:after="60"/>
              <w:jc w:val="center"/>
              <w:rPr>
                <w:rFonts w:ascii="Arial" w:eastAsia="Times New Roman" w:hAnsi="Arial" w:cs="Arial"/>
                <w:sz w:val="20"/>
                <w:szCs w:val="20"/>
              </w:rPr>
            </w:pPr>
            <w:r w:rsidRPr="007727F4">
              <w:rPr>
                <w:rFonts w:ascii="Arial" w:eastAsia="Times New Roman" w:hAnsi="Arial" w:cs="Arial"/>
                <w:sz w:val="20"/>
                <w:szCs w:val="20"/>
              </w:rPr>
              <w:t>75,0</w:t>
            </w:r>
          </w:p>
        </w:tc>
        <w:tc>
          <w:tcPr>
            <w:tcW w:w="810" w:type="dxa"/>
          </w:tcPr>
          <w:p w:rsidR="00C00EC3" w:rsidRPr="007727F4" w:rsidRDefault="00C00EC3" w:rsidP="007727F4">
            <w:pPr>
              <w:spacing w:after="60"/>
              <w:jc w:val="center"/>
              <w:rPr>
                <w:rFonts w:ascii="Arial" w:eastAsia="Times New Roman" w:hAnsi="Arial" w:cs="Arial"/>
                <w:sz w:val="20"/>
                <w:szCs w:val="20"/>
              </w:rPr>
            </w:pPr>
            <w:r w:rsidRPr="007727F4">
              <w:rPr>
                <w:rFonts w:ascii="Arial" w:eastAsia="Times New Roman" w:hAnsi="Arial" w:cs="Arial"/>
                <w:sz w:val="20"/>
                <w:szCs w:val="20"/>
              </w:rPr>
              <w:t>68,3</w:t>
            </w:r>
          </w:p>
        </w:tc>
      </w:tr>
    </w:tbl>
    <w:p w:rsidR="00C00EC3" w:rsidRPr="007727F4" w:rsidRDefault="00C00EC3" w:rsidP="007727F4">
      <w:pPr>
        <w:pStyle w:val="ListParagraph"/>
        <w:shd w:val="clear" w:color="auto" w:fill="FFFFFF"/>
        <w:spacing w:before="60" w:after="0" w:line="240" w:lineRule="auto"/>
        <w:ind w:left="0"/>
        <w:rPr>
          <w:rFonts w:ascii="Arial" w:eastAsia="Times New Roman" w:hAnsi="Arial" w:cs="Arial"/>
          <w:sz w:val="16"/>
          <w:szCs w:val="16"/>
        </w:rPr>
      </w:pPr>
      <w:r w:rsidRPr="007727F4">
        <w:rPr>
          <w:rFonts w:ascii="Arial" w:eastAsia="Times New Roman" w:hAnsi="Arial" w:cs="Arial"/>
          <w:sz w:val="16"/>
          <w:szCs w:val="16"/>
        </w:rPr>
        <w:t>Nguồn: WB</w:t>
      </w:r>
    </w:p>
    <w:p w:rsidR="00C00EC3" w:rsidRPr="007727F4" w:rsidRDefault="00C00EC3" w:rsidP="007727F4">
      <w:pPr>
        <w:shd w:val="clear" w:color="auto" w:fill="FFFFFF"/>
        <w:spacing w:after="0" w:line="240" w:lineRule="auto"/>
        <w:rPr>
          <w:rFonts w:ascii="Arial" w:eastAsia="Times New Roman" w:hAnsi="Arial" w:cs="Arial"/>
          <w:sz w:val="16"/>
          <w:szCs w:val="16"/>
        </w:rPr>
      </w:pPr>
      <w:r w:rsidRPr="007727F4">
        <w:rPr>
          <w:rFonts w:ascii="Arial" w:eastAsia="Times New Roman" w:hAnsi="Arial" w:cs="Arial"/>
          <w:sz w:val="16"/>
          <w:szCs w:val="16"/>
        </w:rPr>
        <w:t>(*): Thay đổi so với dự báo tháng 01/2017</w:t>
      </w:r>
    </w:p>
    <w:p w:rsidR="00343FFB" w:rsidRPr="007727F4" w:rsidRDefault="00075B7E" w:rsidP="007727F4">
      <w:pPr>
        <w:spacing w:after="60" w:line="240" w:lineRule="auto"/>
        <w:jc w:val="both"/>
        <w:rPr>
          <w:rFonts w:ascii="Arial" w:hAnsi="Arial" w:cs="Arial"/>
          <w:sz w:val="20"/>
          <w:szCs w:val="20"/>
        </w:rPr>
      </w:pPr>
      <w:r w:rsidRPr="007727F4">
        <w:rPr>
          <w:rFonts w:ascii="Arial" w:hAnsi="Arial" w:cs="Arial"/>
          <w:sz w:val="20"/>
          <w:szCs w:val="20"/>
        </w:rPr>
        <w:t>Về diễn biến trên thị trường năng lượng</w:t>
      </w:r>
      <w:r w:rsidR="00343FFB" w:rsidRPr="007727F4">
        <w:rPr>
          <w:rFonts w:ascii="Arial" w:hAnsi="Arial" w:cs="Arial"/>
          <w:sz w:val="20"/>
          <w:szCs w:val="20"/>
        </w:rPr>
        <w:t xml:space="preserve">, giá dầu </w:t>
      </w:r>
      <w:r w:rsidRPr="007727F4">
        <w:rPr>
          <w:rFonts w:ascii="Arial" w:hAnsi="Arial" w:cs="Arial"/>
          <w:sz w:val="20"/>
          <w:szCs w:val="20"/>
        </w:rPr>
        <w:t xml:space="preserve">trong quý I/2017 </w:t>
      </w:r>
      <w:r w:rsidR="00343FFB" w:rsidRPr="007727F4">
        <w:rPr>
          <w:rFonts w:ascii="Arial" w:hAnsi="Arial" w:cs="Arial"/>
          <w:sz w:val="20"/>
          <w:szCs w:val="20"/>
        </w:rPr>
        <w:t>đạt mức giá trung bình 52</w:t>
      </w:r>
      <w:proofErr w:type="gramStart"/>
      <w:r w:rsidR="00343FFB" w:rsidRPr="007727F4">
        <w:rPr>
          <w:rFonts w:ascii="Arial" w:hAnsi="Arial" w:cs="Arial"/>
          <w:sz w:val="20"/>
          <w:szCs w:val="20"/>
        </w:rPr>
        <w:t>,9</w:t>
      </w:r>
      <w:proofErr w:type="gramEnd"/>
      <w:r w:rsidR="00343FFB" w:rsidRPr="007727F4">
        <w:rPr>
          <w:rFonts w:ascii="Arial" w:hAnsi="Arial" w:cs="Arial"/>
          <w:sz w:val="20"/>
          <w:szCs w:val="20"/>
        </w:rPr>
        <w:t xml:space="preserve"> USD/thùng, giá dầu giao dịch trong biên độ hẹp với mức giá phổ biến gần 54 USD/thùng do kỳ vọng thỏa thuận cắt giảm sản lượng dầu khai thác sẽ góp phần tái cân bằng cung - cầu trên thị trường trong những tháng tới. </w:t>
      </w:r>
      <w:proofErr w:type="gramStart"/>
      <w:r w:rsidR="00343FFB" w:rsidRPr="007727F4">
        <w:rPr>
          <w:rFonts w:ascii="Arial" w:hAnsi="Arial" w:cs="Arial"/>
          <w:sz w:val="20"/>
          <w:szCs w:val="20"/>
        </w:rPr>
        <w:t>Trong tháng 4/2017, giá dầu tiếp tục tăng và giao dịch trong mức giá 50-54 USD/thùng, khi các nhà đầu tư kỳ vọng về khả</w:t>
      </w:r>
      <w:r w:rsidRPr="007727F4">
        <w:rPr>
          <w:rFonts w:ascii="Arial" w:hAnsi="Arial" w:cs="Arial"/>
          <w:sz w:val="20"/>
          <w:szCs w:val="20"/>
        </w:rPr>
        <w:t xml:space="preserve"> năng</w:t>
      </w:r>
      <w:r w:rsidR="00343FFB" w:rsidRPr="007727F4">
        <w:rPr>
          <w:rFonts w:ascii="Arial" w:hAnsi="Arial" w:cs="Arial"/>
          <w:sz w:val="20"/>
          <w:szCs w:val="20"/>
        </w:rPr>
        <w:t xml:space="preserve"> dự trữ </w:t>
      </w:r>
      <w:r w:rsidRPr="007727F4">
        <w:rPr>
          <w:rFonts w:ascii="Arial" w:hAnsi="Arial" w:cs="Arial"/>
          <w:sz w:val="20"/>
          <w:szCs w:val="20"/>
        </w:rPr>
        <w:t xml:space="preserve">dầu </w:t>
      </w:r>
      <w:r w:rsidR="00343FFB" w:rsidRPr="007727F4">
        <w:rPr>
          <w:rFonts w:ascii="Arial" w:hAnsi="Arial" w:cs="Arial"/>
          <w:sz w:val="20"/>
          <w:szCs w:val="20"/>
        </w:rPr>
        <w:t>sẽ giảm dần.</w:t>
      </w:r>
      <w:proofErr w:type="gramEnd"/>
      <w:r w:rsidR="00343FFB" w:rsidRPr="007727F4">
        <w:rPr>
          <w:rFonts w:ascii="Arial" w:hAnsi="Arial" w:cs="Arial"/>
          <w:sz w:val="20"/>
          <w:szCs w:val="20"/>
        </w:rPr>
        <w:t xml:space="preserve"> Trong bối cảnh nhu cầ</w:t>
      </w:r>
      <w:r w:rsidRPr="007727F4">
        <w:rPr>
          <w:rFonts w:ascii="Arial" w:hAnsi="Arial" w:cs="Arial"/>
          <w:sz w:val="20"/>
          <w:szCs w:val="20"/>
        </w:rPr>
        <w:t>u</w:t>
      </w:r>
      <w:r w:rsidR="00343FFB" w:rsidRPr="007727F4">
        <w:rPr>
          <w:rFonts w:ascii="Arial" w:hAnsi="Arial" w:cs="Arial"/>
          <w:sz w:val="20"/>
          <w:szCs w:val="20"/>
        </w:rPr>
        <w:t xml:space="preserve"> tiếp tục tăng, thị trường đang tiến dần đến trạng thái cân bằng. Kể từ khi giá dầu trượt dốc vào năm 2014, các nhà đầu tư đã buộc các doanh nghiệp bên ngoài OPEC phải cắt giảm đầu tư, trước hết là những dự </w:t>
      </w:r>
      <w:proofErr w:type="gramStart"/>
      <w:r w:rsidR="00343FFB" w:rsidRPr="007727F4">
        <w:rPr>
          <w:rFonts w:ascii="Arial" w:hAnsi="Arial" w:cs="Arial"/>
          <w:sz w:val="20"/>
          <w:szCs w:val="20"/>
        </w:rPr>
        <w:t>án</w:t>
      </w:r>
      <w:proofErr w:type="gramEnd"/>
      <w:r w:rsidR="00343FFB" w:rsidRPr="007727F4">
        <w:rPr>
          <w:rFonts w:ascii="Arial" w:hAnsi="Arial" w:cs="Arial"/>
          <w:sz w:val="20"/>
          <w:szCs w:val="20"/>
        </w:rPr>
        <w:t xml:space="preserve"> chi phí cao.  </w:t>
      </w:r>
    </w:p>
    <w:p w:rsidR="00343FFB" w:rsidRPr="007727F4" w:rsidRDefault="00343FFB" w:rsidP="007727F4">
      <w:pPr>
        <w:shd w:val="clear" w:color="auto" w:fill="FFFFFF"/>
        <w:spacing w:after="60" w:line="240" w:lineRule="auto"/>
        <w:jc w:val="both"/>
        <w:rPr>
          <w:rFonts w:ascii="Arial" w:hAnsi="Arial" w:cs="Arial"/>
          <w:sz w:val="20"/>
          <w:szCs w:val="20"/>
        </w:rPr>
      </w:pPr>
      <w:r w:rsidRPr="007727F4">
        <w:rPr>
          <w:rFonts w:ascii="Arial" w:hAnsi="Arial" w:cs="Arial"/>
          <w:sz w:val="20"/>
          <w:szCs w:val="20"/>
        </w:rPr>
        <w:t>Tại Mỹ, dự trữ dầu trong quý I/2017 được duy trì ở mức cao, do nhập khẩu tăng cao trong khi hoạt động chế biến dầu giảm khi nhiều nhà máy tiến hành bảo dưỡng theo định kỳ. Nhập khẩu tăng cũng phần nào phản ánh sản lượng dầu tại OPEC tăng mạnh trong quý IV/2016 trước khi cắt giảm sản lượng từ tháng 01/2017, phần lớn lượng dầu tăng thêm này được xuất khẩu sang thị trường Mỹ. Tuy nhiên, dự trữ dầu tại Mỹ được dự báo sẽ giảm trong quý II/2017 do hoạt động chế biến bình thường trở lại.</w:t>
      </w:r>
      <w:r w:rsidRPr="007727F4">
        <w:rPr>
          <w:rFonts w:ascii="Arial" w:hAnsi="Arial" w:cs="Arial"/>
          <w:i/>
          <w:sz w:val="20"/>
          <w:szCs w:val="20"/>
        </w:rPr>
        <w:t xml:space="preserve"> </w:t>
      </w:r>
      <w:r w:rsidRPr="007727F4">
        <w:rPr>
          <w:rFonts w:ascii="Arial" w:hAnsi="Arial" w:cs="Arial"/>
          <w:sz w:val="20"/>
          <w:szCs w:val="20"/>
        </w:rPr>
        <w:t>Trong năm 2017, giá dầu trung bình được dự báo ở mức 55 USD/thùng, do nguồn cung toàn cầu tiếp tục giảm, nhất là trong sáu tháng cuối năm. Trong khi đó, nhu cầu được dự báo tiếp tục tăng vững thêm 1,3 triệu thùng/ngày, mặc dù thấp hơn kết quả tăng 2,0-2,1 triệu thùng/ngày trong năm 2015 khi giá dầu giảm thấp, nhất là tại các nước thuộc Tổ chức Hợp tác và Phát triển kinh tế (OECD). Trong quý I/2017, nhu cầu dầu tại các nước OECD chỉ tăng khiêm tốn, trong đó nhu cầu gia tăng tại châu Âu bù đắp sự suy giảm nhu cầu tại những nước thành viên khác; nhu cầu tại các nước bên ngoài OECD tương đối ổn định và tiếp tục tăng đều khoảng 1</w:t>
      </w:r>
      <w:proofErr w:type="gramStart"/>
      <w:r w:rsidRPr="007727F4">
        <w:rPr>
          <w:rFonts w:ascii="Arial" w:hAnsi="Arial" w:cs="Arial"/>
          <w:sz w:val="20"/>
          <w:szCs w:val="20"/>
        </w:rPr>
        <w:t>,4</w:t>
      </w:r>
      <w:proofErr w:type="gramEnd"/>
      <w:r w:rsidRPr="007727F4">
        <w:rPr>
          <w:rFonts w:ascii="Arial" w:hAnsi="Arial" w:cs="Arial"/>
          <w:sz w:val="20"/>
          <w:szCs w:val="20"/>
        </w:rPr>
        <w:t xml:space="preserve"> triệu thùng/ngày như trong năm 2015-2016. Trên toàn cầu, nhu cầu về dầu mỏ tăng chậm dần, từ 3,6% trong giai đoạn 2005-2014 xuống 3,0% trong năm 2015 và khoảng 2,7% trong năm nay. Nhu cầu giảm tập trung tại các nước xuất khẩu dầu, đặc biệt là Brazil, CHLB Nga và Arập Xê út, mà nguyên nhân cơ bản là do nguồn </w:t>
      </w:r>
      <w:proofErr w:type="gramStart"/>
      <w:r w:rsidRPr="007727F4">
        <w:rPr>
          <w:rFonts w:ascii="Arial" w:hAnsi="Arial" w:cs="Arial"/>
          <w:sz w:val="20"/>
          <w:szCs w:val="20"/>
        </w:rPr>
        <w:t>thu</w:t>
      </w:r>
      <w:proofErr w:type="gramEnd"/>
      <w:r w:rsidRPr="007727F4">
        <w:rPr>
          <w:rFonts w:ascii="Arial" w:hAnsi="Arial" w:cs="Arial"/>
          <w:sz w:val="20"/>
          <w:szCs w:val="20"/>
        </w:rPr>
        <w:t xml:space="preserve"> từ xuất khẩu dầu giảm đã cản trở các hoạt động kinh tế ở trong nước.</w:t>
      </w:r>
    </w:p>
    <w:p w:rsidR="00343FFB" w:rsidRPr="007727F4" w:rsidRDefault="00343FFB" w:rsidP="007727F4">
      <w:pPr>
        <w:spacing w:after="60" w:line="240" w:lineRule="auto"/>
        <w:jc w:val="both"/>
        <w:rPr>
          <w:rFonts w:ascii="Arial" w:hAnsi="Arial" w:cs="Arial"/>
          <w:i/>
          <w:sz w:val="20"/>
          <w:szCs w:val="20"/>
        </w:rPr>
      </w:pPr>
      <w:r w:rsidRPr="007727F4">
        <w:rPr>
          <w:rFonts w:ascii="Arial" w:hAnsi="Arial" w:cs="Arial"/>
          <w:sz w:val="20"/>
          <w:szCs w:val="20"/>
        </w:rPr>
        <w:lastRenderedPageBreak/>
        <w:t xml:space="preserve">Nhu cầu về dầu </w:t>
      </w:r>
      <w:r w:rsidR="00C00EC3" w:rsidRPr="007727F4">
        <w:rPr>
          <w:rFonts w:ascii="Arial" w:hAnsi="Arial" w:cs="Arial"/>
          <w:sz w:val="20"/>
          <w:szCs w:val="20"/>
        </w:rPr>
        <w:t xml:space="preserve">thô </w:t>
      </w:r>
      <w:r w:rsidRPr="007727F4">
        <w:rPr>
          <w:rFonts w:ascii="Arial" w:hAnsi="Arial" w:cs="Arial"/>
          <w:sz w:val="20"/>
          <w:szCs w:val="20"/>
        </w:rPr>
        <w:t>tại Trung Quốc cũng giảm dần do quốc gia này đang chuyển đổi</w:t>
      </w:r>
      <w:r w:rsidRPr="007727F4">
        <w:rPr>
          <w:rFonts w:ascii="Arial" w:hAnsi="Arial" w:cs="Arial"/>
          <w:i/>
          <w:sz w:val="20"/>
          <w:szCs w:val="20"/>
        </w:rPr>
        <w:t xml:space="preserve"> </w:t>
      </w:r>
      <w:r w:rsidRPr="007727F4">
        <w:rPr>
          <w:rFonts w:ascii="Arial" w:hAnsi="Arial" w:cs="Arial"/>
          <w:sz w:val="20"/>
          <w:szCs w:val="20"/>
        </w:rPr>
        <w:t>sang mô hình tăng trưởng dựa vào nhu cầu trong nước, trong khi nhu cầu tại Ấn Độ lại tăng dần, mặc dù có thể thấp hơn nhu cầu tăng thêm 0</w:t>
      </w:r>
      <w:proofErr w:type="gramStart"/>
      <w:r w:rsidRPr="007727F4">
        <w:rPr>
          <w:rFonts w:ascii="Arial" w:hAnsi="Arial" w:cs="Arial"/>
          <w:sz w:val="20"/>
          <w:szCs w:val="20"/>
        </w:rPr>
        <w:t>,3</w:t>
      </w:r>
      <w:proofErr w:type="gramEnd"/>
      <w:r w:rsidRPr="007727F4">
        <w:rPr>
          <w:rFonts w:ascii="Arial" w:hAnsi="Arial" w:cs="Arial"/>
          <w:sz w:val="20"/>
          <w:szCs w:val="20"/>
        </w:rPr>
        <w:t xml:space="preserve"> triệu thùng/ngày (tương đương 7%) trong năm 2016. Trong năm 2017, nhu cầu dầu trên toàn cầu tăng thêm 1,3 triệu thùng/ngày (tương đương 1,4%) lên khoảng 97,9 triệu thùng/ngày, chủ yếu là tại các nước bên ngoài OECD. Cụ thể là, nhu cầu tại các nước OECD tiếp tục ổn định sau hai năm tăng tương đối cao, nhu cầu tại châu Á tăng khoảng 1,0 triệu thùng/ngày, riêng nhu cầu tại Ấn Độ và Trung Quốc tăng tổng cộng 0,6 triệu thùng/ngày.</w:t>
      </w:r>
      <w:r w:rsidRPr="007727F4">
        <w:rPr>
          <w:rFonts w:ascii="Arial" w:hAnsi="Arial" w:cs="Arial"/>
          <w:i/>
          <w:sz w:val="20"/>
          <w:szCs w:val="20"/>
        </w:rPr>
        <w:t xml:space="preserve">  </w:t>
      </w:r>
    </w:p>
    <w:p w:rsidR="00343FFB" w:rsidRPr="007727F4" w:rsidRDefault="00343FFB" w:rsidP="007727F4">
      <w:pPr>
        <w:spacing w:after="60" w:line="240" w:lineRule="auto"/>
        <w:jc w:val="both"/>
        <w:rPr>
          <w:rFonts w:ascii="Arial" w:hAnsi="Arial" w:cs="Arial"/>
          <w:sz w:val="20"/>
          <w:szCs w:val="20"/>
        </w:rPr>
      </w:pPr>
      <w:r w:rsidRPr="007727F4">
        <w:rPr>
          <w:rFonts w:ascii="Arial" w:hAnsi="Arial" w:cs="Arial"/>
          <w:sz w:val="20"/>
          <w:szCs w:val="20"/>
        </w:rPr>
        <w:t>Về nguồ</w:t>
      </w:r>
      <w:r w:rsidR="00075B7E" w:rsidRPr="007727F4">
        <w:rPr>
          <w:rFonts w:ascii="Arial" w:hAnsi="Arial" w:cs="Arial"/>
          <w:sz w:val="20"/>
          <w:szCs w:val="20"/>
        </w:rPr>
        <w:t>n cung, tuy đà</w:t>
      </w:r>
      <w:r w:rsidRPr="007727F4">
        <w:rPr>
          <w:rFonts w:ascii="Arial" w:hAnsi="Arial" w:cs="Arial"/>
          <w:sz w:val="20"/>
          <w:szCs w:val="20"/>
        </w:rPr>
        <w:t xml:space="preserve"> tăng giảm dần trong hai năm qua, nhưng sản lượng dầ</w:t>
      </w:r>
      <w:r w:rsidR="00C00EC3" w:rsidRPr="007727F4">
        <w:rPr>
          <w:rFonts w:ascii="Arial" w:hAnsi="Arial" w:cs="Arial"/>
          <w:sz w:val="20"/>
          <w:szCs w:val="20"/>
        </w:rPr>
        <w:t>u trên thế giới</w:t>
      </w:r>
      <w:r w:rsidRPr="007727F4">
        <w:rPr>
          <w:rFonts w:ascii="Arial" w:hAnsi="Arial" w:cs="Arial"/>
          <w:sz w:val="20"/>
          <w:szCs w:val="20"/>
        </w:rPr>
        <w:t xml:space="preserve"> trong năm 2016 vẫn dư thừa tới 0,4 triệu thùng/ngày (giảm mạnh so với mức dư thừa 1,6 triệu thùng/ngày trong năm 2015). Do giá dầu giảm, lượng dầu lưu kho tiếp tục tăng.</w:t>
      </w:r>
      <w:r w:rsidR="00075B7E" w:rsidRPr="007727F4">
        <w:rPr>
          <w:rFonts w:ascii="Arial" w:hAnsi="Arial" w:cs="Arial"/>
          <w:sz w:val="20"/>
          <w:szCs w:val="20"/>
        </w:rPr>
        <w:t xml:space="preserve"> </w:t>
      </w:r>
      <w:r w:rsidRPr="007727F4">
        <w:rPr>
          <w:rFonts w:ascii="Arial" w:hAnsi="Arial" w:cs="Arial"/>
          <w:sz w:val="20"/>
          <w:szCs w:val="20"/>
        </w:rPr>
        <w:t>Trong năm 2016, sản lượng dầu tại các nước bên ngoài OPEC giảm tới 0,8 triệu thùng/ngày (chủ yếu tại Mỹ với khoảng một nửa lượng giảm này), trong khi sản lượng dầu của OPEC tăng 1,2 triệu thùng/ngày (chủ yếu tại Iran, Irắc và Arập Xê út). Trong sáu tháng đầu năm 2017, các nước OPEC thống nhất giảm 1</w:t>
      </w:r>
      <w:proofErr w:type="gramStart"/>
      <w:r w:rsidRPr="007727F4">
        <w:rPr>
          <w:rFonts w:ascii="Arial" w:hAnsi="Arial" w:cs="Arial"/>
          <w:sz w:val="20"/>
          <w:szCs w:val="20"/>
        </w:rPr>
        <w:t>,2</w:t>
      </w:r>
      <w:proofErr w:type="gramEnd"/>
      <w:r w:rsidRPr="007727F4">
        <w:rPr>
          <w:rFonts w:ascii="Arial" w:hAnsi="Arial" w:cs="Arial"/>
          <w:sz w:val="20"/>
          <w:szCs w:val="20"/>
        </w:rPr>
        <w:t xml:space="preserve"> triệu thùng ngày so với sản lượng đạt được vào tháng 10/2016 xuống khoảng 29,8 triệu thùng/ngày. Trong đó, Arập Xê út cam kết giảm 0,49 triệu thùng/ngày, Irắc giảm 0,21 triệu thùng/ngày, riêng Nigeria và Libya được miễn trừ khỏi thỏa thuận dầu OPEC. Trong tháng 3/2017, sản lượng dầu của OPEC đạt tổng cộng 31</w:t>
      </w:r>
      <w:proofErr w:type="gramStart"/>
      <w:r w:rsidRPr="007727F4">
        <w:rPr>
          <w:rFonts w:ascii="Arial" w:hAnsi="Arial" w:cs="Arial"/>
          <w:sz w:val="20"/>
          <w:szCs w:val="20"/>
        </w:rPr>
        <w:t>,7</w:t>
      </w:r>
      <w:proofErr w:type="gramEnd"/>
      <w:r w:rsidRPr="007727F4">
        <w:rPr>
          <w:rFonts w:ascii="Arial" w:hAnsi="Arial" w:cs="Arial"/>
          <w:sz w:val="20"/>
          <w:szCs w:val="20"/>
        </w:rPr>
        <w:t xml:space="preserve"> triệu thùng/ngày, giảm 1,4 triệu thùng so với sản lượng đạt được trong tháng 12/2016. </w:t>
      </w:r>
      <w:r w:rsidR="00877EFA" w:rsidRPr="007727F4">
        <w:rPr>
          <w:rFonts w:ascii="Arial" w:hAnsi="Arial" w:cs="Arial"/>
          <w:sz w:val="20"/>
          <w:szCs w:val="20"/>
        </w:rPr>
        <w:t>Theo kế hoạch, c</w:t>
      </w:r>
      <w:r w:rsidRPr="007727F4">
        <w:rPr>
          <w:rFonts w:ascii="Arial" w:hAnsi="Arial" w:cs="Arial"/>
          <w:sz w:val="20"/>
          <w:szCs w:val="20"/>
        </w:rPr>
        <w:t>ác nước OPE</w:t>
      </w:r>
      <w:r w:rsidR="00877EFA" w:rsidRPr="007727F4">
        <w:rPr>
          <w:rFonts w:ascii="Arial" w:hAnsi="Arial" w:cs="Arial"/>
          <w:sz w:val="20"/>
          <w:szCs w:val="20"/>
        </w:rPr>
        <w:t>C</w:t>
      </w:r>
      <w:r w:rsidRPr="007727F4">
        <w:rPr>
          <w:rFonts w:ascii="Arial" w:hAnsi="Arial" w:cs="Arial"/>
          <w:sz w:val="20"/>
          <w:szCs w:val="20"/>
        </w:rPr>
        <w:t xml:space="preserve"> sẽ nhóm họp vào ngày 25/5/2017 nhằm đánh giá tình hình thị trường và tiếp tục cân nhắc hạn chế lượng dầu cung ứng trong sáu tháng cuối năm.  </w:t>
      </w:r>
    </w:p>
    <w:p w:rsidR="00343FFB" w:rsidRPr="007727F4" w:rsidRDefault="00343FFB" w:rsidP="007727F4">
      <w:pPr>
        <w:spacing w:after="60" w:line="240" w:lineRule="auto"/>
        <w:jc w:val="both"/>
        <w:rPr>
          <w:rFonts w:ascii="Arial" w:hAnsi="Arial" w:cs="Arial"/>
          <w:sz w:val="20"/>
          <w:szCs w:val="20"/>
        </w:rPr>
      </w:pPr>
      <w:r w:rsidRPr="007727F4">
        <w:rPr>
          <w:rFonts w:ascii="Arial" w:hAnsi="Arial" w:cs="Arial"/>
          <w:sz w:val="20"/>
          <w:szCs w:val="20"/>
        </w:rPr>
        <w:t xml:space="preserve">Cùng với thỏa thuận OPEC, các nước bên ngoài OPEC cũng cam kết giảm 0,56 triệu thùng/ngày, riêng CHLB Nga nhất trí giảm 0,3 triệu thùng/ngày. Theo đánh giá của Cơ quan Năng lượng quốc tế (IEA), sản lượng dầu bên ngoài OPEC đạt kỷ lục vào năm 2015, sau đó giảm 0,8 triệu thùng/ngày trong năm 2016, chủ yếu tại Mỹ (giảm 0,5 triệu thùng/ngày), Trung Quốc (giảm 0,3 triệu thùng/ngày), Colombia và Mêhicô (mỗi nước giảm 0,1 triệu thùng/ngày). </w:t>
      </w:r>
      <w:proofErr w:type="gramStart"/>
      <w:r w:rsidRPr="007727F4">
        <w:rPr>
          <w:rFonts w:ascii="Arial" w:hAnsi="Arial" w:cs="Arial"/>
          <w:sz w:val="20"/>
          <w:szCs w:val="20"/>
        </w:rPr>
        <w:t>Trái lại, sản lượng dầu tại Brazil, CHLB Nga và một số nước khác ghi nhận mức tăng nhẹ.</w:t>
      </w:r>
      <w:proofErr w:type="gramEnd"/>
      <w:r w:rsidRPr="007727F4">
        <w:rPr>
          <w:rFonts w:ascii="Arial" w:hAnsi="Arial" w:cs="Arial"/>
          <w:sz w:val="20"/>
          <w:szCs w:val="20"/>
        </w:rPr>
        <w:t xml:space="preserve"> Trong năm 2017, sản lượng dầu bên ngoài OPEC dự kiến tăng 0</w:t>
      </w:r>
      <w:proofErr w:type="gramStart"/>
      <w:r w:rsidRPr="007727F4">
        <w:rPr>
          <w:rFonts w:ascii="Arial" w:hAnsi="Arial" w:cs="Arial"/>
          <w:sz w:val="20"/>
          <w:szCs w:val="20"/>
        </w:rPr>
        <w:t>,5</w:t>
      </w:r>
      <w:proofErr w:type="gramEnd"/>
      <w:r w:rsidRPr="007727F4">
        <w:rPr>
          <w:rFonts w:ascii="Arial" w:hAnsi="Arial" w:cs="Arial"/>
          <w:sz w:val="20"/>
          <w:szCs w:val="20"/>
        </w:rPr>
        <w:t xml:space="preserve"> triệu thùng/ngày, chủ yếu tại Mỹ (tăng khoảng 0,4 triệu thùng/ngày). </w:t>
      </w:r>
    </w:p>
    <w:p w:rsidR="00343FFB" w:rsidRPr="007727F4" w:rsidRDefault="00343FFB" w:rsidP="007727F4">
      <w:pPr>
        <w:spacing w:after="60" w:line="240" w:lineRule="auto"/>
        <w:jc w:val="both"/>
        <w:rPr>
          <w:rFonts w:ascii="Arial" w:hAnsi="Arial" w:cs="Arial"/>
          <w:sz w:val="20"/>
          <w:szCs w:val="20"/>
        </w:rPr>
      </w:pPr>
      <w:r w:rsidRPr="007727F4">
        <w:rPr>
          <w:rFonts w:ascii="Arial" w:hAnsi="Arial" w:cs="Arial"/>
          <w:sz w:val="20"/>
          <w:szCs w:val="20"/>
        </w:rPr>
        <w:t xml:space="preserve">Sau khi giảm xuống 8,7 triệu thùng/ngày trong quý III/2016, sản lượng dầu tại Mỹ tăng lên 9,0 triệu thùng ngày vào tháng 3/2017, chủ yếu là sản lượng dầu đá phiến và một số giếng dầu tại Vịnh Mêxicô và Alaska. </w:t>
      </w:r>
      <w:proofErr w:type="gramStart"/>
      <w:r w:rsidRPr="007727F4">
        <w:rPr>
          <w:rFonts w:ascii="Arial" w:hAnsi="Arial" w:cs="Arial"/>
          <w:sz w:val="20"/>
          <w:szCs w:val="20"/>
        </w:rPr>
        <w:t>Cơ quan Thông tin năng lượng Mỹ (EIA) dự báo, sản lượng dầu tại Mỹ sẽ đạt khoảng 10 triệu thùng vào năm 2018.</w:t>
      </w:r>
      <w:proofErr w:type="gramEnd"/>
    </w:p>
    <w:p w:rsidR="00076A51" w:rsidRPr="007727F4" w:rsidRDefault="00076A51" w:rsidP="007727F4">
      <w:pPr>
        <w:spacing w:after="60" w:line="240" w:lineRule="auto"/>
        <w:jc w:val="both"/>
        <w:rPr>
          <w:rFonts w:ascii="Arial" w:hAnsi="Arial" w:cs="Arial"/>
          <w:sz w:val="20"/>
          <w:szCs w:val="20"/>
        </w:rPr>
      </w:pPr>
      <w:r w:rsidRPr="007727F4">
        <w:rPr>
          <w:rFonts w:ascii="Arial" w:hAnsi="Arial" w:cs="Arial"/>
          <w:sz w:val="20"/>
          <w:szCs w:val="20"/>
        </w:rPr>
        <w:t xml:space="preserve">Theo dự báo, giá năng lượng sẽ tăng 26% trong năm 2017 và tăng 8% trong năm 2018, giá </w:t>
      </w:r>
      <w:r w:rsidR="00877EFA" w:rsidRPr="007727F4">
        <w:rPr>
          <w:rFonts w:ascii="Arial" w:hAnsi="Arial" w:cs="Arial"/>
          <w:sz w:val="20"/>
          <w:szCs w:val="20"/>
        </w:rPr>
        <w:t xml:space="preserve">cả </w:t>
      </w:r>
      <w:r w:rsidRPr="007727F4">
        <w:rPr>
          <w:rFonts w:ascii="Arial" w:hAnsi="Arial" w:cs="Arial"/>
          <w:sz w:val="20"/>
          <w:szCs w:val="20"/>
        </w:rPr>
        <w:t xml:space="preserve">các mặt hàng phi năng lượng tăng 4% trong năm 2017, tăng 1% so với dự báo đưa ra hồi tháng 01/2017 và ghi nhận năm đầu tiên sau 5 năm giảm liên tục. </w:t>
      </w:r>
      <w:proofErr w:type="gramStart"/>
      <w:r w:rsidRPr="007727F4">
        <w:rPr>
          <w:rFonts w:ascii="Arial" w:hAnsi="Arial" w:cs="Arial"/>
          <w:sz w:val="20"/>
          <w:szCs w:val="20"/>
        </w:rPr>
        <w:t xml:space="preserve">Trong năm 2017, giá dầu </w:t>
      </w:r>
      <w:r w:rsidR="00B467A2" w:rsidRPr="007727F4">
        <w:rPr>
          <w:rFonts w:ascii="Arial" w:hAnsi="Arial" w:cs="Arial"/>
          <w:sz w:val="20"/>
          <w:szCs w:val="20"/>
        </w:rPr>
        <w:t xml:space="preserve">thô </w:t>
      </w:r>
      <w:r w:rsidRPr="007727F4">
        <w:rPr>
          <w:rFonts w:ascii="Arial" w:hAnsi="Arial" w:cs="Arial"/>
          <w:sz w:val="20"/>
          <w:szCs w:val="20"/>
        </w:rPr>
        <w:t>được dự báo đạt mức trung bình 55 USD/thùng, không thay đổi so với dự báo đưa ra hồi tháng 01/2017.</w:t>
      </w:r>
      <w:proofErr w:type="gramEnd"/>
      <w:r w:rsidRPr="007727F4">
        <w:rPr>
          <w:rFonts w:ascii="Arial" w:hAnsi="Arial" w:cs="Arial"/>
          <w:sz w:val="20"/>
          <w:szCs w:val="20"/>
        </w:rPr>
        <w:t xml:space="preserve"> Thị trường dầu </w:t>
      </w:r>
      <w:r w:rsidR="00B467A2" w:rsidRPr="007727F4">
        <w:rPr>
          <w:rFonts w:ascii="Arial" w:hAnsi="Arial" w:cs="Arial"/>
          <w:sz w:val="20"/>
          <w:szCs w:val="20"/>
        </w:rPr>
        <w:t xml:space="preserve">mỏ </w:t>
      </w:r>
      <w:r w:rsidRPr="007727F4">
        <w:rPr>
          <w:rFonts w:ascii="Arial" w:hAnsi="Arial" w:cs="Arial"/>
          <w:sz w:val="20"/>
          <w:szCs w:val="20"/>
        </w:rPr>
        <w:t xml:space="preserve">được dự báo sẽ thắt chặt trong quý II/2017, chủ yếu do các nước trong và ngoài OPEC kiềm chế sản lượng dầu cung ứng. </w:t>
      </w:r>
      <w:r w:rsidR="00F955E3" w:rsidRPr="007727F4">
        <w:rPr>
          <w:rFonts w:ascii="Arial" w:hAnsi="Arial" w:cs="Arial"/>
          <w:sz w:val="20"/>
          <w:szCs w:val="20"/>
        </w:rPr>
        <w:t xml:space="preserve">Trong năm 2018, giá dầu </w:t>
      </w:r>
      <w:r w:rsidR="00B467A2" w:rsidRPr="007727F4">
        <w:rPr>
          <w:rFonts w:ascii="Arial" w:hAnsi="Arial" w:cs="Arial"/>
          <w:sz w:val="20"/>
          <w:szCs w:val="20"/>
        </w:rPr>
        <w:t xml:space="preserve">thô </w:t>
      </w:r>
      <w:r w:rsidR="00F955E3" w:rsidRPr="007727F4">
        <w:rPr>
          <w:rFonts w:ascii="Arial" w:hAnsi="Arial" w:cs="Arial"/>
          <w:sz w:val="20"/>
          <w:szCs w:val="20"/>
        </w:rPr>
        <w:t xml:space="preserve">được dự báo tiếp tục tăng lên mức giá trung bình 60 USD/thùng do cung - cầu cân bằng, mặc dù sản lượng dầu đá phiến cản trở đà tăng này. Giá dầu có thể tăng cao hơn dự báo, nếu sản lượng dầu thấp hơn cam kết </w:t>
      </w:r>
      <w:r w:rsidR="00877EFA" w:rsidRPr="007727F4">
        <w:rPr>
          <w:rFonts w:ascii="Arial" w:hAnsi="Arial" w:cs="Arial"/>
          <w:sz w:val="20"/>
          <w:szCs w:val="20"/>
        </w:rPr>
        <w:t xml:space="preserve">về </w:t>
      </w:r>
      <w:r w:rsidR="00F955E3" w:rsidRPr="007727F4">
        <w:rPr>
          <w:rFonts w:ascii="Arial" w:hAnsi="Arial" w:cs="Arial"/>
          <w:sz w:val="20"/>
          <w:szCs w:val="20"/>
        </w:rPr>
        <w:t xml:space="preserve">cắt giảm </w:t>
      </w:r>
      <w:r w:rsidR="00877EFA" w:rsidRPr="007727F4">
        <w:rPr>
          <w:rFonts w:ascii="Arial" w:hAnsi="Arial" w:cs="Arial"/>
          <w:sz w:val="20"/>
          <w:szCs w:val="20"/>
        </w:rPr>
        <w:t xml:space="preserve">sản lượng dầu cung ứng </w:t>
      </w:r>
      <w:r w:rsidR="00F955E3" w:rsidRPr="007727F4">
        <w:rPr>
          <w:rFonts w:ascii="Arial" w:hAnsi="Arial" w:cs="Arial"/>
          <w:sz w:val="20"/>
          <w:szCs w:val="20"/>
        </w:rPr>
        <w:t>và nguy cơ gián đoạn nguồn cung tại một số nước như Nigeria và Libya. Giá dầu có thể xuống thấp hơn mức giá kỳ vọng, nếu cam kết cắt giảm sản lượng dầu không được tuân thủ đầy đủ và một số nước vẫn tăng cường sả</w:t>
      </w:r>
      <w:r w:rsidR="00877EFA" w:rsidRPr="007727F4">
        <w:rPr>
          <w:rFonts w:ascii="Arial" w:hAnsi="Arial" w:cs="Arial"/>
          <w:sz w:val="20"/>
          <w:szCs w:val="20"/>
        </w:rPr>
        <w:t>n xuất</w:t>
      </w:r>
      <w:r w:rsidR="00F955E3" w:rsidRPr="007727F4">
        <w:rPr>
          <w:rFonts w:ascii="Arial" w:hAnsi="Arial" w:cs="Arial"/>
          <w:sz w:val="20"/>
          <w:szCs w:val="20"/>
        </w:rPr>
        <w:t xml:space="preserve"> dầu, trong đó hoạt động chiết xuất dầu đá phiến tại Mỹ có thể kiềm chế nỗ lực tái cân bằng cung - cầu và nhu cầu tăng thấp.</w:t>
      </w:r>
    </w:p>
    <w:p w:rsidR="00B467A2" w:rsidRPr="007727F4" w:rsidRDefault="00F955E3" w:rsidP="007727F4">
      <w:pPr>
        <w:spacing w:after="60" w:line="240" w:lineRule="auto"/>
        <w:jc w:val="both"/>
        <w:rPr>
          <w:rFonts w:ascii="Arial" w:hAnsi="Arial" w:cs="Arial"/>
          <w:sz w:val="20"/>
          <w:szCs w:val="20"/>
        </w:rPr>
      </w:pPr>
      <w:r w:rsidRPr="007727F4">
        <w:rPr>
          <w:rFonts w:ascii="Arial" w:hAnsi="Arial" w:cs="Arial"/>
          <w:sz w:val="20"/>
          <w:szCs w:val="20"/>
        </w:rPr>
        <w:t xml:space="preserve">Trong năm 2017, giá khí đốt tự nhiên được dự báo tăng 15%, chủ yếu nhờ kỳ vọng tăng 20% tại Mỹ do nhu cầu trong nước và xuất khẩu đều tăng mạnh, trong khi có thể chỉ tăng khiêm tốn tại châu Âu và Nhật Bản do giá dầu tăng cao. Giá than được kỳ vọng tăng 6% trong năm 2017, do Trung Quốc áp dụng chính sách hạn chế khai thác trong năm 2016. </w:t>
      </w:r>
      <w:r w:rsidR="00B467A2" w:rsidRPr="007727F4">
        <w:rPr>
          <w:rFonts w:ascii="Arial" w:hAnsi="Arial" w:cs="Arial"/>
          <w:sz w:val="20"/>
          <w:szCs w:val="20"/>
        </w:rPr>
        <w:t>Liên quan đến vấn đề này, c</w:t>
      </w:r>
      <w:r w:rsidRPr="007727F4">
        <w:rPr>
          <w:rFonts w:ascii="Arial" w:hAnsi="Arial" w:cs="Arial"/>
          <w:sz w:val="20"/>
          <w:szCs w:val="20"/>
        </w:rPr>
        <w:t xml:space="preserve">hính sách khai thác than tại Trung Quốc là yếu tố quyết định giá than đá trên thị trường, do nhu cầu tiêu thụ tại quốc gia này sử dụng tới 50% sản lượng than trên toàn cầu. </w:t>
      </w:r>
    </w:p>
    <w:p w:rsidR="001E49DD" w:rsidRPr="007727F4" w:rsidRDefault="001E49DD" w:rsidP="007727F4">
      <w:pPr>
        <w:spacing w:after="60" w:line="240" w:lineRule="auto"/>
        <w:jc w:val="both"/>
        <w:rPr>
          <w:rFonts w:ascii="Arial" w:hAnsi="Arial" w:cs="Arial"/>
          <w:sz w:val="20"/>
          <w:szCs w:val="20"/>
        </w:rPr>
      </w:pPr>
      <w:r w:rsidRPr="007727F4">
        <w:rPr>
          <w:rFonts w:ascii="Arial" w:hAnsi="Arial" w:cs="Arial"/>
          <w:sz w:val="20"/>
          <w:szCs w:val="20"/>
        </w:rPr>
        <w:t>Liên quan đến nhóm hàng thực phẩm, giá ngũ cốc tăng 4% trong quý I/2017, phản ánh sự thiếu hụt sản lượng ngô và bột mỳ tại Mỹ, nhưng mức giá này chỉ bằng 50% mức giá kỷ lục vào năm 2012. Về tổng thể, báo cáo tháng 4/2017 của WB nhận định, tình hình thời tiết trong mùa vụ 2016-2017 tiếp tục diễn biến thuận lợi cho hoạt động trồng trọ</w:t>
      </w:r>
      <w:r w:rsidR="00BC4008" w:rsidRPr="007727F4">
        <w:rPr>
          <w:rFonts w:ascii="Arial" w:hAnsi="Arial" w:cs="Arial"/>
          <w:sz w:val="20"/>
          <w:szCs w:val="20"/>
        </w:rPr>
        <w:t>t</w:t>
      </w:r>
      <w:r w:rsidRPr="007727F4">
        <w:rPr>
          <w:rFonts w:ascii="Arial" w:hAnsi="Arial" w:cs="Arial"/>
          <w:sz w:val="20"/>
          <w:szCs w:val="20"/>
        </w:rPr>
        <w:t xml:space="preserve"> </w:t>
      </w:r>
      <w:proofErr w:type="gramStart"/>
      <w:r w:rsidRPr="007727F4">
        <w:rPr>
          <w:rFonts w:ascii="Arial" w:hAnsi="Arial" w:cs="Arial"/>
          <w:sz w:val="20"/>
          <w:szCs w:val="20"/>
        </w:rPr>
        <w:t>ngũ</w:t>
      </w:r>
      <w:proofErr w:type="gramEnd"/>
      <w:r w:rsidRPr="007727F4">
        <w:rPr>
          <w:rFonts w:ascii="Arial" w:hAnsi="Arial" w:cs="Arial"/>
          <w:sz w:val="20"/>
          <w:szCs w:val="20"/>
        </w:rPr>
        <w:t xml:space="preserve"> cốc. Theo Bộ Nông nghiệp Mỹ, sản lượng ngũ cốc toàn cầu năm 2016-2017 sẽ</w:t>
      </w:r>
      <w:r w:rsidR="00BC4008" w:rsidRPr="007727F4">
        <w:rPr>
          <w:rFonts w:ascii="Arial" w:hAnsi="Arial" w:cs="Arial"/>
          <w:sz w:val="20"/>
          <w:szCs w:val="20"/>
        </w:rPr>
        <w:t xml:space="preserve"> lập</w:t>
      </w:r>
      <w:r w:rsidRPr="007727F4">
        <w:rPr>
          <w:rFonts w:ascii="Arial" w:hAnsi="Arial" w:cs="Arial"/>
          <w:sz w:val="20"/>
          <w:szCs w:val="20"/>
        </w:rPr>
        <w:t xml:space="preserve"> kỷ lục mới với 751 triệu tấn, chủ yếu nhờ vụ lúa mỳ bội thu tại các nướ</w:t>
      </w:r>
      <w:r w:rsidR="00BC4008" w:rsidRPr="007727F4">
        <w:rPr>
          <w:rFonts w:ascii="Arial" w:hAnsi="Arial" w:cs="Arial"/>
          <w:sz w:val="20"/>
          <w:szCs w:val="20"/>
        </w:rPr>
        <w:t>c gieo trồng</w:t>
      </w:r>
      <w:r w:rsidRPr="007727F4">
        <w:rPr>
          <w:rFonts w:ascii="Arial" w:hAnsi="Arial" w:cs="Arial"/>
          <w:sz w:val="20"/>
          <w:szCs w:val="20"/>
        </w:rPr>
        <w:t xml:space="preserve"> và xuất khẩu chủ chốt như Australia, Liên minh châu Âu, CHLB Nga, Ukraina. </w:t>
      </w:r>
    </w:p>
    <w:p w:rsidR="001E49DD" w:rsidRPr="007727F4" w:rsidRDefault="001E49DD" w:rsidP="007727F4">
      <w:pPr>
        <w:spacing w:after="60" w:line="240" w:lineRule="auto"/>
        <w:jc w:val="both"/>
        <w:rPr>
          <w:rFonts w:ascii="Arial" w:hAnsi="Arial" w:cs="Arial"/>
          <w:sz w:val="20"/>
          <w:szCs w:val="20"/>
        </w:rPr>
      </w:pPr>
      <w:r w:rsidRPr="007727F4">
        <w:rPr>
          <w:rFonts w:ascii="Arial" w:hAnsi="Arial" w:cs="Arial"/>
          <w:sz w:val="20"/>
          <w:szCs w:val="20"/>
        </w:rPr>
        <w:lastRenderedPageBreak/>
        <w:t>Theo nhận định của Tổ chức Nông nghiệp và Lương thực thế giới (FAO), trong mùa vụ 2017-2018, sản lượng lúa mỳ tại các nước sản xuất chủ chốt sẽ giảm, bao gồm Mỹ và Canada, do diện tích gieo trồng giả</w:t>
      </w:r>
      <w:r w:rsidR="00BC4008" w:rsidRPr="007727F4">
        <w:rPr>
          <w:rFonts w:ascii="Arial" w:hAnsi="Arial" w:cs="Arial"/>
          <w:sz w:val="20"/>
          <w:szCs w:val="20"/>
        </w:rPr>
        <w:t>m. Nhờ điều kiện</w:t>
      </w:r>
      <w:r w:rsidRPr="007727F4">
        <w:rPr>
          <w:rFonts w:ascii="Arial" w:hAnsi="Arial" w:cs="Arial"/>
          <w:sz w:val="20"/>
          <w:szCs w:val="20"/>
        </w:rPr>
        <w:t xml:space="preserve"> thời tiết thuận lợi, sản lượng ngô tiếp tục tăng 10% trong mùa vụ 2016-2017, và tiếp tục tăng 1% trong mùa vụ 2017-2018. Trong mùa vụ 2016-2017, sản lượng gạo được kỳ vọng tăng trên 55, do vụ mùa bội </w:t>
      </w:r>
      <w:proofErr w:type="gramStart"/>
      <w:r w:rsidRPr="007727F4">
        <w:rPr>
          <w:rFonts w:ascii="Arial" w:hAnsi="Arial" w:cs="Arial"/>
          <w:sz w:val="20"/>
          <w:szCs w:val="20"/>
        </w:rPr>
        <w:t>thu</w:t>
      </w:r>
      <w:proofErr w:type="gramEnd"/>
      <w:r w:rsidRPr="007727F4">
        <w:rPr>
          <w:rFonts w:ascii="Arial" w:hAnsi="Arial" w:cs="Arial"/>
          <w:sz w:val="20"/>
          <w:szCs w:val="20"/>
        </w:rPr>
        <w:t xml:space="preserve"> tại các nước Đông Nam Á, bao gồm Indonesia, Thái Lan và Philippines. Nhờ đó, nhu cầu tiêu thụ bột mỳ và ngô trên toàn cầu được dự</w:t>
      </w:r>
      <w:r w:rsidR="00BC4008" w:rsidRPr="007727F4">
        <w:rPr>
          <w:rFonts w:ascii="Arial" w:hAnsi="Arial" w:cs="Arial"/>
          <w:sz w:val="20"/>
          <w:szCs w:val="20"/>
        </w:rPr>
        <w:t xml:space="preserve"> báo</w:t>
      </w:r>
      <w:r w:rsidRPr="007727F4">
        <w:rPr>
          <w:rFonts w:ascii="Arial" w:hAnsi="Arial" w:cs="Arial"/>
          <w:sz w:val="20"/>
          <w:szCs w:val="20"/>
        </w:rPr>
        <w:t xml:space="preserve"> tăng 4% trong năm 2017, sản lượng và nhu cầu về gạo được dự</w:t>
      </w:r>
      <w:r w:rsidR="00BC4008" w:rsidRPr="007727F4">
        <w:rPr>
          <w:rFonts w:ascii="Arial" w:hAnsi="Arial" w:cs="Arial"/>
          <w:sz w:val="20"/>
          <w:szCs w:val="20"/>
        </w:rPr>
        <w:t xml:space="preserve"> báo</w:t>
      </w:r>
      <w:r w:rsidRPr="007727F4">
        <w:rPr>
          <w:rFonts w:ascii="Arial" w:hAnsi="Arial" w:cs="Arial"/>
          <w:sz w:val="20"/>
          <w:szCs w:val="20"/>
        </w:rPr>
        <w:t xml:space="preserve"> tăng 1% trong năm 2017-2018.</w:t>
      </w:r>
    </w:p>
    <w:p w:rsidR="00BC4008" w:rsidRPr="007727F4" w:rsidRDefault="00BC4008" w:rsidP="007727F4">
      <w:pPr>
        <w:spacing w:after="60" w:line="240" w:lineRule="auto"/>
        <w:jc w:val="both"/>
        <w:rPr>
          <w:rFonts w:ascii="Arial" w:hAnsi="Arial" w:cs="Arial"/>
          <w:sz w:val="20"/>
          <w:szCs w:val="20"/>
        </w:rPr>
      </w:pPr>
      <w:proofErr w:type="gramStart"/>
      <w:r w:rsidRPr="007727F4">
        <w:rPr>
          <w:rFonts w:ascii="Arial" w:hAnsi="Arial" w:cs="Arial"/>
          <w:sz w:val="20"/>
          <w:szCs w:val="20"/>
        </w:rPr>
        <w:t>T</w:t>
      </w:r>
      <w:r w:rsidR="001E49DD" w:rsidRPr="007727F4">
        <w:rPr>
          <w:rFonts w:ascii="Arial" w:hAnsi="Arial" w:cs="Arial"/>
          <w:sz w:val="20"/>
          <w:szCs w:val="20"/>
        </w:rPr>
        <w:t>rong</w:t>
      </w:r>
      <w:r w:rsidR="00F955E3" w:rsidRPr="007727F4">
        <w:rPr>
          <w:rFonts w:ascii="Arial" w:hAnsi="Arial" w:cs="Arial"/>
          <w:sz w:val="20"/>
          <w:szCs w:val="20"/>
        </w:rPr>
        <w:t xml:space="preserve"> năm 2017, giá nông sản được dự báo sẽ tương đối ổn định, nhưng có sự khác biệt đáng kể giữa các mặt hàng.</w:t>
      </w:r>
      <w:proofErr w:type="gramEnd"/>
      <w:r w:rsidR="00F955E3" w:rsidRPr="007727F4">
        <w:rPr>
          <w:rFonts w:ascii="Arial" w:hAnsi="Arial" w:cs="Arial"/>
          <w:sz w:val="20"/>
          <w:szCs w:val="20"/>
        </w:rPr>
        <w:t xml:space="preserve"> Giá </w:t>
      </w:r>
      <w:proofErr w:type="gramStart"/>
      <w:r w:rsidR="00F955E3" w:rsidRPr="007727F4">
        <w:rPr>
          <w:rFonts w:ascii="Arial" w:hAnsi="Arial" w:cs="Arial"/>
          <w:sz w:val="20"/>
          <w:szCs w:val="20"/>
        </w:rPr>
        <w:t>ngũ</w:t>
      </w:r>
      <w:proofErr w:type="gramEnd"/>
      <w:r w:rsidR="00F955E3" w:rsidRPr="007727F4">
        <w:rPr>
          <w:rFonts w:ascii="Arial" w:hAnsi="Arial" w:cs="Arial"/>
          <w:sz w:val="20"/>
          <w:szCs w:val="20"/>
        </w:rPr>
        <w:t xml:space="preserve"> cốc được dự báo giảm 3%, không thay đổi so với dự báo đưa ra hồi tháng 01/2017, nguyên nhân là do điều kiện thuận lợi đã hỗ trợ nguồn cung ứng hầu như tất cả các mặt hàng ngũ cốc. Tuy nhiên, giá dầu thực vật và các mặt hàng ăn uống được dự báo tăng 3% do nguồn cung hạn chế tại Đông Á và Nam Mỹ. Trong năm 2017, giá đồ uống được dự báo giả</w:t>
      </w:r>
      <w:r w:rsidR="00C00EC3" w:rsidRPr="007727F4">
        <w:rPr>
          <w:rFonts w:ascii="Arial" w:hAnsi="Arial" w:cs="Arial"/>
          <w:sz w:val="20"/>
          <w:szCs w:val="20"/>
        </w:rPr>
        <w:t xml:space="preserve">m </w:t>
      </w:r>
      <w:r w:rsidR="00F955E3" w:rsidRPr="007727F4">
        <w:rPr>
          <w:rFonts w:ascii="Arial" w:hAnsi="Arial" w:cs="Arial"/>
          <w:sz w:val="20"/>
          <w:szCs w:val="20"/>
        </w:rPr>
        <w:t>6</w:t>
      </w:r>
      <w:proofErr w:type="gramStart"/>
      <w:r w:rsidR="00C00EC3" w:rsidRPr="007727F4">
        <w:rPr>
          <w:rFonts w:ascii="Arial" w:hAnsi="Arial" w:cs="Arial"/>
          <w:sz w:val="20"/>
          <w:szCs w:val="20"/>
        </w:rPr>
        <w:t>,4</w:t>
      </w:r>
      <w:proofErr w:type="gramEnd"/>
      <w:r w:rsidR="00F955E3" w:rsidRPr="007727F4">
        <w:rPr>
          <w:rFonts w:ascii="Arial" w:hAnsi="Arial" w:cs="Arial"/>
          <w:sz w:val="20"/>
          <w:szCs w:val="20"/>
        </w:rPr>
        <w:t xml:space="preserve">%, giảm </w:t>
      </w:r>
      <w:r w:rsidR="00C00EC3" w:rsidRPr="007727F4">
        <w:rPr>
          <w:rFonts w:ascii="Arial" w:hAnsi="Arial" w:cs="Arial"/>
          <w:sz w:val="20"/>
          <w:szCs w:val="20"/>
        </w:rPr>
        <w:t>mạnh</w:t>
      </w:r>
      <w:r w:rsidR="00F955E3" w:rsidRPr="007727F4">
        <w:rPr>
          <w:rFonts w:ascii="Arial" w:hAnsi="Arial" w:cs="Arial"/>
          <w:sz w:val="20"/>
          <w:szCs w:val="20"/>
        </w:rPr>
        <w:t xml:space="preserve"> so với dự báo đưa ra hồi tháng 01/2017, do vụ mùa bội thu tại Tây Phi đã đẩy giá cacao giảm sâu. Giá nông sản thô được dự báo tăng 4%, do </w:t>
      </w:r>
      <w:proofErr w:type="gramStart"/>
      <w:r w:rsidR="00F955E3" w:rsidRPr="007727F4">
        <w:rPr>
          <w:rFonts w:ascii="Arial" w:hAnsi="Arial" w:cs="Arial"/>
          <w:sz w:val="20"/>
          <w:szCs w:val="20"/>
        </w:rPr>
        <w:t>lũ</w:t>
      </w:r>
      <w:proofErr w:type="gramEnd"/>
      <w:r w:rsidR="00F955E3" w:rsidRPr="007727F4">
        <w:rPr>
          <w:rFonts w:ascii="Arial" w:hAnsi="Arial" w:cs="Arial"/>
          <w:sz w:val="20"/>
          <w:szCs w:val="20"/>
        </w:rPr>
        <w:t xml:space="preserve"> lụt tại Đông Nam Á sẽ hạn chế nguồn cung các mặt hàng cao su tư nhiên. Trong năm 2017-2018, đà tăng giá các mặt hàng nông sản bị kiềm chế do </w:t>
      </w:r>
      <w:proofErr w:type="gramStart"/>
      <w:r w:rsidR="00F955E3" w:rsidRPr="007727F4">
        <w:rPr>
          <w:rFonts w:ascii="Arial" w:hAnsi="Arial" w:cs="Arial"/>
          <w:sz w:val="20"/>
          <w:szCs w:val="20"/>
        </w:rPr>
        <w:t>chu</w:t>
      </w:r>
      <w:proofErr w:type="gramEnd"/>
      <w:r w:rsidR="00F955E3" w:rsidRPr="007727F4">
        <w:rPr>
          <w:rFonts w:ascii="Arial" w:hAnsi="Arial" w:cs="Arial"/>
          <w:sz w:val="20"/>
          <w:szCs w:val="20"/>
        </w:rPr>
        <w:t xml:space="preserve"> kỳ El Ninô và La Nina kết thúc, sau khi bắt đầu diễn ra vào cuối năm 2015. </w:t>
      </w:r>
      <w:proofErr w:type="gramStart"/>
      <w:r w:rsidR="00F955E3" w:rsidRPr="007727F4">
        <w:rPr>
          <w:rFonts w:ascii="Arial" w:hAnsi="Arial" w:cs="Arial"/>
          <w:sz w:val="20"/>
          <w:szCs w:val="20"/>
        </w:rPr>
        <w:t>Tuy nhiên, giá nông sản có thể giảm thấp hơn kỳ vọng, nếu một số chính phủ áp dụng chính sách hỗ trợ nông nghiệp và giá năng lượng giảm do các hoạt động nông nghiệp khá nhạy cảm với giá năng lượng.</w:t>
      </w:r>
      <w:proofErr w:type="gramEnd"/>
      <w:r w:rsidR="00F955E3" w:rsidRPr="007727F4">
        <w:rPr>
          <w:rFonts w:ascii="Arial" w:hAnsi="Arial" w:cs="Arial"/>
          <w:sz w:val="20"/>
          <w:szCs w:val="20"/>
        </w:rPr>
        <w:t xml:space="preserve"> Giá phân bón được dự báo tăng 1%, nhưng </w:t>
      </w:r>
      <w:r w:rsidR="00877EFA" w:rsidRPr="007727F4">
        <w:rPr>
          <w:rFonts w:ascii="Arial" w:hAnsi="Arial" w:cs="Arial"/>
          <w:sz w:val="20"/>
          <w:szCs w:val="20"/>
        </w:rPr>
        <w:t xml:space="preserve">nguồn cung trên </w:t>
      </w:r>
      <w:r w:rsidR="00F955E3" w:rsidRPr="007727F4">
        <w:rPr>
          <w:rFonts w:ascii="Arial" w:hAnsi="Arial" w:cs="Arial"/>
          <w:sz w:val="20"/>
          <w:szCs w:val="20"/>
        </w:rPr>
        <w:t>thị trường vẫ</w:t>
      </w:r>
      <w:r w:rsidR="00877EFA" w:rsidRPr="007727F4">
        <w:rPr>
          <w:rFonts w:ascii="Arial" w:hAnsi="Arial" w:cs="Arial"/>
          <w:sz w:val="20"/>
          <w:szCs w:val="20"/>
        </w:rPr>
        <w:t>n đáp</w:t>
      </w:r>
      <w:r w:rsidR="00F955E3" w:rsidRPr="007727F4">
        <w:rPr>
          <w:rFonts w:ascii="Arial" w:hAnsi="Arial" w:cs="Arial"/>
          <w:sz w:val="20"/>
          <w:szCs w:val="20"/>
        </w:rPr>
        <w:t xml:space="preserve"> ứng đầy đủ. </w:t>
      </w:r>
    </w:p>
    <w:p w:rsidR="00F955E3" w:rsidRPr="007727F4" w:rsidRDefault="00BC4008" w:rsidP="007727F4">
      <w:pPr>
        <w:spacing w:after="60" w:line="240" w:lineRule="auto"/>
        <w:jc w:val="both"/>
        <w:rPr>
          <w:rFonts w:ascii="Arial" w:hAnsi="Arial" w:cs="Arial"/>
          <w:sz w:val="20"/>
          <w:szCs w:val="20"/>
        </w:rPr>
      </w:pPr>
      <w:r w:rsidRPr="007727F4">
        <w:rPr>
          <w:rFonts w:ascii="Arial" w:hAnsi="Arial" w:cs="Arial"/>
          <w:sz w:val="20"/>
          <w:szCs w:val="20"/>
        </w:rPr>
        <w:t>Về giá cả các mặt hàng kim loại và khoáng chất, s</w:t>
      </w:r>
      <w:r w:rsidR="00F955E3" w:rsidRPr="007727F4">
        <w:rPr>
          <w:rFonts w:ascii="Arial" w:hAnsi="Arial" w:cs="Arial"/>
          <w:sz w:val="20"/>
          <w:szCs w:val="20"/>
        </w:rPr>
        <w:t>au khi giảm gần 7% trong năm 2016, giá kim loại được dự báo tăng 16% trong năm 2017, do nhu cầu tăng cao trong khi nguồn cung hạn chế</w:t>
      </w:r>
      <w:r w:rsidR="00877EFA" w:rsidRPr="007727F4">
        <w:rPr>
          <w:rFonts w:ascii="Arial" w:hAnsi="Arial" w:cs="Arial"/>
          <w:sz w:val="20"/>
          <w:szCs w:val="20"/>
        </w:rPr>
        <w:t xml:space="preserve">. </w:t>
      </w:r>
      <w:proofErr w:type="gramStart"/>
      <w:r w:rsidR="00877EFA" w:rsidRPr="007727F4">
        <w:rPr>
          <w:rFonts w:ascii="Arial" w:hAnsi="Arial" w:cs="Arial"/>
          <w:sz w:val="20"/>
          <w:szCs w:val="20"/>
        </w:rPr>
        <w:t>Đáng chú ý</w:t>
      </w:r>
      <w:r w:rsidR="00F955E3" w:rsidRPr="007727F4">
        <w:rPr>
          <w:rFonts w:ascii="Arial" w:hAnsi="Arial" w:cs="Arial"/>
          <w:sz w:val="20"/>
          <w:szCs w:val="20"/>
        </w:rPr>
        <w:t>, nguồn cung cạn kiệt sẽ đẩy giá kẽ</w:t>
      </w:r>
      <w:r w:rsidR="00877EFA" w:rsidRPr="007727F4">
        <w:rPr>
          <w:rFonts w:ascii="Arial" w:hAnsi="Arial" w:cs="Arial"/>
          <w:sz w:val="20"/>
          <w:szCs w:val="20"/>
        </w:rPr>
        <w:t xml:space="preserve">m và giá </w:t>
      </w:r>
      <w:r w:rsidR="00F955E3" w:rsidRPr="007727F4">
        <w:rPr>
          <w:rFonts w:ascii="Arial" w:hAnsi="Arial" w:cs="Arial"/>
          <w:sz w:val="20"/>
          <w:szCs w:val="20"/>
        </w:rPr>
        <w:t>chì tăng cao (32% và 18%)</w:t>
      </w:r>
      <w:r w:rsidR="001A545B" w:rsidRPr="007727F4">
        <w:rPr>
          <w:rFonts w:ascii="Arial" w:hAnsi="Arial" w:cs="Arial"/>
          <w:sz w:val="20"/>
          <w:szCs w:val="20"/>
        </w:rPr>
        <w:t>.</w:t>
      </w:r>
      <w:proofErr w:type="gramEnd"/>
      <w:r w:rsidR="001A545B" w:rsidRPr="007727F4">
        <w:rPr>
          <w:rFonts w:ascii="Arial" w:hAnsi="Arial" w:cs="Arial"/>
          <w:sz w:val="20"/>
          <w:szCs w:val="20"/>
        </w:rPr>
        <w:t xml:space="preserve"> Tương tự</w:t>
      </w:r>
      <w:r w:rsidR="00F955E3" w:rsidRPr="007727F4">
        <w:rPr>
          <w:rFonts w:ascii="Arial" w:hAnsi="Arial" w:cs="Arial"/>
          <w:sz w:val="20"/>
          <w:szCs w:val="20"/>
        </w:rPr>
        <w:t>, giá đồng được dự báo tăng 18% do gián đoạn nguồn cung tại một số nước cung ứng hàng đầu như đình công tại Chilê, chính sách sách mới về xuất khẩu khoáng sản tại Indonesia, thời tiết bất lợi tại Peru. Rủi ro giá kim loại giảm cũng có thể bắt nguồn từ xu hướng tăng trưởng GDP chậm dần tại Trung Quốc và sản lượng tăng cao hơn kỳ vọng, năng lực dư thừa khi một số dự án bắt đầu tiến hành hoạt động khai thác và chế biến kim loạ</w:t>
      </w:r>
      <w:r w:rsidR="001A545B" w:rsidRPr="007727F4">
        <w:rPr>
          <w:rFonts w:ascii="Arial" w:hAnsi="Arial" w:cs="Arial"/>
          <w:sz w:val="20"/>
          <w:szCs w:val="20"/>
        </w:rPr>
        <w:t>i. G</w:t>
      </w:r>
      <w:r w:rsidR="00F955E3" w:rsidRPr="007727F4">
        <w:rPr>
          <w:rFonts w:ascii="Arial" w:hAnsi="Arial" w:cs="Arial"/>
          <w:sz w:val="20"/>
          <w:szCs w:val="20"/>
        </w:rPr>
        <w:t xml:space="preserve">iá kim loại </w:t>
      </w:r>
      <w:r w:rsidR="001A545B" w:rsidRPr="007727F4">
        <w:rPr>
          <w:rFonts w:ascii="Arial" w:hAnsi="Arial" w:cs="Arial"/>
          <w:sz w:val="20"/>
          <w:szCs w:val="20"/>
        </w:rPr>
        <w:t xml:space="preserve">cũng có thể </w:t>
      </w:r>
      <w:r w:rsidR="00F955E3" w:rsidRPr="007727F4">
        <w:rPr>
          <w:rFonts w:ascii="Arial" w:hAnsi="Arial" w:cs="Arial"/>
          <w:sz w:val="20"/>
          <w:szCs w:val="20"/>
        </w:rPr>
        <w:t xml:space="preserve">tăng cao hơn kỳ vọng, nếu chính sách kiềm chế sản lượng được duy trì tại châu Á, khó khăn về môi trường và </w:t>
      </w:r>
      <w:r w:rsidR="001A545B" w:rsidRPr="007727F4">
        <w:rPr>
          <w:rFonts w:ascii="Arial" w:hAnsi="Arial" w:cs="Arial"/>
          <w:sz w:val="20"/>
          <w:szCs w:val="20"/>
        </w:rPr>
        <w:t xml:space="preserve">người lao động yêu cầu khắt khe hơn khi </w:t>
      </w:r>
      <w:r w:rsidR="00F955E3" w:rsidRPr="007727F4">
        <w:rPr>
          <w:rFonts w:ascii="Arial" w:hAnsi="Arial" w:cs="Arial"/>
          <w:sz w:val="20"/>
          <w:szCs w:val="20"/>
        </w:rPr>
        <w:t xml:space="preserve">ký kết hợp đồng lao động. Giá </w:t>
      </w:r>
      <w:proofErr w:type="gramStart"/>
      <w:r w:rsidR="00F955E3" w:rsidRPr="007727F4">
        <w:rPr>
          <w:rFonts w:ascii="Arial" w:hAnsi="Arial" w:cs="Arial"/>
          <w:sz w:val="20"/>
          <w:szCs w:val="20"/>
        </w:rPr>
        <w:t>kim</w:t>
      </w:r>
      <w:proofErr w:type="gramEnd"/>
      <w:r w:rsidR="00F955E3" w:rsidRPr="007727F4">
        <w:rPr>
          <w:rFonts w:ascii="Arial" w:hAnsi="Arial" w:cs="Arial"/>
          <w:sz w:val="20"/>
          <w:szCs w:val="20"/>
        </w:rPr>
        <w:t xml:space="preserve"> loại quý được dự báo giảm 1% trong năm 2017 và giảm 1% trong năm 2018 do mặt bằng lãi suất cơ bản tăng và vai trò bảo toàn tài sản của những mặt hàng này yếu dần.</w:t>
      </w:r>
    </w:p>
    <w:p w:rsidR="00F72C98" w:rsidRPr="007727F4" w:rsidRDefault="00F72C98" w:rsidP="007727F4">
      <w:pPr>
        <w:spacing w:after="60" w:line="240" w:lineRule="auto"/>
        <w:jc w:val="both"/>
        <w:rPr>
          <w:rFonts w:ascii="Arial" w:hAnsi="Arial" w:cs="Arial"/>
          <w:b/>
          <w:i/>
          <w:sz w:val="20"/>
          <w:szCs w:val="20"/>
        </w:rPr>
      </w:pPr>
      <w:r w:rsidRPr="007727F4">
        <w:rPr>
          <w:rFonts w:ascii="Arial" w:hAnsi="Arial" w:cs="Arial"/>
          <w:b/>
          <w:i/>
          <w:sz w:val="20"/>
          <w:szCs w:val="20"/>
        </w:rPr>
        <w:t>Hoàng Thế Thỏa</w:t>
      </w:r>
    </w:p>
    <w:p w:rsidR="00E83175" w:rsidRPr="007727F4" w:rsidRDefault="00E83175" w:rsidP="007727F4">
      <w:pPr>
        <w:spacing w:after="60" w:line="240" w:lineRule="auto"/>
        <w:jc w:val="both"/>
        <w:rPr>
          <w:rFonts w:ascii="Arial" w:hAnsi="Arial" w:cs="Arial"/>
          <w:i/>
          <w:sz w:val="20"/>
          <w:szCs w:val="20"/>
        </w:rPr>
      </w:pPr>
      <w:r w:rsidRPr="007727F4">
        <w:rPr>
          <w:rFonts w:ascii="Arial" w:hAnsi="Arial" w:cs="Arial"/>
          <w:i/>
          <w:sz w:val="20"/>
          <w:szCs w:val="20"/>
        </w:rPr>
        <w:t>Nguồn: WB tháng 4/2017</w:t>
      </w:r>
    </w:p>
    <w:sectPr w:rsidR="00E83175" w:rsidRPr="007727F4" w:rsidSect="00FA4FD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F7B" w:rsidRDefault="003B3F7B" w:rsidP="00A87B95">
      <w:pPr>
        <w:spacing w:after="0" w:line="240" w:lineRule="auto"/>
      </w:pPr>
      <w:r>
        <w:separator/>
      </w:r>
    </w:p>
  </w:endnote>
  <w:endnote w:type="continuationSeparator" w:id="0">
    <w:p w:rsidR="003B3F7B" w:rsidRDefault="003B3F7B" w:rsidP="00A87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919053"/>
      <w:docPartObj>
        <w:docPartGallery w:val="Page Numbers (Bottom of Page)"/>
        <w:docPartUnique/>
      </w:docPartObj>
    </w:sdtPr>
    <w:sdtEndPr>
      <w:rPr>
        <w:noProof/>
      </w:rPr>
    </w:sdtEndPr>
    <w:sdtContent>
      <w:p w:rsidR="001E49DD" w:rsidRDefault="00EA3609">
        <w:pPr>
          <w:pStyle w:val="Footer"/>
          <w:jc w:val="right"/>
        </w:pPr>
        <w:r>
          <w:fldChar w:fldCharType="begin"/>
        </w:r>
        <w:r w:rsidR="001E49DD">
          <w:instrText xml:space="preserve"> PAGE   \* MERGEFORMAT </w:instrText>
        </w:r>
        <w:r>
          <w:fldChar w:fldCharType="separate"/>
        </w:r>
        <w:r w:rsidR="006C3D4C">
          <w:rPr>
            <w:noProof/>
          </w:rPr>
          <w:t>1</w:t>
        </w:r>
        <w:r>
          <w:rPr>
            <w:noProof/>
          </w:rPr>
          <w:fldChar w:fldCharType="end"/>
        </w:r>
      </w:p>
    </w:sdtContent>
  </w:sdt>
  <w:p w:rsidR="001E49DD" w:rsidRDefault="001E49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F7B" w:rsidRDefault="003B3F7B" w:rsidP="00A87B95">
      <w:pPr>
        <w:spacing w:after="0" w:line="240" w:lineRule="auto"/>
      </w:pPr>
      <w:r>
        <w:separator/>
      </w:r>
    </w:p>
  </w:footnote>
  <w:footnote w:type="continuationSeparator" w:id="0">
    <w:p w:rsidR="003B3F7B" w:rsidRDefault="003B3F7B" w:rsidP="00A87B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C00E3"/>
    <w:multiLevelType w:val="hybridMultilevel"/>
    <w:tmpl w:val="56300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ECC37FB"/>
    <w:multiLevelType w:val="hybridMultilevel"/>
    <w:tmpl w:val="D012C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FAD"/>
    <w:rsid w:val="00005365"/>
    <w:rsid w:val="0006396A"/>
    <w:rsid w:val="00075B7E"/>
    <w:rsid w:val="00076A51"/>
    <w:rsid w:val="000B1078"/>
    <w:rsid w:val="00102610"/>
    <w:rsid w:val="00143DEA"/>
    <w:rsid w:val="00151E50"/>
    <w:rsid w:val="001A1384"/>
    <w:rsid w:val="001A545B"/>
    <w:rsid w:val="001D6301"/>
    <w:rsid w:val="001E49DD"/>
    <w:rsid w:val="00220C75"/>
    <w:rsid w:val="00273753"/>
    <w:rsid w:val="00297927"/>
    <w:rsid w:val="002D3FDF"/>
    <w:rsid w:val="0033333E"/>
    <w:rsid w:val="00343FFB"/>
    <w:rsid w:val="003A047F"/>
    <w:rsid w:val="003B035C"/>
    <w:rsid w:val="003B3F7B"/>
    <w:rsid w:val="003E3698"/>
    <w:rsid w:val="004B6F93"/>
    <w:rsid w:val="004E1F85"/>
    <w:rsid w:val="004E4A96"/>
    <w:rsid w:val="004F057F"/>
    <w:rsid w:val="00541A35"/>
    <w:rsid w:val="005C454D"/>
    <w:rsid w:val="006B368B"/>
    <w:rsid w:val="006C3D4C"/>
    <w:rsid w:val="006D511A"/>
    <w:rsid w:val="006D78A7"/>
    <w:rsid w:val="00766DB9"/>
    <w:rsid w:val="007727F4"/>
    <w:rsid w:val="007A1B3C"/>
    <w:rsid w:val="007C3044"/>
    <w:rsid w:val="00875F54"/>
    <w:rsid w:val="00877EFA"/>
    <w:rsid w:val="008B1737"/>
    <w:rsid w:val="008D5497"/>
    <w:rsid w:val="0090699E"/>
    <w:rsid w:val="00946B49"/>
    <w:rsid w:val="00A67472"/>
    <w:rsid w:val="00A8785A"/>
    <w:rsid w:val="00A87B95"/>
    <w:rsid w:val="00B467A2"/>
    <w:rsid w:val="00B728D6"/>
    <w:rsid w:val="00BC4008"/>
    <w:rsid w:val="00C0074F"/>
    <w:rsid w:val="00C00EC3"/>
    <w:rsid w:val="00C031FA"/>
    <w:rsid w:val="00C90081"/>
    <w:rsid w:val="00CD5C73"/>
    <w:rsid w:val="00CE2FAD"/>
    <w:rsid w:val="00D71864"/>
    <w:rsid w:val="00D82337"/>
    <w:rsid w:val="00D9252D"/>
    <w:rsid w:val="00DF69B0"/>
    <w:rsid w:val="00E54D62"/>
    <w:rsid w:val="00E83175"/>
    <w:rsid w:val="00EA3609"/>
    <w:rsid w:val="00F334C1"/>
    <w:rsid w:val="00F430FA"/>
    <w:rsid w:val="00F72C98"/>
    <w:rsid w:val="00F955E3"/>
    <w:rsid w:val="00FA4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E2F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FA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A4F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4FD4"/>
    <w:rPr>
      <w:color w:val="0000FF"/>
      <w:u w:val="single"/>
    </w:rPr>
  </w:style>
  <w:style w:type="paragraph" w:styleId="BalloonText">
    <w:name w:val="Balloon Text"/>
    <w:basedOn w:val="Normal"/>
    <w:link w:val="BalloonTextChar"/>
    <w:uiPriority w:val="99"/>
    <w:semiHidden/>
    <w:unhideWhenUsed/>
    <w:rsid w:val="00FA4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FD4"/>
    <w:rPr>
      <w:rFonts w:ascii="Tahoma" w:hAnsi="Tahoma" w:cs="Tahoma"/>
      <w:sz w:val="16"/>
      <w:szCs w:val="16"/>
    </w:rPr>
  </w:style>
  <w:style w:type="paragraph" w:styleId="Header">
    <w:name w:val="header"/>
    <w:basedOn w:val="Normal"/>
    <w:link w:val="HeaderChar"/>
    <w:uiPriority w:val="99"/>
    <w:unhideWhenUsed/>
    <w:rsid w:val="00A87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B95"/>
  </w:style>
  <w:style w:type="paragraph" w:styleId="Footer">
    <w:name w:val="footer"/>
    <w:basedOn w:val="Normal"/>
    <w:link w:val="FooterChar"/>
    <w:uiPriority w:val="99"/>
    <w:unhideWhenUsed/>
    <w:rsid w:val="00A87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B95"/>
  </w:style>
  <w:style w:type="table" w:styleId="TableGrid">
    <w:name w:val="Table Grid"/>
    <w:basedOn w:val="TableNormal"/>
    <w:uiPriority w:val="59"/>
    <w:rsid w:val="001A54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0E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E2F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FA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A4F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4FD4"/>
    <w:rPr>
      <w:color w:val="0000FF"/>
      <w:u w:val="single"/>
    </w:rPr>
  </w:style>
  <w:style w:type="paragraph" w:styleId="BalloonText">
    <w:name w:val="Balloon Text"/>
    <w:basedOn w:val="Normal"/>
    <w:link w:val="BalloonTextChar"/>
    <w:uiPriority w:val="99"/>
    <w:semiHidden/>
    <w:unhideWhenUsed/>
    <w:rsid w:val="00FA4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FD4"/>
    <w:rPr>
      <w:rFonts w:ascii="Tahoma" w:hAnsi="Tahoma" w:cs="Tahoma"/>
      <w:sz w:val="16"/>
      <w:szCs w:val="16"/>
    </w:rPr>
  </w:style>
  <w:style w:type="paragraph" w:styleId="Header">
    <w:name w:val="header"/>
    <w:basedOn w:val="Normal"/>
    <w:link w:val="HeaderChar"/>
    <w:uiPriority w:val="99"/>
    <w:unhideWhenUsed/>
    <w:rsid w:val="00A87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B95"/>
  </w:style>
  <w:style w:type="paragraph" w:styleId="Footer">
    <w:name w:val="footer"/>
    <w:basedOn w:val="Normal"/>
    <w:link w:val="FooterChar"/>
    <w:uiPriority w:val="99"/>
    <w:unhideWhenUsed/>
    <w:rsid w:val="00A87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B95"/>
  </w:style>
  <w:style w:type="table" w:styleId="TableGrid">
    <w:name w:val="Table Grid"/>
    <w:basedOn w:val="TableNormal"/>
    <w:uiPriority w:val="59"/>
    <w:rsid w:val="001A54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0E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762328">
      <w:bodyDiv w:val="1"/>
      <w:marLeft w:val="0"/>
      <w:marRight w:val="0"/>
      <w:marTop w:val="0"/>
      <w:marBottom w:val="0"/>
      <w:divBdr>
        <w:top w:val="none" w:sz="0" w:space="0" w:color="auto"/>
        <w:left w:val="none" w:sz="0" w:space="0" w:color="auto"/>
        <w:bottom w:val="none" w:sz="0" w:space="0" w:color="auto"/>
        <w:right w:val="none" w:sz="0" w:space="0" w:color="auto"/>
      </w:divBdr>
      <w:divsChild>
        <w:div w:id="2098599448">
          <w:marLeft w:val="0"/>
          <w:marRight w:val="0"/>
          <w:marTop w:val="0"/>
          <w:marBottom w:val="0"/>
          <w:divBdr>
            <w:top w:val="none" w:sz="0" w:space="0" w:color="auto"/>
            <w:left w:val="none" w:sz="0" w:space="0" w:color="auto"/>
            <w:bottom w:val="none" w:sz="0" w:space="0" w:color="auto"/>
            <w:right w:val="none" w:sz="0" w:space="0" w:color="auto"/>
          </w:divBdr>
          <w:divsChild>
            <w:div w:id="2076661476">
              <w:marLeft w:val="0"/>
              <w:marRight w:val="0"/>
              <w:marTop w:val="0"/>
              <w:marBottom w:val="0"/>
              <w:divBdr>
                <w:top w:val="none" w:sz="0" w:space="0" w:color="auto"/>
                <w:left w:val="none" w:sz="0" w:space="0" w:color="auto"/>
                <w:bottom w:val="none" w:sz="0" w:space="0" w:color="auto"/>
                <w:right w:val="none" w:sz="0" w:space="0" w:color="auto"/>
              </w:divBdr>
              <w:divsChild>
                <w:div w:id="17571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39564-9BFC-49BA-A10C-B84B1A122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1772</Words>
  <Characters>10105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4</cp:revision>
  <dcterms:created xsi:type="dcterms:W3CDTF">2017-05-08T04:13:00Z</dcterms:created>
  <dcterms:modified xsi:type="dcterms:W3CDTF">2017-05-08T04:18:00Z</dcterms:modified>
</cp:coreProperties>
</file>