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0F" w:rsidRPr="004E1003" w:rsidRDefault="002B200F" w:rsidP="000F6CEA">
      <w:pPr>
        <w:spacing w:after="60" w:line="240" w:lineRule="auto"/>
        <w:jc w:val="center"/>
        <w:rPr>
          <w:rFonts w:ascii="Arial" w:hAnsi="Arial" w:cs="Arial"/>
          <w:b/>
          <w:i/>
          <w:sz w:val="20"/>
          <w:szCs w:val="20"/>
        </w:rPr>
      </w:pPr>
      <w:bookmarkStart w:id="0" w:name="_GoBack"/>
      <w:bookmarkEnd w:id="0"/>
      <w:r w:rsidRPr="004E1003">
        <w:rPr>
          <w:rFonts w:ascii="Arial" w:hAnsi="Arial" w:cs="Arial"/>
          <w:b/>
          <w:i/>
          <w:sz w:val="20"/>
          <w:szCs w:val="20"/>
        </w:rPr>
        <w:t>Chỉ số giá cả danh nghĩa và dự báo</w:t>
      </w:r>
    </w:p>
    <w:tbl>
      <w:tblPr>
        <w:tblStyle w:val="TableGrid"/>
        <w:tblW w:w="0" w:type="auto"/>
        <w:tblInd w:w="108" w:type="dxa"/>
        <w:tblLayout w:type="fixed"/>
        <w:tblLook w:val="04A0" w:firstRow="1" w:lastRow="0" w:firstColumn="1" w:lastColumn="0" w:noHBand="0" w:noVBand="1"/>
      </w:tblPr>
      <w:tblGrid>
        <w:gridCol w:w="2880"/>
        <w:gridCol w:w="810"/>
        <w:gridCol w:w="810"/>
        <w:gridCol w:w="810"/>
        <w:gridCol w:w="810"/>
        <w:gridCol w:w="810"/>
        <w:gridCol w:w="810"/>
        <w:gridCol w:w="810"/>
        <w:gridCol w:w="810"/>
      </w:tblGrid>
      <w:tr w:rsidR="002B200F" w:rsidRPr="004E1003" w:rsidTr="002B200F">
        <w:tc>
          <w:tcPr>
            <w:tcW w:w="2880" w:type="dxa"/>
          </w:tcPr>
          <w:p w:rsidR="002B200F" w:rsidRPr="004E1003" w:rsidRDefault="002B200F" w:rsidP="002B200F">
            <w:pPr>
              <w:spacing w:after="60"/>
              <w:rPr>
                <w:rFonts w:ascii="Arial" w:hAnsi="Arial" w:cs="Arial"/>
                <w:sz w:val="20"/>
                <w:szCs w:val="20"/>
              </w:rPr>
            </w:pPr>
          </w:p>
        </w:tc>
        <w:tc>
          <w:tcPr>
            <w:tcW w:w="3240" w:type="dxa"/>
            <w:gridSpan w:val="4"/>
          </w:tcPr>
          <w:p w:rsidR="002B200F" w:rsidRPr="004E1003" w:rsidRDefault="002B200F" w:rsidP="002B200F">
            <w:pPr>
              <w:spacing w:after="60"/>
              <w:jc w:val="center"/>
              <w:rPr>
                <w:rFonts w:ascii="Arial" w:hAnsi="Arial" w:cs="Arial"/>
                <w:b/>
                <w:sz w:val="20"/>
                <w:szCs w:val="20"/>
              </w:rPr>
            </w:pPr>
            <w:r w:rsidRPr="004E1003">
              <w:rPr>
                <w:rFonts w:ascii="Arial" w:hAnsi="Arial" w:cs="Arial"/>
                <w:b/>
                <w:sz w:val="20"/>
                <w:szCs w:val="20"/>
              </w:rPr>
              <w:t>Chỉ số giá cả (2010 = 100%</w:t>
            </w:r>
          </w:p>
        </w:tc>
        <w:tc>
          <w:tcPr>
            <w:tcW w:w="1620" w:type="dxa"/>
            <w:gridSpan w:val="2"/>
          </w:tcPr>
          <w:p w:rsidR="002B200F" w:rsidRPr="004E1003" w:rsidRDefault="002B200F" w:rsidP="002B200F">
            <w:pPr>
              <w:spacing w:after="60"/>
              <w:jc w:val="center"/>
              <w:rPr>
                <w:rFonts w:ascii="Arial" w:hAnsi="Arial" w:cs="Arial"/>
                <w:b/>
                <w:spacing w:val="2"/>
                <w:w w:val="99"/>
                <w:sz w:val="20"/>
                <w:szCs w:val="20"/>
              </w:rPr>
            </w:pPr>
            <w:r w:rsidRPr="004E1003">
              <w:rPr>
                <w:rFonts w:ascii="Arial" w:hAnsi="Arial" w:cs="Arial"/>
                <w:b/>
                <w:spacing w:val="2"/>
                <w:w w:val="99"/>
                <w:sz w:val="20"/>
                <w:szCs w:val="20"/>
              </w:rPr>
              <w:t>Dự báo (%)</w:t>
            </w:r>
          </w:p>
        </w:tc>
        <w:tc>
          <w:tcPr>
            <w:tcW w:w="1620" w:type="dxa"/>
            <w:gridSpan w:val="2"/>
          </w:tcPr>
          <w:p w:rsidR="002B200F" w:rsidRPr="004E1003" w:rsidRDefault="002B200F" w:rsidP="002B200F">
            <w:pPr>
              <w:spacing w:after="60"/>
              <w:jc w:val="center"/>
              <w:rPr>
                <w:rFonts w:ascii="Arial" w:hAnsi="Arial" w:cs="Arial"/>
                <w:b/>
                <w:sz w:val="20"/>
                <w:szCs w:val="20"/>
              </w:rPr>
            </w:pPr>
            <w:r w:rsidRPr="004E1003">
              <w:rPr>
                <w:rFonts w:ascii="Arial" w:hAnsi="Arial" w:cs="Arial"/>
                <w:b/>
                <w:sz w:val="20"/>
                <w:szCs w:val="20"/>
              </w:rPr>
              <w:t>Thay đổi *</w:t>
            </w:r>
          </w:p>
        </w:tc>
      </w:tr>
      <w:tr w:rsidR="002B200F" w:rsidRPr="004E1003" w:rsidTr="002B200F">
        <w:tc>
          <w:tcPr>
            <w:tcW w:w="2880" w:type="dxa"/>
          </w:tcPr>
          <w:p w:rsidR="002B200F" w:rsidRPr="004E1003" w:rsidRDefault="002B200F" w:rsidP="002B200F">
            <w:pPr>
              <w:spacing w:after="60"/>
              <w:rPr>
                <w:rFonts w:ascii="Arial" w:hAnsi="Arial" w:cs="Arial"/>
                <w:sz w:val="20"/>
                <w:szCs w:val="20"/>
              </w:rPr>
            </w:pP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2015</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2016</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2017</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2018</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2017</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2018</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2017</w:t>
            </w:r>
          </w:p>
        </w:tc>
        <w:tc>
          <w:tcPr>
            <w:tcW w:w="810" w:type="dxa"/>
          </w:tcPr>
          <w:p w:rsidR="002B200F" w:rsidRPr="004E1003" w:rsidRDefault="002B200F" w:rsidP="002B200F">
            <w:pPr>
              <w:spacing w:after="60"/>
              <w:rPr>
                <w:rFonts w:ascii="Arial" w:hAnsi="Arial" w:cs="Arial"/>
                <w:b/>
                <w:sz w:val="20"/>
                <w:szCs w:val="20"/>
              </w:rPr>
            </w:pPr>
            <w:r w:rsidRPr="004E1003">
              <w:rPr>
                <w:rFonts w:ascii="Arial" w:hAnsi="Arial" w:cs="Arial"/>
                <w:b/>
                <w:sz w:val="20"/>
                <w:szCs w:val="20"/>
              </w:rPr>
              <w:t>2018</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Các mặt hàng năng lượng</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65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68</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23,7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-4,0</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Mặt hàng phi năng lượng</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0,8</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0,7</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Mặt hàng nông nghiệp</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-0,7</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Đồ uống các loại</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-1,7</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Lương thực - thực phẩm</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-0,2</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Dầu ăn và hàng ăn uống</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-2,5</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Ngũ cốc các loại</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1,9</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2,3</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Thực phẩm khác</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100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105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106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106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0,5</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Nguyên liệu thô</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83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-1,1</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Phân hóa học</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75</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-3,7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-5,5</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Kim loại và khoáng sản</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67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63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76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22,4</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4,3</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Kim loại quý</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97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-0,2</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-0,8</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1,7</w:t>
            </w:r>
          </w:p>
        </w:tc>
      </w:tr>
      <w:tr w:rsidR="002B200F" w:rsidRPr="004E1003" w:rsidTr="002B200F">
        <w:tc>
          <w:tcPr>
            <w:tcW w:w="2880" w:type="dxa"/>
          </w:tcPr>
          <w:p w:rsidR="002B200F" w:rsidRPr="004E1003" w:rsidRDefault="002B200F" w:rsidP="002B200F">
            <w:pPr>
              <w:rPr>
                <w:rFonts w:ascii="Arial" w:hAnsi="Arial" w:cs="Arial"/>
                <w:sz w:val="20"/>
                <w:szCs w:val="20"/>
              </w:rPr>
            </w:pPr>
            <w:r w:rsidRPr="004E1003">
              <w:rPr>
                <w:rFonts w:ascii="Arial" w:hAnsi="Arial" w:cs="Arial"/>
                <w:sz w:val="20"/>
                <w:szCs w:val="20"/>
              </w:rPr>
              <w:t>Giá dầu (USD/thùng)</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51</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53</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56</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23,8</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5,7</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-2,0</w:t>
            </w:r>
          </w:p>
        </w:tc>
        <w:tc>
          <w:tcPr>
            <w:tcW w:w="810" w:type="dxa"/>
          </w:tcPr>
          <w:p w:rsidR="002B200F" w:rsidRPr="004E1003" w:rsidRDefault="002B200F" w:rsidP="002B200F">
            <w:pPr>
              <w:jc w:val="center"/>
              <w:rPr>
                <w:rFonts w:ascii="Arial" w:hAnsi="Arial" w:cs="Arial"/>
                <w:sz w:val="20"/>
                <w:szCs w:val="20"/>
              </w:rPr>
            </w:pPr>
            <w:r w:rsidRPr="004E1003">
              <w:rPr>
                <w:rFonts w:ascii="Arial" w:hAnsi="Arial" w:cs="Arial"/>
                <w:sz w:val="20"/>
                <w:szCs w:val="20"/>
              </w:rPr>
              <w:t>-4,0</w:t>
            </w:r>
          </w:p>
        </w:tc>
      </w:tr>
      <w:tr w:rsidR="002B200F" w:rsidRPr="004E1003" w:rsidTr="002B200F">
        <w:tc>
          <w:tcPr>
            <w:tcW w:w="2880" w:type="dxa"/>
          </w:tcPr>
          <w:p w:rsidR="002B200F" w:rsidRPr="004E1003" w:rsidRDefault="002B200F" w:rsidP="002B200F">
            <w:pPr>
              <w:spacing w:after="60"/>
              <w:rPr>
                <w:rFonts w:ascii="Arial" w:hAnsi="Arial" w:cs="Arial"/>
                <w:sz w:val="20"/>
                <w:szCs w:val="20"/>
              </w:rPr>
            </w:pPr>
            <w:r w:rsidRPr="004E1003">
              <w:rPr>
                <w:rFonts w:ascii="Arial" w:hAnsi="Arial" w:cs="Arial"/>
                <w:sz w:val="20"/>
                <w:szCs w:val="20"/>
              </w:rPr>
              <w:t>Giá vàng (USD/oz)</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1.161</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1.249</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1.250</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1.238</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0,1</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-1,0</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25,0</w:t>
            </w:r>
          </w:p>
        </w:tc>
        <w:tc>
          <w:tcPr>
            <w:tcW w:w="810" w:type="dxa"/>
          </w:tcPr>
          <w:p w:rsidR="002B200F" w:rsidRPr="004E1003" w:rsidRDefault="002B200F" w:rsidP="002B200F">
            <w:pPr>
              <w:spacing w:after="60"/>
              <w:jc w:val="center"/>
              <w:rPr>
                <w:rFonts w:ascii="Arial" w:hAnsi="Arial" w:cs="Arial"/>
                <w:sz w:val="20"/>
                <w:szCs w:val="20"/>
              </w:rPr>
            </w:pPr>
            <w:r w:rsidRPr="004E1003">
              <w:rPr>
                <w:rFonts w:ascii="Arial" w:hAnsi="Arial" w:cs="Arial"/>
                <w:sz w:val="20"/>
                <w:szCs w:val="20"/>
              </w:rPr>
              <w:t>31,7</w:t>
            </w:r>
          </w:p>
        </w:tc>
      </w:tr>
    </w:tbl>
    <w:p w:rsidR="002B200F" w:rsidRPr="000F6CEA" w:rsidRDefault="002B200F" w:rsidP="002B200F">
      <w:pPr>
        <w:spacing w:before="60" w:after="0" w:line="240" w:lineRule="auto"/>
        <w:ind w:firstLine="360"/>
        <w:rPr>
          <w:rFonts w:ascii="Arial" w:hAnsi="Arial" w:cs="Arial"/>
          <w:sz w:val="16"/>
          <w:szCs w:val="16"/>
        </w:rPr>
      </w:pPr>
      <w:r w:rsidRPr="000F6CEA">
        <w:rPr>
          <w:rFonts w:ascii="Arial" w:hAnsi="Arial" w:cs="Arial"/>
          <w:sz w:val="16"/>
          <w:szCs w:val="16"/>
        </w:rPr>
        <w:t>Nguồn: WB tháng 10/2017</w:t>
      </w:r>
    </w:p>
    <w:p w:rsidR="002B200F" w:rsidRPr="000F6CEA" w:rsidRDefault="002B200F" w:rsidP="002B200F">
      <w:pPr>
        <w:spacing w:after="120" w:line="240" w:lineRule="auto"/>
        <w:ind w:firstLine="360"/>
        <w:rPr>
          <w:rFonts w:ascii="Arial" w:hAnsi="Arial" w:cs="Arial"/>
          <w:sz w:val="16"/>
          <w:szCs w:val="16"/>
        </w:rPr>
      </w:pPr>
      <w:r w:rsidRPr="000F6CEA">
        <w:rPr>
          <w:rFonts w:ascii="Arial" w:hAnsi="Arial" w:cs="Arial"/>
          <w:sz w:val="16"/>
          <w:szCs w:val="16"/>
        </w:rPr>
        <w:t>(*): Thay đổi so với dự báo đưa ra hồi tháng 4/2017</w:t>
      </w:r>
    </w:p>
    <w:p w:rsidR="0019560E" w:rsidRPr="004E1003" w:rsidRDefault="00027B1C" w:rsidP="002B200F">
      <w:pPr>
        <w:spacing w:after="60" w:line="240" w:lineRule="auto"/>
        <w:jc w:val="both"/>
        <w:rPr>
          <w:rFonts w:ascii="Arial" w:hAnsi="Arial" w:cs="Arial"/>
          <w:sz w:val="20"/>
          <w:szCs w:val="20"/>
        </w:rPr>
      </w:pPr>
      <w:r w:rsidRPr="004E1003">
        <w:rPr>
          <w:rFonts w:ascii="Arial" w:hAnsi="Arial" w:cs="Arial"/>
          <w:sz w:val="20"/>
          <w:szCs w:val="20"/>
        </w:rPr>
        <w:t xml:space="preserve">Báo cáo nêu rõ, trong quý III/2017, giá cả các mặt hàng công nghiệp tiếp tục tăng cao, trong khi giá cả các mặt hàng nông nghiệp nhìn </w:t>
      </w:r>
      <w:proofErr w:type="gramStart"/>
      <w:r w:rsidRPr="004E1003">
        <w:rPr>
          <w:rFonts w:ascii="Arial" w:hAnsi="Arial" w:cs="Arial"/>
          <w:sz w:val="20"/>
          <w:szCs w:val="20"/>
        </w:rPr>
        <w:t>chung</w:t>
      </w:r>
      <w:proofErr w:type="gramEnd"/>
      <w:r w:rsidRPr="004E1003">
        <w:rPr>
          <w:rFonts w:ascii="Arial" w:hAnsi="Arial" w:cs="Arial"/>
          <w:sz w:val="20"/>
          <w:szCs w:val="20"/>
        </w:rPr>
        <w:t xml:space="preserve"> vẫn ổn định. Trên thị trường dầu</w:t>
      </w:r>
      <w:r w:rsidR="00227AA2" w:rsidRPr="004E1003">
        <w:rPr>
          <w:rFonts w:ascii="Arial" w:hAnsi="Arial" w:cs="Arial"/>
          <w:sz w:val="20"/>
          <w:szCs w:val="20"/>
        </w:rPr>
        <w:t xml:space="preserve"> mỏ thế giới</w:t>
      </w:r>
      <w:r w:rsidRPr="004E1003">
        <w:rPr>
          <w:rFonts w:ascii="Arial" w:hAnsi="Arial" w:cs="Arial"/>
          <w:sz w:val="20"/>
          <w:szCs w:val="20"/>
        </w:rPr>
        <w:t xml:space="preserve">, lượng dầu lưu kho tiếp tục giảm do nhu cầu tăng vững, </w:t>
      </w:r>
      <w:r w:rsidR="00752396" w:rsidRPr="004E1003">
        <w:rPr>
          <w:rFonts w:ascii="Arial" w:hAnsi="Arial" w:cs="Arial"/>
          <w:sz w:val="20"/>
          <w:szCs w:val="20"/>
        </w:rPr>
        <w:t xml:space="preserve">các thành viên thuộc </w:t>
      </w:r>
      <w:r w:rsidRPr="004E1003">
        <w:rPr>
          <w:rFonts w:ascii="Arial" w:hAnsi="Arial" w:cs="Arial"/>
          <w:sz w:val="20"/>
          <w:szCs w:val="20"/>
        </w:rPr>
        <w:t xml:space="preserve">Tổ chức các nước Xuất khẩu dầu mỏ (OPEC) </w:t>
      </w:r>
      <w:r w:rsidR="00752396" w:rsidRPr="004E1003">
        <w:rPr>
          <w:rFonts w:ascii="Arial" w:hAnsi="Arial" w:cs="Arial"/>
          <w:sz w:val="20"/>
          <w:szCs w:val="20"/>
        </w:rPr>
        <w:t>tiếp tục kiềm chế hoạt động khai thác dầu</w:t>
      </w:r>
      <w:r w:rsidRPr="004E1003">
        <w:rPr>
          <w:rFonts w:ascii="Arial" w:hAnsi="Arial" w:cs="Arial"/>
          <w:sz w:val="20"/>
          <w:szCs w:val="20"/>
        </w:rPr>
        <w:t xml:space="preserve">, </w:t>
      </w:r>
      <w:proofErr w:type="gramStart"/>
      <w:r w:rsidRPr="004E1003">
        <w:rPr>
          <w:rFonts w:ascii="Arial" w:hAnsi="Arial" w:cs="Arial"/>
          <w:sz w:val="20"/>
          <w:szCs w:val="20"/>
        </w:rPr>
        <w:t>trong</w:t>
      </w:r>
      <w:proofErr w:type="gramEnd"/>
      <w:r w:rsidRPr="004E1003">
        <w:rPr>
          <w:rFonts w:ascii="Arial" w:hAnsi="Arial" w:cs="Arial"/>
          <w:sz w:val="20"/>
          <w:szCs w:val="20"/>
        </w:rPr>
        <w:t xml:space="preserve"> khi sản lượng dầu đá phiến tại Mỹ tương đối ổn định. Sau khi giảm xuống 43 USD/thùng vào năm 2016, giá dầu thế giới được dự báo tăng mạnh lên mức giá 53 USD/thùng trong năm nay và tiếp tục tăng lên 56 USD/thùng vào năm 2018, giả</w:t>
      </w:r>
      <w:r w:rsidR="000A29FE" w:rsidRPr="004E1003">
        <w:rPr>
          <w:rFonts w:ascii="Arial" w:hAnsi="Arial" w:cs="Arial"/>
          <w:sz w:val="20"/>
          <w:szCs w:val="20"/>
        </w:rPr>
        <w:t>m</w:t>
      </w:r>
      <w:r w:rsidRPr="004E1003">
        <w:rPr>
          <w:rFonts w:ascii="Arial" w:hAnsi="Arial" w:cs="Arial"/>
          <w:sz w:val="20"/>
          <w:szCs w:val="20"/>
        </w:rPr>
        <w:t xml:space="preserve"> nhẹ so với dự báo đưa ra hồi tháng 4/2017. Trong năm 2017, giá cả các </w:t>
      </w:r>
      <w:r w:rsidR="00752396" w:rsidRPr="004E1003">
        <w:rPr>
          <w:rFonts w:ascii="Arial" w:hAnsi="Arial" w:cs="Arial"/>
          <w:sz w:val="20"/>
          <w:szCs w:val="20"/>
        </w:rPr>
        <w:t>m</w:t>
      </w:r>
      <w:r w:rsidRPr="004E1003">
        <w:rPr>
          <w:rFonts w:ascii="Arial" w:hAnsi="Arial" w:cs="Arial"/>
          <w:sz w:val="20"/>
          <w:szCs w:val="20"/>
        </w:rPr>
        <w:t>ặt</w:t>
      </w:r>
      <w:r w:rsidR="00752396" w:rsidRPr="004E1003">
        <w:rPr>
          <w:rFonts w:ascii="Arial" w:hAnsi="Arial" w:cs="Arial"/>
          <w:sz w:val="20"/>
          <w:szCs w:val="20"/>
        </w:rPr>
        <w:t xml:space="preserve"> hàng kim loại được kỳ vọng tăng 22,0% do nhu cầu tăng cao, trong khi nguồn cung hạn chế, chủ yếu là do Trung Quốc kiểm soát chặt chẽ các hoạt động khai khoáng nhằm bảo vệ môi trường. Trong năm 2018, </w:t>
      </w:r>
      <w:r w:rsidR="00227AA2" w:rsidRPr="004E1003">
        <w:rPr>
          <w:rFonts w:ascii="Arial" w:hAnsi="Arial" w:cs="Arial"/>
          <w:sz w:val="20"/>
          <w:szCs w:val="20"/>
        </w:rPr>
        <w:t xml:space="preserve">do giá quặng sắt có thể giảm sâu, nên </w:t>
      </w:r>
      <w:r w:rsidR="00752396" w:rsidRPr="004E1003">
        <w:rPr>
          <w:rFonts w:ascii="Arial" w:hAnsi="Arial" w:cs="Arial"/>
          <w:sz w:val="20"/>
          <w:szCs w:val="20"/>
        </w:rPr>
        <w:t xml:space="preserve">giá </w:t>
      </w:r>
      <w:r w:rsidR="00227AA2" w:rsidRPr="004E1003">
        <w:rPr>
          <w:rFonts w:ascii="Arial" w:hAnsi="Arial" w:cs="Arial"/>
          <w:sz w:val="20"/>
          <w:szCs w:val="20"/>
        </w:rPr>
        <w:t xml:space="preserve">cả </w:t>
      </w:r>
      <w:r w:rsidR="00752396" w:rsidRPr="004E1003">
        <w:rPr>
          <w:rFonts w:ascii="Arial" w:hAnsi="Arial" w:cs="Arial"/>
          <w:sz w:val="20"/>
          <w:szCs w:val="20"/>
        </w:rPr>
        <w:t xml:space="preserve">các mặt hàng </w:t>
      </w:r>
      <w:proofErr w:type="gramStart"/>
      <w:r w:rsidR="00752396" w:rsidRPr="004E1003">
        <w:rPr>
          <w:rFonts w:ascii="Arial" w:hAnsi="Arial" w:cs="Arial"/>
          <w:sz w:val="20"/>
          <w:szCs w:val="20"/>
        </w:rPr>
        <w:t>kim</w:t>
      </w:r>
      <w:proofErr w:type="gramEnd"/>
      <w:r w:rsidR="00752396" w:rsidRPr="004E1003">
        <w:rPr>
          <w:rFonts w:ascii="Arial" w:hAnsi="Arial" w:cs="Arial"/>
          <w:sz w:val="20"/>
          <w:szCs w:val="20"/>
        </w:rPr>
        <w:t xml:space="preserve"> loại được dự báo chỉ</w:t>
      </w:r>
      <w:r w:rsidR="00227AA2" w:rsidRPr="004E1003">
        <w:rPr>
          <w:rFonts w:ascii="Arial" w:hAnsi="Arial" w:cs="Arial"/>
          <w:sz w:val="20"/>
          <w:szCs w:val="20"/>
        </w:rPr>
        <w:t xml:space="preserve"> nhích</w:t>
      </w:r>
      <w:r w:rsidR="00752396" w:rsidRPr="004E1003">
        <w:rPr>
          <w:rFonts w:ascii="Arial" w:hAnsi="Arial" w:cs="Arial"/>
          <w:sz w:val="20"/>
          <w:szCs w:val="20"/>
        </w:rPr>
        <w:t xml:space="preserve"> nhẹ. </w:t>
      </w:r>
      <w:proofErr w:type="gramStart"/>
      <w:r w:rsidR="00752396" w:rsidRPr="004E1003">
        <w:rPr>
          <w:rFonts w:ascii="Arial" w:hAnsi="Arial" w:cs="Arial"/>
          <w:sz w:val="20"/>
          <w:szCs w:val="20"/>
        </w:rPr>
        <w:t xml:space="preserve">Trong năm 2017, giá cả các mặt hàng nông nghiệp </w:t>
      </w:r>
      <w:r w:rsidR="002F1FCB" w:rsidRPr="004E1003">
        <w:rPr>
          <w:rFonts w:ascii="Arial" w:hAnsi="Arial" w:cs="Arial"/>
          <w:sz w:val="20"/>
          <w:szCs w:val="20"/>
        </w:rPr>
        <w:t xml:space="preserve">được dự báo </w:t>
      </w:r>
      <w:r w:rsidR="00227AA2" w:rsidRPr="004E1003">
        <w:rPr>
          <w:rFonts w:ascii="Arial" w:hAnsi="Arial" w:cs="Arial"/>
          <w:sz w:val="20"/>
          <w:szCs w:val="20"/>
        </w:rPr>
        <w:t>tương đối ổn định</w:t>
      </w:r>
      <w:r w:rsidR="002F1FCB" w:rsidRPr="004E1003">
        <w:rPr>
          <w:rFonts w:ascii="Arial" w:hAnsi="Arial" w:cs="Arial"/>
          <w:sz w:val="20"/>
          <w:szCs w:val="20"/>
        </w:rPr>
        <w:t>, sau đó có thể tăng nhẹ vào năm 2018.</w:t>
      </w:r>
      <w:proofErr w:type="gramEnd"/>
      <w:r w:rsidR="002F1FCB" w:rsidRPr="004E1003">
        <w:rPr>
          <w:rFonts w:ascii="Arial" w:hAnsi="Arial" w:cs="Arial"/>
          <w:sz w:val="20"/>
          <w:szCs w:val="20"/>
        </w:rPr>
        <w:t xml:space="preserve"> </w:t>
      </w:r>
      <w:proofErr w:type="gramStart"/>
      <w:r w:rsidR="002F1FCB" w:rsidRPr="004E1003">
        <w:rPr>
          <w:rFonts w:ascii="Arial" w:hAnsi="Arial" w:cs="Arial"/>
          <w:sz w:val="20"/>
          <w:szCs w:val="20"/>
        </w:rPr>
        <w:t xml:space="preserve">Nguồn cung tại phần lớn các thị trường </w:t>
      </w:r>
      <w:r w:rsidR="002B200F" w:rsidRPr="004E1003">
        <w:rPr>
          <w:rFonts w:ascii="Arial" w:hAnsi="Arial" w:cs="Arial"/>
          <w:sz w:val="20"/>
          <w:szCs w:val="20"/>
        </w:rPr>
        <w:t xml:space="preserve">lương thực - </w:t>
      </w:r>
      <w:r w:rsidR="002F1FCB" w:rsidRPr="004E1003">
        <w:rPr>
          <w:rFonts w:ascii="Arial" w:hAnsi="Arial" w:cs="Arial"/>
          <w:sz w:val="20"/>
          <w:szCs w:val="20"/>
        </w:rPr>
        <w:t>thực phẩm khá dồi dào, dữ trữ lương thực được dự báo tiếp tục tăng mạnh trong những năm tới đây.</w:t>
      </w:r>
      <w:proofErr w:type="gramEnd"/>
      <w:r w:rsidR="002F1FCB" w:rsidRPr="004E1003">
        <w:rPr>
          <w:rFonts w:ascii="Arial" w:hAnsi="Arial" w:cs="Arial"/>
          <w:sz w:val="20"/>
          <w:szCs w:val="20"/>
        </w:rPr>
        <w:t xml:space="preserve"> </w:t>
      </w:r>
    </w:p>
    <w:p w:rsidR="00291B06" w:rsidRPr="004E1003" w:rsidRDefault="00D72506" w:rsidP="000F6CEA">
      <w:pPr>
        <w:spacing w:after="60" w:line="240" w:lineRule="auto"/>
        <w:jc w:val="both"/>
        <w:rPr>
          <w:rFonts w:ascii="Arial" w:hAnsi="Arial" w:cs="Arial"/>
          <w:sz w:val="20"/>
          <w:szCs w:val="20"/>
        </w:rPr>
      </w:pPr>
      <w:r w:rsidRPr="004E1003">
        <w:rPr>
          <w:rFonts w:ascii="Arial" w:hAnsi="Arial" w:cs="Arial"/>
          <w:sz w:val="20"/>
          <w:szCs w:val="20"/>
        </w:rPr>
        <w:t>Kết quả nghiên cứu cho thấy, t</w:t>
      </w:r>
      <w:r w:rsidR="002F1FCB" w:rsidRPr="004E1003">
        <w:rPr>
          <w:rFonts w:ascii="Arial" w:hAnsi="Arial" w:cs="Arial"/>
          <w:sz w:val="20"/>
          <w:szCs w:val="20"/>
        </w:rPr>
        <w:t xml:space="preserve">rong quý III/2017, giá cả các mặt hàng năng lượng tăng 2,0% so với quý trước, do giá than tại Trung Quốc tăng tới 17% khi quốc gia này thắt chặt các quy định về bảo vệ môi trường trong hoạt động khai thác khoáng sản. Tuy nhiên, giá dầu thô chỉ tăng </w:t>
      </w:r>
      <w:r w:rsidR="005066C2" w:rsidRPr="004E1003">
        <w:rPr>
          <w:rFonts w:ascii="Arial" w:hAnsi="Arial" w:cs="Arial"/>
          <w:sz w:val="20"/>
          <w:szCs w:val="20"/>
        </w:rPr>
        <w:t>nhẹ lên mức giá trung bình 50</w:t>
      </w:r>
      <w:proofErr w:type="gramStart"/>
      <w:r w:rsidR="005066C2" w:rsidRPr="004E1003">
        <w:rPr>
          <w:rFonts w:ascii="Arial" w:hAnsi="Arial" w:cs="Arial"/>
          <w:sz w:val="20"/>
          <w:szCs w:val="20"/>
        </w:rPr>
        <w:t>,20</w:t>
      </w:r>
      <w:proofErr w:type="gramEnd"/>
      <w:r w:rsidR="005066C2" w:rsidRPr="004E1003">
        <w:rPr>
          <w:rFonts w:ascii="Arial" w:hAnsi="Arial" w:cs="Arial"/>
          <w:sz w:val="20"/>
          <w:szCs w:val="20"/>
        </w:rPr>
        <w:t xml:space="preserve"> USD/thùng, tăng 1,6% so với quý trướ</w:t>
      </w:r>
      <w:r w:rsidR="00227AA2" w:rsidRPr="004E1003">
        <w:rPr>
          <w:rFonts w:ascii="Arial" w:hAnsi="Arial" w:cs="Arial"/>
          <w:sz w:val="20"/>
          <w:szCs w:val="20"/>
        </w:rPr>
        <w:t xml:space="preserve">c. </w:t>
      </w:r>
      <w:r w:rsidR="005066C2" w:rsidRPr="004E1003">
        <w:rPr>
          <w:rFonts w:ascii="Arial" w:hAnsi="Arial" w:cs="Arial"/>
          <w:sz w:val="20"/>
          <w:szCs w:val="20"/>
        </w:rPr>
        <w:t>Mặc dù 22 quốc gia trong và ngoài OPEC chấp hành nghiêm chỉnh thỏa thuận cắt giảm sản lượng dầu, giá dầu trong sáu tháng đầu năm 2017 ghi nhận xu hướng giảm, chủ yếu là do lượng dầ</w:t>
      </w:r>
      <w:r w:rsidRPr="004E1003">
        <w:rPr>
          <w:rFonts w:ascii="Arial" w:hAnsi="Arial" w:cs="Arial"/>
          <w:sz w:val="20"/>
          <w:szCs w:val="20"/>
        </w:rPr>
        <w:t>u lưu kho khá cao</w:t>
      </w:r>
      <w:r w:rsidR="005066C2" w:rsidRPr="004E1003">
        <w:rPr>
          <w:rFonts w:ascii="Arial" w:hAnsi="Arial" w:cs="Arial"/>
          <w:sz w:val="20"/>
          <w:szCs w:val="20"/>
        </w:rPr>
        <w:t>, sản lượng dầu đá phiến tại Mỹ phục hồi trở lạ</w:t>
      </w:r>
      <w:r w:rsidRPr="004E1003">
        <w:rPr>
          <w:rFonts w:ascii="Arial" w:hAnsi="Arial" w:cs="Arial"/>
          <w:sz w:val="20"/>
          <w:szCs w:val="20"/>
        </w:rPr>
        <w:t xml:space="preserve">i, </w:t>
      </w:r>
      <w:r w:rsidR="005066C2" w:rsidRPr="004E1003">
        <w:rPr>
          <w:rFonts w:ascii="Arial" w:hAnsi="Arial" w:cs="Arial"/>
          <w:sz w:val="20"/>
          <w:szCs w:val="20"/>
        </w:rPr>
        <w:t xml:space="preserve">lượng dầu </w:t>
      </w:r>
      <w:r w:rsidRPr="004E1003">
        <w:rPr>
          <w:rFonts w:ascii="Arial" w:hAnsi="Arial" w:cs="Arial"/>
          <w:sz w:val="20"/>
          <w:szCs w:val="20"/>
        </w:rPr>
        <w:t xml:space="preserve">khai thác </w:t>
      </w:r>
      <w:r w:rsidR="005066C2" w:rsidRPr="004E1003">
        <w:rPr>
          <w:rFonts w:ascii="Arial" w:hAnsi="Arial" w:cs="Arial"/>
          <w:sz w:val="20"/>
          <w:szCs w:val="20"/>
        </w:rPr>
        <w:t xml:space="preserve">tại Libya và Nigeria </w:t>
      </w:r>
      <w:r w:rsidR="00291B06" w:rsidRPr="004E1003">
        <w:rPr>
          <w:rFonts w:ascii="Arial" w:hAnsi="Arial" w:cs="Arial"/>
          <w:sz w:val="20"/>
          <w:szCs w:val="20"/>
        </w:rPr>
        <w:t>tiếp tục tăng - đây là hai quốc gia chưa phải tuân thủ các quy định cắt giảm sản lượng dầu</w:t>
      </w:r>
      <w:r w:rsidR="005066C2" w:rsidRPr="004E1003">
        <w:rPr>
          <w:rFonts w:ascii="Arial" w:hAnsi="Arial" w:cs="Arial"/>
          <w:sz w:val="20"/>
          <w:szCs w:val="20"/>
        </w:rPr>
        <w:t xml:space="preserve">. </w:t>
      </w:r>
      <w:r w:rsidR="00291B06" w:rsidRPr="004E1003">
        <w:rPr>
          <w:rFonts w:ascii="Arial" w:hAnsi="Arial" w:cs="Arial"/>
          <w:sz w:val="20"/>
          <w:szCs w:val="20"/>
        </w:rPr>
        <w:t>Trong quý III/2017, giá dầu thế giới phục hồi nhẹ do lượng dầu lưu kho giảm trong khi nhu cầu tăng cao, các nước trong và ngoài OPEC tiếp tục chấp hành cam kết cắt giảm sản lượng dầ</w:t>
      </w:r>
      <w:r w:rsidRPr="004E1003">
        <w:rPr>
          <w:rFonts w:ascii="Arial" w:hAnsi="Arial" w:cs="Arial"/>
          <w:sz w:val="20"/>
          <w:szCs w:val="20"/>
        </w:rPr>
        <w:t xml:space="preserve">u, </w:t>
      </w:r>
      <w:proofErr w:type="gramStart"/>
      <w:r w:rsidRPr="004E1003">
        <w:rPr>
          <w:rFonts w:ascii="Arial" w:hAnsi="Arial" w:cs="Arial"/>
          <w:sz w:val="20"/>
          <w:szCs w:val="20"/>
        </w:rPr>
        <w:t>hoạt</w:t>
      </w:r>
      <w:proofErr w:type="gramEnd"/>
      <w:r w:rsidRPr="004E1003">
        <w:rPr>
          <w:rFonts w:ascii="Arial" w:hAnsi="Arial" w:cs="Arial"/>
          <w:sz w:val="20"/>
          <w:szCs w:val="20"/>
        </w:rPr>
        <w:t xml:space="preserve"> động trích xuất</w:t>
      </w:r>
      <w:r w:rsidR="00291B06" w:rsidRPr="004E1003">
        <w:rPr>
          <w:rFonts w:ascii="Arial" w:hAnsi="Arial" w:cs="Arial"/>
          <w:sz w:val="20"/>
          <w:szCs w:val="20"/>
        </w:rPr>
        <w:t xml:space="preserve"> dầu đá phiến tại Mỹ tiếp tục ổn định. </w:t>
      </w:r>
      <w:proofErr w:type="gramStart"/>
      <w:r w:rsidR="00291B06" w:rsidRPr="004E1003">
        <w:rPr>
          <w:rFonts w:ascii="Arial" w:hAnsi="Arial" w:cs="Arial"/>
          <w:sz w:val="20"/>
          <w:szCs w:val="20"/>
        </w:rPr>
        <w:t>Trong khi đó, giá khí đốt tự nhiên tại châu Âu và giá ga lỏng tại châu Á tiếp tục ổn định.</w:t>
      </w:r>
      <w:proofErr w:type="gramEnd"/>
    </w:p>
    <w:p w:rsidR="00291B06" w:rsidRPr="004E1003" w:rsidRDefault="00291B06" w:rsidP="000F6CEA">
      <w:pPr>
        <w:spacing w:after="60" w:line="240" w:lineRule="auto"/>
        <w:jc w:val="both"/>
        <w:rPr>
          <w:rFonts w:ascii="Arial" w:hAnsi="Arial" w:cs="Arial"/>
          <w:sz w:val="20"/>
          <w:szCs w:val="20"/>
        </w:rPr>
      </w:pPr>
      <w:r w:rsidRPr="004E1003">
        <w:rPr>
          <w:rFonts w:ascii="Arial" w:hAnsi="Arial" w:cs="Arial"/>
          <w:sz w:val="20"/>
          <w:szCs w:val="20"/>
        </w:rPr>
        <w:t>Trong quý III/2017, giá cả các mặt hàng hóa phi năng lượng tăng khoảng 2% so với quý trước, nhưng có sự khác biệt khá lớn giữa các nhóm hàng hóa chủ chốt. Trong đó, giá các mặt hàng kim loại tăng tới 10% do nhu cầu tăng cao</w:t>
      </w:r>
      <w:r w:rsidR="007B3442" w:rsidRPr="004E1003">
        <w:rPr>
          <w:rFonts w:ascii="Arial" w:hAnsi="Arial" w:cs="Arial"/>
          <w:sz w:val="20"/>
          <w:szCs w:val="20"/>
        </w:rPr>
        <w:t>, nhất là tại Trung Quốc, trong khi nguồn cung tại quốc gia này giảm sâu.</w:t>
      </w:r>
    </w:p>
    <w:p w:rsidR="003F2702" w:rsidRPr="004E1003" w:rsidRDefault="00227AA2" w:rsidP="000F6CEA">
      <w:pPr>
        <w:spacing w:after="60" w:line="240" w:lineRule="auto"/>
        <w:jc w:val="both"/>
        <w:rPr>
          <w:rFonts w:ascii="Arial" w:hAnsi="Arial" w:cs="Arial"/>
          <w:sz w:val="20"/>
          <w:szCs w:val="20"/>
        </w:rPr>
      </w:pPr>
      <w:r w:rsidRPr="004E1003">
        <w:rPr>
          <w:rFonts w:ascii="Arial" w:hAnsi="Arial" w:cs="Arial"/>
          <w:sz w:val="20"/>
          <w:szCs w:val="20"/>
        </w:rPr>
        <w:t xml:space="preserve">Tương tự, </w:t>
      </w:r>
      <w:r w:rsidR="003F2702" w:rsidRPr="004E1003">
        <w:rPr>
          <w:rFonts w:ascii="Arial" w:hAnsi="Arial" w:cs="Arial"/>
          <w:sz w:val="20"/>
          <w:szCs w:val="20"/>
        </w:rPr>
        <w:t xml:space="preserve">giá cả kim loại quý tăng khoảng 1% </w:t>
      </w:r>
      <w:r w:rsidRPr="004E1003">
        <w:rPr>
          <w:rFonts w:ascii="Arial" w:hAnsi="Arial" w:cs="Arial"/>
          <w:sz w:val="20"/>
          <w:szCs w:val="20"/>
        </w:rPr>
        <w:t xml:space="preserve">trong quý III/2017, </w:t>
      </w:r>
      <w:r w:rsidR="003F2702" w:rsidRPr="004E1003">
        <w:rPr>
          <w:rFonts w:ascii="Arial" w:hAnsi="Arial" w:cs="Arial"/>
          <w:sz w:val="20"/>
          <w:szCs w:val="20"/>
        </w:rPr>
        <w:t>do nhu cầu đầu tư tăng vững và giá USD tiếp tục giả</w:t>
      </w:r>
      <w:r w:rsidRPr="004E1003">
        <w:rPr>
          <w:rFonts w:ascii="Arial" w:hAnsi="Arial" w:cs="Arial"/>
          <w:sz w:val="20"/>
          <w:szCs w:val="20"/>
        </w:rPr>
        <w:t>m</w:t>
      </w:r>
      <w:r w:rsidR="003F2702" w:rsidRPr="004E1003">
        <w:rPr>
          <w:rFonts w:ascii="Arial" w:hAnsi="Arial" w:cs="Arial"/>
          <w:sz w:val="20"/>
          <w:szCs w:val="20"/>
        </w:rPr>
        <w:t xml:space="preserve">. </w:t>
      </w:r>
      <w:proofErr w:type="gramStart"/>
      <w:r w:rsidR="003F2702" w:rsidRPr="004E1003">
        <w:rPr>
          <w:rFonts w:ascii="Arial" w:hAnsi="Arial" w:cs="Arial"/>
          <w:sz w:val="20"/>
          <w:szCs w:val="20"/>
        </w:rPr>
        <w:t>Sau khi giảm trong những tháng đầu năm, giá cả các mặt hàng nông nghiệp giảm tới 1%.</w:t>
      </w:r>
      <w:proofErr w:type="gramEnd"/>
      <w:r w:rsidR="003F2702" w:rsidRPr="004E1003">
        <w:rPr>
          <w:rFonts w:ascii="Arial" w:hAnsi="Arial" w:cs="Arial"/>
          <w:sz w:val="20"/>
          <w:szCs w:val="20"/>
        </w:rPr>
        <w:t xml:space="preserve"> Trong đó, giá </w:t>
      </w:r>
      <w:r w:rsidR="002B200F" w:rsidRPr="004E1003">
        <w:rPr>
          <w:rFonts w:ascii="Arial" w:hAnsi="Arial" w:cs="Arial"/>
          <w:sz w:val="20"/>
          <w:szCs w:val="20"/>
        </w:rPr>
        <w:t xml:space="preserve">lương thực - </w:t>
      </w:r>
      <w:r w:rsidR="003F2702" w:rsidRPr="004E1003">
        <w:rPr>
          <w:rFonts w:ascii="Arial" w:hAnsi="Arial" w:cs="Arial"/>
          <w:sz w:val="20"/>
          <w:szCs w:val="20"/>
        </w:rPr>
        <w:t xml:space="preserve">thực phẩm giảm 1%, phản ánh xu hướng giảm giá gạo và </w:t>
      </w:r>
      <w:proofErr w:type="gramStart"/>
      <w:r w:rsidR="003F2702" w:rsidRPr="004E1003">
        <w:rPr>
          <w:rFonts w:ascii="Arial" w:hAnsi="Arial" w:cs="Arial"/>
          <w:sz w:val="20"/>
          <w:szCs w:val="20"/>
        </w:rPr>
        <w:t>ngũ</w:t>
      </w:r>
      <w:proofErr w:type="gramEnd"/>
      <w:r w:rsidR="003F2702" w:rsidRPr="004E1003">
        <w:rPr>
          <w:rFonts w:ascii="Arial" w:hAnsi="Arial" w:cs="Arial"/>
          <w:sz w:val="20"/>
          <w:szCs w:val="20"/>
        </w:rPr>
        <w:t xml:space="preserve"> cốc các loại cũng như nhiều mặt hàng thực phẩm khác. Trái lại, giá cả các mặt hàng ăn uống tăng tới 1%, do giá đậu nành tăng cao (do sản lượng đậu nành tại Bắc Mỹ thấp hơn so với kỳ vọng). Giá cả đồ uống các loại tăng nhẹ, do giá cà phê tăng cao, trong khi giá nguyên liệu giảm sâu. </w:t>
      </w:r>
      <w:proofErr w:type="gramStart"/>
      <w:r w:rsidR="003F2702" w:rsidRPr="004E1003">
        <w:rPr>
          <w:rFonts w:ascii="Arial" w:hAnsi="Arial" w:cs="Arial"/>
          <w:sz w:val="20"/>
          <w:szCs w:val="20"/>
        </w:rPr>
        <w:t>Giá phân bón tăng 2%, chủ yếu do nhu cầu tại Brazil tăng cao, trong khi thiếu hụt sản lượng tại Trung Đông và Bắc Phi.</w:t>
      </w:r>
      <w:proofErr w:type="gramEnd"/>
      <w:r w:rsidR="003F2702" w:rsidRPr="004E1003">
        <w:rPr>
          <w:rFonts w:ascii="Arial" w:hAnsi="Arial" w:cs="Arial"/>
          <w:sz w:val="20"/>
          <w:szCs w:val="20"/>
        </w:rPr>
        <w:t xml:space="preserve">  </w:t>
      </w:r>
    </w:p>
    <w:p w:rsidR="00AA29B4" w:rsidRPr="004E1003" w:rsidRDefault="003F2702" w:rsidP="000F6CEA">
      <w:pPr>
        <w:spacing w:after="60" w:line="240" w:lineRule="auto"/>
        <w:jc w:val="both"/>
        <w:rPr>
          <w:rFonts w:ascii="Arial" w:hAnsi="Arial" w:cs="Arial"/>
          <w:sz w:val="20"/>
          <w:szCs w:val="20"/>
        </w:rPr>
      </w:pPr>
      <w:r w:rsidRPr="004E1003">
        <w:rPr>
          <w:rFonts w:ascii="Arial" w:hAnsi="Arial" w:cs="Arial"/>
          <w:sz w:val="20"/>
          <w:szCs w:val="20"/>
        </w:rPr>
        <w:t xml:space="preserve">Theo dự báo, giá năng lượng có thể tăng 24% trong năm nay và tăng 4% trong năm 2018; giá cả các mặt hàng phi năng lượng giảm 5% trong năm 2017, sau đó sẽ  tăng trở lại khoảng 1% vào năm 2018, thay đổi nhẹ so với dự báo đưa ra hồi tháng 4/2017. </w:t>
      </w:r>
      <w:proofErr w:type="gramStart"/>
      <w:r w:rsidRPr="004E1003">
        <w:rPr>
          <w:rFonts w:ascii="Arial" w:hAnsi="Arial" w:cs="Arial"/>
          <w:sz w:val="20"/>
          <w:szCs w:val="20"/>
        </w:rPr>
        <w:t xml:space="preserve">Giá dầu được dự báo tăng cao, nhưng cũng ẩn chứa nhiều rủi ro do bất ổn chính trị có thể </w:t>
      </w:r>
      <w:r w:rsidR="00AA29B4" w:rsidRPr="004E1003">
        <w:rPr>
          <w:rFonts w:ascii="Arial" w:hAnsi="Arial" w:cs="Arial"/>
          <w:sz w:val="20"/>
          <w:szCs w:val="20"/>
        </w:rPr>
        <w:t>gây gián đoạn nguồn cung, nhất là tại Irắc, Libya, Nigeria và Venezuela.</w:t>
      </w:r>
      <w:proofErr w:type="gramEnd"/>
      <w:r w:rsidR="003B30F2" w:rsidRPr="004E1003">
        <w:rPr>
          <w:rFonts w:ascii="Arial" w:hAnsi="Arial" w:cs="Arial"/>
          <w:sz w:val="20"/>
          <w:szCs w:val="20"/>
        </w:rPr>
        <w:t xml:space="preserve"> </w:t>
      </w:r>
      <w:r w:rsidR="00AA29B4" w:rsidRPr="004E1003">
        <w:rPr>
          <w:rFonts w:ascii="Arial" w:hAnsi="Arial" w:cs="Arial"/>
          <w:sz w:val="20"/>
          <w:szCs w:val="20"/>
        </w:rPr>
        <w:t xml:space="preserve">Việc tiếp tục </w:t>
      </w:r>
      <w:r w:rsidR="00AA29B4" w:rsidRPr="004E1003">
        <w:rPr>
          <w:rFonts w:ascii="Arial" w:hAnsi="Arial" w:cs="Arial"/>
          <w:sz w:val="20"/>
          <w:szCs w:val="20"/>
        </w:rPr>
        <w:lastRenderedPageBreak/>
        <w:t xml:space="preserve">duy trì thỏa thuận cắt giảm sản lượng dầu tại các nước trong và ngoài OPEC có thể </w:t>
      </w:r>
      <w:r w:rsidR="00227AA2" w:rsidRPr="004E1003">
        <w:rPr>
          <w:rFonts w:ascii="Arial" w:hAnsi="Arial" w:cs="Arial"/>
          <w:sz w:val="20"/>
          <w:szCs w:val="20"/>
        </w:rPr>
        <w:t>khiến nguồn cung hạn chế và gây sức ép tăng giá dầu</w:t>
      </w:r>
      <w:r w:rsidR="00AA29B4" w:rsidRPr="004E1003">
        <w:rPr>
          <w:rFonts w:ascii="Arial" w:hAnsi="Arial" w:cs="Arial"/>
          <w:sz w:val="20"/>
          <w:szCs w:val="20"/>
        </w:rPr>
        <w:t xml:space="preserve">, nhưng </w:t>
      </w:r>
      <w:r w:rsidR="00227AA2" w:rsidRPr="004E1003">
        <w:rPr>
          <w:rFonts w:ascii="Arial" w:hAnsi="Arial" w:cs="Arial"/>
          <w:sz w:val="20"/>
          <w:szCs w:val="20"/>
        </w:rPr>
        <w:t xml:space="preserve">giá dầu </w:t>
      </w:r>
      <w:r w:rsidR="00AA29B4" w:rsidRPr="004E1003">
        <w:rPr>
          <w:rFonts w:ascii="Arial" w:hAnsi="Arial" w:cs="Arial"/>
          <w:sz w:val="20"/>
          <w:szCs w:val="20"/>
        </w:rPr>
        <w:t xml:space="preserve">có thể giảm sâu nếu không kéo dài thời hạn cắt giảm sản lượng dầu khai thác. </w:t>
      </w:r>
    </w:p>
    <w:p w:rsidR="003B30F2" w:rsidRPr="004E1003" w:rsidRDefault="00AA29B4" w:rsidP="000F6CEA">
      <w:pPr>
        <w:spacing w:after="60" w:line="240" w:lineRule="auto"/>
        <w:jc w:val="both"/>
        <w:rPr>
          <w:rFonts w:ascii="Arial" w:hAnsi="Arial" w:cs="Arial"/>
          <w:sz w:val="20"/>
          <w:szCs w:val="20"/>
        </w:rPr>
      </w:pPr>
      <w:proofErr w:type="gramStart"/>
      <w:r w:rsidRPr="004E1003">
        <w:rPr>
          <w:rFonts w:ascii="Arial" w:hAnsi="Arial" w:cs="Arial"/>
          <w:sz w:val="20"/>
          <w:szCs w:val="20"/>
        </w:rPr>
        <w:t>Trong năm 2018, giá khí đốt tự nhiên được dự báo tăng 3%</w:t>
      </w:r>
      <w:r w:rsidR="006A7A6D" w:rsidRPr="004E1003">
        <w:rPr>
          <w:rFonts w:ascii="Arial" w:hAnsi="Arial" w:cs="Arial"/>
          <w:sz w:val="20"/>
          <w:szCs w:val="20"/>
        </w:rPr>
        <w:t>.</w:t>
      </w:r>
      <w:proofErr w:type="gramEnd"/>
      <w:r w:rsidR="006A7A6D" w:rsidRPr="004E1003">
        <w:rPr>
          <w:rFonts w:ascii="Arial" w:hAnsi="Arial" w:cs="Arial"/>
          <w:sz w:val="20"/>
          <w:szCs w:val="20"/>
        </w:rPr>
        <w:t xml:space="preserve"> Đáng chú ý, giá khí đốt tự nhiên tại Mỹ có thể</w:t>
      </w:r>
      <w:r w:rsidRPr="004E1003">
        <w:rPr>
          <w:rFonts w:ascii="Arial" w:hAnsi="Arial" w:cs="Arial"/>
          <w:sz w:val="20"/>
          <w:szCs w:val="20"/>
        </w:rPr>
        <w:t xml:space="preserve"> tăng 4% do nhu cầu trong nước </w:t>
      </w:r>
      <w:r w:rsidR="006A7A6D" w:rsidRPr="004E1003">
        <w:rPr>
          <w:rFonts w:ascii="Arial" w:hAnsi="Arial" w:cs="Arial"/>
          <w:sz w:val="20"/>
          <w:szCs w:val="20"/>
        </w:rPr>
        <w:t xml:space="preserve">và xuất khẩu </w:t>
      </w:r>
      <w:r w:rsidRPr="004E1003">
        <w:rPr>
          <w:rFonts w:ascii="Arial" w:hAnsi="Arial" w:cs="Arial"/>
          <w:sz w:val="20"/>
          <w:szCs w:val="20"/>
        </w:rPr>
        <w:t>tăng cao</w:t>
      </w:r>
      <w:r w:rsidR="006A7A6D" w:rsidRPr="004E1003">
        <w:rPr>
          <w:rFonts w:ascii="Arial" w:hAnsi="Arial" w:cs="Arial"/>
          <w:sz w:val="20"/>
          <w:szCs w:val="20"/>
        </w:rPr>
        <w:t>, tr</w:t>
      </w:r>
      <w:r w:rsidRPr="004E1003">
        <w:rPr>
          <w:rFonts w:ascii="Arial" w:hAnsi="Arial" w:cs="Arial"/>
          <w:sz w:val="20"/>
          <w:szCs w:val="20"/>
        </w:rPr>
        <w:t xml:space="preserve">ong </w:t>
      </w:r>
      <w:r w:rsidR="006A7A6D" w:rsidRPr="004E1003">
        <w:rPr>
          <w:rFonts w:ascii="Arial" w:hAnsi="Arial" w:cs="Arial"/>
          <w:sz w:val="20"/>
          <w:szCs w:val="20"/>
        </w:rPr>
        <w:t xml:space="preserve">khi </w:t>
      </w:r>
      <w:r w:rsidR="00227AA2" w:rsidRPr="004E1003">
        <w:rPr>
          <w:rFonts w:ascii="Arial" w:hAnsi="Arial" w:cs="Arial"/>
          <w:sz w:val="20"/>
          <w:szCs w:val="20"/>
        </w:rPr>
        <w:t xml:space="preserve">nguồn cung </w:t>
      </w:r>
      <w:r w:rsidR="006A7A6D" w:rsidRPr="004E1003">
        <w:rPr>
          <w:rFonts w:ascii="Arial" w:hAnsi="Arial" w:cs="Arial"/>
          <w:sz w:val="20"/>
          <w:szCs w:val="20"/>
        </w:rPr>
        <w:t xml:space="preserve">chỉ tăng khiêm tốn. </w:t>
      </w:r>
      <w:proofErr w:type="gramStart"/>
      <w:r w:rsidR="006A7A6D" w:rsidRPr="004E1003">
        <w:rPr>
          <w:rFonts w:ascii="Arial" w:hAnsi="Arial" w:cs="Arial"/>
          <w:sz w:val="20"/>
          <w:szCs w:val="20"/>
        </w:rPr>
        <w:t>Trong vài năm tới, nguồn cung khí đốt tự nhiên được dự báo tiếp tục tăng cao do năng lực sản xuất khí hóa lỏng tiếp tục mở rộng, nhất là tại Mỹ và Australia.</w:t>
      </w:r>
      <w:proofErr w:type="gramEnd"/>
      <w:r w:rsidR="006A7A6D" w:rsidRPr="004E1003">
        <w:rPr>
          <w:rFonts w:ascii="Arial" w:hAnsi="Arial" w:cs="Arial"/>
          <w:sz w:val="20"/>
          <w:szCs w:val="20"/>
        </w:rPr>
        <w:t xml:space="preserve"> Sau khi tăng gần 30% trong năm 2017, giá than trong năm 2018 được kỳ vọng quay đầu giảm xuống 70 USD/tấn do nhu cầu tăng chậm, nhất là tại Trung Quốc. </w:t>
      </w:r>
    </w:p>
    <w:p w:rsidR="003B30F2" w:rsidRPr="004E1003" w:rsidRDefault="006A7A6D" w:rsidP="000F6CEA">
      <w:pPr>
        <w:spacing w:after="60" w:line="240" w:lineRule="auto"/>
        <w:jc w:val="both"/>
        <w:rPr>
          <w:rFonts w:ascii="Arial" w:hAnsi="Arial" w:cs="Arial"/>
          <w:sz w:val="20"/>
          <w:szCs w:val="20"/>
        </w:rPr>
      </w:pPr>
      <w:r w:rsidRPr="004E1003">
        <w:rPr>
          <w:rFonts w:ascii="Arial" w:hAnsi="Arial" w:cs="Arial"/>
          <w:sz w:val="20"/>
          <w:szCs w:val="20"/>
        </w:rPr>
        <w:t xml:space="preserve">Sau khi tăng 22% trong năm nay, giá các mặt hàng </w:t>
      </w:r>
      <w:proofErr w:type="gramStart"/>
      <w:r w:rsidRPr="004E1003">
        <w:rPr>
          <w:rFonts w:ascii="Arial" w:hAnsi="Arial" w:cs="Arial"/>
          <w:sz w:val="20"/>
          <w:szCs w:val="20"/>
        </w:rPr>
        <w:t>kim</w:t>
      </w:r>
      <w:proofErr w:type="gramEnd"/>
      <w:r w:rsidRPr="004E1003">
        <w:rPr>
          <w:rFonts w:ascii="Arial" w:hAnsi="Arial" w:cs="Arial"/>
          <w:sz w:val="20"/>
          <w:szCs w:val="20"/>
        </w:rPr>
        <w:t xml:space="preserve"> loại được dự báo </w:t>
      </w:r>
      <w:r w:rsidR="002046D8" w:rsidRPr="004E1003">
        <w:rPr>
          <w:rFonts w:ascii="Arial" w:hAnsi="Arial" w:cs="Arial"/>
          <w:sz w:val="20"/>
          <w:szCs w:val="20"/>
        </w:rPr>
        <w:t xml:space="preserve">tiếp tục </w:t>
      </w:r>
      <w:r w:rsidRPr="004E1003">
        <w:rPr>
          <w:rFonts w:ascii="Arial" w:hAnsi="Arial" w:cs="Arial"/>
          <w:sz w:val="20"/>
          <w:szCs w:val="20"/>
        </w:rPr>
        <w:t xml:space="preserve">tăng </w:t>
      </w:r>
      <w:r w:rsidR="002046D8" w:rsidRPr="004E1003">
        <w:rPr>
          <w:rFonts w:ascii="Arial" w:hAnsi="Arial" w:cs="Arial"/>
          <w:sz w:val="20"/>
          <w:szCs w:val="20"/>
        </w:rPr>
        <w:t xml:space="preserve">nhẹ trong năm 2018. Trong đó, khả năng giá quặng sắt giảm tới 10% sẽ được bù đắp bởi giá cả những mặt hàng </w:t>
      </w:r>
      <w:proofErr w:type="gramStart"/>
      <w:r w:rsidR="002046D8" w:rsidRPr="004E1003">
        <w:rPr>
          <w:rFonts w:ascii="Arial" w:hAnsi="Arial" w:cs="Arial"/>
          <w:sz w:val="20"/>
          <w:szCs w:val="20"/>
        </w:rPr>
        <w:t>kim</w:t>
      </w:r>
      <w:proofErr w:type="gramEnd"/>
      <w:r w:rsidR="002046D8" w:rsidRPr="004E1003">
        <w:rPr>
          <w:rFonts w:ascii="Arial" w:hAnsi="Arial" w:cs="Arial"/>
          <w:sz w:val="20"/>
          <w:szCs w:val="20"/>
        </w:rPr>
        <w:t xml:space="preserve"> loại cơ bản đều tăng, lượng chì khai thác tại Trung Quốc giảm mạnh. </w:t>
      </w:r>
      <w:proofErr w:type="gramStart"/>
      <w:r w:rsidR="002046D8" w:rsidRPr="004E1003">
        <w:rPr>
          <w:rFonts w:ascii="Arial" w:hAnsi="Arial" w:cs="Arial"/>
          <w:sz w:val="20"/>
          <w:szCs w:val="20"/>
        </w:rPr>
        <w:t>Tương tự, sản lượng kền khai thác (tại Australia) và sản lượng kẽm (tại Mỹ và Australia) cũng giảm đáng kể.</w:t>
      </w:r>
      <w:proofErr w:type="gramEnd"/>
      <w:r w:rsidR="002046D8" w:rsidRPr="004E1003">
        <w:rPr>
          <w:rFonts w:ascii="Arial" w:hAnsi="Arial" w:cs="Arial"/>
          <w:sz w:val="20"/>
          <w:szCs w:val="20"/>
        </w:rPr>
        <w:t xml:space="preserve"> Giá </w:t>
      </w:r>
      <w:proofErr w:type="gramStart"/>
      <w:r w:rsidR="002046D8" w:rsidRPr="004E1003">
        <w:rPr>
          <w:rFonts w:ascii="Arial" w:hAnsi="Arial" w:cs="Arial"/>
          <w:sz w:val="20"/>
          <w:szCs w:val="20"/>
        </w:rPr>
        <w:t>kim</w:t>
      </w:r>
      <w:proofErr w:type="gramEnd"/>
      <w:r w:rsidR="002046D8" w:rsidRPr="004E1003">
        <w:rPr>
          <w:rFonts w:ascii="Arial" w:hAnsi="Arial" w:cs="Arial"/>
          <w:sz w:val="20"/>
          <w:szCs w:val="20"/>
        </w:rPr>
        <w:t xml:space="preserve"> loại có thể tăng cao, nếu nhu cầu tăng cao hơn so với kỳ vọng và nguồn cung gián đoạn. Trái lại, giá kim loại có thể giảm sâu, nếu nhu cầu tại Trung Quốc tăng thấp hơn so với kỳ vọng và </w:t>
      </w:r>
      <w:r w:rsidR="000B5098" w:rsidRPr="004E1003">
        <w:rPr>
          <w:rFonts w:ascii="Arial" w:hAnsi="Arial" w:cs="Arial"/>
          <w:sz w:val="20"/>
          <w:szCs w:val="20"/>
        </w:rPr>
        <w:t>hoạt động khai khoáng tại quốc gia này tăng trở lại</w:t>
      </w:r>
      <w:r w:rsidR="002046D8" w:rsidRPr="004E1003">
        <w:rPr>
          <w:rFonts w:ascii="Arial" w:hAnsi="Arial" w:cs="Arial"/>
          <w:sz w:val="20"/>
          <w:szCs w:val="20"/>
        </w:rPr>
        <w:t xml:space="preserve"> </w:t>
      </w:r>
      <w:r w:rsidR="000B5098" w:rsidRPr="004E1003">
        <w:rPr>
          <w:rFonts w:ascii="Arial" w:hAnsi="Arial" w:cs="Arial"/>
          <w:sz w:val="20"/>
          <w:szCs w:val="20"/>
        </w:rPr>
        <w:t xml:space="preserve">khi chính phủ nới lỏng các quy định về khai thác khoáng sản. Trong năm 2017, giá cả các mặt hàng kim loại quý được dự báo giảm 1% nếu lãi suất tại Mỹ tăng cao, nhưng có khác biệt đáng kể giữa các nhóm hàng. Trong đó, giá vàng được dự báo giảm 1% do kỳ vọng Ngân hàng Trung ương Mỹ sẽ tăng lãi suất. </w:t>
      </w:r>
      <w:proofErr w:type="gramStart"/>
      <w:r w:rsidR="000B5098" w:rsidRPr="004E1003">
        <w:rPr>
          <w:rFonts w:ascii="Arial" w:hAnsi="Arial" w:cs="Arial"/>
          <w:sz w:val="20"/>
          <w:szCs w:val="20"/>
        </w:rPr>
        <w:t>Tương tự, giá bạc cũng có thể giảm nhẹ.</w:t>
      </w:r>
      <w:proofErr w:type="gramEnd"/>
      <w:r w:rsidR="000B5098" w:rsidRPr="004E1003">
        <w:rPr>
          <w:rFonts w:ascii="Arial" w:hAnsi="Arial" w:cs="Arial"/>
          <w:sz w:val="20"/>
          <w:szCs w:val="20"/>
        </w:rPr>
        <w:t xml:space="preserve"> Trái lại, giá bạch </w:t>
      </w:r>
      <w:proofErr w:type="gramStart"/>
      <w:r w:rsidR="000B5098" w:rsidRPr="004E1003">
        <w:rPr>
          <w:rFonts w:ascii="Arial" w:hAnsi="Arial" w:cs="Arial"/>
          <w:sz w:val="20"/>
          <w:szCs w:val="20"/>
        </w:rPr>
        <w:t>kim</w:t>
      </w:r>
      <w:proofErr w:type="gramEnd"/>
      <w:r w:rsidR="000B5098" w:rsidRPr="004E1003">
        <w:rPr>
          <w:rFonts w:ascii="Arial" w:hAnsi="Arial" w:cs="Arial"/>
          <w:sz w:val="20"/>
          <w:szCs w:val="20"/>
        </w:rPr>
        <w:t xml:space="preserve"> có thể tăng tới 4% do nhu cầu tăng cao và nguồn cung hạn chế</w:t>
      </w:r>
      <w:r w:rsidR="003B30F2" w:rsidRPr="004E1003">
        <w:rPr>
          <w:rFonts w:ascii="Arial" w:hAnsi="Arial" w:cs="Arial"/>
          <w:sz w:val="20"/>
          <w:szCs w:val="20"/>
        </w:rPr>
        <w:t>.</w:t>
      </w:r>
    </w:p>
    <w:p w:rsidR="00273428" w:rsidRPr="004E1003" w:rsidRDefault="000B5098" w:rsidP="000F6CEA">
      <w:pPr>
        <w:spacing w:after="60" w:line="240" w:lineRule="auto"/>
        <w:jc w:val="both"/>
        <w:rPr>
          <w:rFonts w:ascii="Arial" w:hAnsi="Arial" w:cs="Arial"/>
          <w:sz w:val="20"/>
          <w:szCs w:val="20"/>
        </w:rPr>
      </w:pPr>
      <w:proofErr w:type="gramStart"/>
      <w:r w:rsidRPr="004E1003">
        <w:rPr>
          <w:rFonts w:ascii="Arial" w:hAnsi="Arial" w:cs="Arial"/>
          <w:sz w:val="20"/>
          <w:szCs w:val="20"/>
        </w:rPr>
        <w:t>Sau khi giảm nhẹ trong năm nay, giá cả các mặt hàng nông nghiệp được kỳ vọng sẽ ổn định trong năm 2018.</w:t>
      </w:r>
      <w:proofErr w:type="gramEnd"/>
      <w:r w:rsidRPr="004E1003">
        <w:rPr>
          <w:rFonts w:ascii="Arial" w:hAnsi="Arial" w:cs="Arial"/>
          <w:sz w:val="20"/>
          <w:szCs w:val="20"/>
        </w:rPr>
        <w:t xml:space="preserve"> Trong đó, giá </w:t>
      </w:r>
      <w:proofErr w:type="gramStart"/>
      <w:r w:rsidRPr="004E1003">
        <w:rPr>
          <w:rFonts w:ascii="Arial" w:hAnsi="Arial" w:cs="Arial"/>
          <w:sz w:val="20"/>
          <w:szCs w:val="20"/>
        </w:rPr>
        <w:t>ngũ</w:t>
      </w:r>
      <w:proofErr w:type="gramEnd"/>
      <w:r w:rsidRPr="004E1003">
        <w:rPr>
          <w:rFonts w:ascii="Arial" w:hAnsi="Arial" w:cs="Arial"/>
          <w:sz w:val="20"/>
          <w:szCs w:val="20"/>
        </w:rPr>
        <w:t xml:space="preserve"> cốc được dự báo khá ổn định trong năm nay,</w:t>
      </w:r>
      <w:r w:rsidR="00676D18" w:rsidRPr="004E1003">
        <w:rPr>
          <w:rFonts w:ascii="Arial" w:hAnsi="Arial" w:cs="Arial"/>
          <w:sz w:val="20"/>
          <w:szCs w:val="20"/>
        </w:rPr>
        <w:t xml:space="preserve"> trước khi tăng 1% vào năm 2018 do sản lượng ngô đạt thấp. Giá dầu thực vật và </w:t>
      </w:r>
      <w:r w:rsidR="00217A3C" w:rsidRPr="004E1003">
        <w:rPr>
          <w:rFonts w:ascii="Arial" w:hAnsi="Arial" w:cs="Arial"/>
          <w:sz w:val="20"/>
          <w:szCs w:val="20"/>
        </w:rPr>
        <w:t xml:space="preserve">các mặt </w:t>
      </w:r>
      <w:r w:rsidR="00676D18" w:rsidRPr="004E1003">
        <w:rPr>
          <w:rFonts w:ascii="Arial" w:hAnsi="Arial" w:cs="Arial"/>
          <w:sz w:val="20"/>
          <w:szCs w:val="20"/>
        </w:rPr>
        <w:t>hàng ăn uống</w:t>
      </w:r>
      <w:r w:rsidR="00217A3C" w:rsidRPr="004E1003">
        <w:rPr>
          <w:rFonts w:ascii="Arial" w:hAnsi="Arial" w:cs="Arial"/>
          <w:sz w:val="20"/>
          <w:szCs w:val="20"/>
        </w:rPr>
        <w:t xml:space="preserve"> có thể đạt mức tăng tương tự do sản lượng đậu nành giảm. Sau khi tăng 8% trong năm 2017, giá cả đồ uống các loại được dự báo chỉ tăng nhẹ trong năm 2018 do nguồn cung cà phê thiếu hụt. Sau khi tăng trên 2% trong năm nay, giá cả các mặt hàng nguyên liệu thô được dự báo tiếp tục tăng cao trong năm 2018, do nguồn cung cao su tự nhiên hạn chế. So với dự báo đưa ra hồi tháng 4/2017, giá cả các mặt hàng nông nghiệp nhìn </w:t>
      </w:r>
      <w:proofErr w:type="gramStart"/>
      <w:r w:rsidR="00217A3C" w:rsidRPr="004E1003">
        <w:rPr>
          <w:rFonts w:ascii="Arial" w:hAnsi="Arial" w:cs="Arial"/>
          <w:sz w:val="20"/>
          <w:szCs w:val="20"/>
        </w:rPr>
        <w:t>chung</w:t>
      </w:r>
      <w:proofErr w:type="gramEnd"/>
      <w:r w:rsidR="00217A3C" w:rsidRPr="004E1003">
        <w:rPr>
          <w:rFonts w:ascii="Arial" w:hAnsi="Arial" w:cs="Arial"/>
          <w:sz w:val="20"/>
          <w:szCs w:val="20"/>
        </w:rPr>
        <w:t xml:space="preserve"> không thay đổi. </w:t>
      </w:r>
      <w:r w:rsidR="003B30F2" w:rsidRPr="004E1003">
        <w:rPr>
          <w:rFonts w:ascii="Arial" w:hAnsi="Arial" w:cs="Arial"/>
          <w:sz w:val="20"/>
          <w:szCs w:val="20"/>
        </w:rPr>
        <w:t xml:space="preserve">Giá phân bón được kỳ vọng tăng 3% do nhu cầu tăng nhẹ, nhưng có thể giảm trở lại năng lực sản xuất tăng cao. </w:t>
      </w:r>
    </w:p>
    <w:p w:rsidR="002B200F" w:rsidRPr="000F6CEA" w:rsidRDefault="000110AB" w:rsidP="000F6CEA">
      <w:pPr>
        <w:spacing w:after="60" w:line="240" w:lineRule="auto"/>
        <w:jc w:val="both"/>
        <w:rPr>
          <w:rFonts w:ascii="Arial" w:hAnsi="Arial" w:cs="Arial"/>
          <w:i/>
          <w:sz w:val="20"/>
          <w:szCs w:val="20"/>
        </w:rPr>
      </w:pPr>
      <w:r w:rsidRPr="004E1003">
        <w:rPr>
          <w:rFonts w:ascii="Arial" w:hAnsi="Arial" w:cs="Arial"/>
          <w:b/>
          <w:i/>
          <w:sz w:val="20"/>
          <w:szCs w:val="20"/>
        </w:rPr>
        <w:t>Hoàng Thế Thỏa</w:t>
      </w:r>
      <w:r w:rsidR="000F6CEA">
        <w:rPr>
          <w:rFonts w:ascii="Arial" w:hAnsi="Arial" w:cs="Arial"/>
          <w:b/>
          <w:i/>
          <w:sz w:val="20"/>
          <w:szCs w:val="20"/>
        </w:rPr>
        <w:t xml:space="preserve"> </w:t>
      </w:r>
      <w:r w:rsidR="000F6CEA" w:rsidRPr="000F6CEA">
        <w:rPr>
          <w:rFonts w:ascii="Arial" w:hAnsi="Arial" w:cs="Arial"/>
          <w:i/>
          <w:sz w:val="20"/>
          <w:szCs w:val="20"/>
        </w:rPr>
        <w:t>(</w:t>
      </w:r>
      <w:r w:rsidR="002B200F" w:rsidRPr="000F6CEA">
        <w:rPr>
          <w:rFonts w:ascii="Arial" w:hAnsi="Arial" w:cs="Arial"/>
          <w:i/>
          <w:sz w:val="20"/>
          <w:szCs w:val="20"/>
        </w:rPr>
        <w:t>Nguồn: WB tháng 10/2017</w:t>
      </w:r>
      <w:r w:rsidR="000F6CEA" w:rsidRPr="000F6CEA">
        <w:rPr>
          <w:rFonts w:ascii="Arial" w:hAnsi="Arial" w:cs="Arial"/>
          <w:i/>
          <w:sz w:val="20"/>
          <w:szCs w:val="20"/>
        </w:rPr>
        <w:t>)</w:t>
      </w:r>
    </w:p>
    <w:sectPr w:rsidR="002B200F" w:rsidRPr="000F6CEA" w:rsidSect="000110AB">
      <w:foot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65" w:rsidRDefault="001F4065" w:rsidP="00273428">
      <w:pPr>
        <w:spacing w:after="0" w:line="240" w:lineRule="auto"/>
      </w:pPr>
      <w:r>
        <w:separator/>
      </w:r>
    </w:p>
  </w:endnote>
  <w:endnote w:type="continuationSeparator" w:id="0">
    <w:p w:rsidR="001F4065" w:rsidRDefault="001F4065" w:rsidP="0027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982470"/>
      <w:docPartObj>
        <w:docPartGallery w:val="Page Numbers (Bottom of Page)"/>
        <w:docPartUnique/>
      </w:docPartObj>
    </w:sdtPr>
    <w:sdtEndPr>
      <w:rPr>
        <w:noProof/>
      </w:rPr>
    </w:sdtEndPr>
    <w:sdtContent>
      <w:p w:rsidR="002B200F" w:rsidRDefault="002B200F">
        <w:pPr>
          <w:pStyle w:val="Footer"/>
          <w:jc w:val="right"/>
        </w:pPr>
        <w:r>
          <w:fldChar w:fldCharType="begin"/>
        </w:r>
        <w:r>
          <w:instrText xml:space="preserve"> PAGE   \* MERGEFORMAT </w:instrText>
        </w:r>
        <w:r>
          <w:fldChar w:fldCharType="separate"/>
        </w:r>
        <w:r w:rsidR="000B5E98">
          <w:rPr>
            <w:noProof/>
          </w:rPr>
          <w:t>1</w:t>
        </w:r>
        <w:r>
          <w:rPr>
            <w:noProof/>
          </w:rPr>
          <w:fldChar w:fldCharType="end"/>
        </w:r>
      </w:p>
    </w:sdtContent>
  </w:sdt>
  <w:p w:rsidR="002B200F" w:rsidRDefault="002B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65" w:rsidRDefault="001F4065" w:rsidP="00273428">
      <w:pPr>
        <w:spacing w:after="0" w:line="240" w:lineRule="auto"/>
      </w:pPr>
      <w:r>
        <w:separator/>
      </w:r>
    </w:p>
  </w:footnote>
  <w:footnote w:type="continuationSeparator" w:id="0">
    <w:p w:rsidR="001F4065" w:rsidRDefault="001F4065" w:rsidP="00273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478F"/>
    <w:multiLevelType w:val="hybridMultilevel"/>
    <w:tmpl w:val="1136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B0CB5"/>
    <w:multiLevelType w:val="hybridMultilevel"/>
    <w:tmpl w:val="4220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3B0FC2"/>
    <w:multiLevelType w:val="hybridMultilevel"/>
    <w:tmpl w:val="52AA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428"/>
    <w:rsid w:val="000110AB"/>
    <w:rsid w:val="00027B1C"/>
    <w:rsid w:val="000A29FE"/>
    <w:rsid w:val="000B5098"/>
    <w:rsid w:val="000B5E98"/>
    <w:rsid w:val="000F6CEA"/>
    <w:rsid w:val="0019560E"/>
    <w:rsid w:val="001D35E9"/>
    <w:rsid w:val="001F4065"/>
    <w:rsid w:val="002046D8"/>
    <w:rsid w:val="00217A3C"/>
    <w:rsid w:val="00227AA2"/>
    <w:rsid w:val="00273428"/>
    <w:rsid w:val="00291B06"/>
    <w:rsid w:val="002B200F"/>
    <w:rsid w:val="002F1FCB"/>
    <w:rsid w:val="003B13FC"/>
    <w:rsid w:val="003B30F2"/>
    <w:rsid w:val="003F2702"/>
    <w:rsid w:val="004D5FE8"/>
    <w:rsid w:val="004E1003"/>
    <w:rsid w:val="005066C2"/>
    <w:rsid w:val="00655235"/>
    <w:rsid w:val="00666114"/>
    <w:rsid w:val="00676D18"/>
    <w:rsid w:val="006A7A6D"/>
    <w:rsid w:val="00752396"/>
    <w:rsid w:val="007B1370"/>
    <w:rsid w:val="007B3442"/>
    <w:rsid w:val="008228B9"/>
    <w:rsid w:val="008A2C66"/>
    <w:rsid w:val="008D18D4"/>
    <w:rsid w:val="009E2289"/>
    <w:rsid w:val="009E3CF2"/>
    <w:rsid w:val="00AA29B4"/>
    <w:rsid w:val="00B0043F"/>
    <w:rsid w:val="00B07577"/>
    <w:rsid w:val="00C775E3"/>
    <w:rsid w:val="00D7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28"/>
  </w:style>
  <w:style w:type="paragraph" w:styleId="Footer">
    <w:name w:val="footer"/>
    <w:basedOn w:val="Normal"/>
    <w:link w:val="FooterChar"/>
    <w:uiPriority w:val="99"/>
    <w:unhideWhenUsed/>
    <w:rsid w:val="00273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28"/>
  </w:style>
  <w:style w:type="paragraph" w:styleId="ListParagraph">
    <w:name w:val="List Paragraph"/>
    <w:basedOn w:val="Normal"/>
    <w:uiPriority w:val="34"/>
    <w:qFormat/>
    <w:rsid w:val="00D72506"/>
    <w:pPr>
      <w:ind w:left="720"/>
      <w:contextualSpacing/>
    </w:pPr>
  </w:style>
  <w:style w:type="table" w:styleId="TableGrid">
    <w:name w:val="Table Grid"/>
    <w:basedOn w:val="TableNormal"/>
    <w:uiPriority w:val="59"/>
    <w:rsid w:val="00D72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28"/>
  </w:style>
  <w:style w:type="paragraph" w:styleId="Footer">
    <w:name w:val="footer"/>
    <w:basedOn w:val="Normal"/>
    <w:link w:val="FooterChar"/>
    <w:uiPriority w:val="99"/>
    <w:unhideWhenUsed/>
    <w:rsid w:val="00273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28"/>
  </w:style>
  <w:style w:type="paragraph" w:styleId="ListParagraph">
    <w:name w:val="List Paragraph"/>
    <w:basedOn w:val="Normal"/>
    <w:uiPriority w:val="34"/>
    <w:qFormat/>
    <w:rsid w:val="00D72506"/>
    <w:pPr>
      <w:ind w:left="720"/>
      <w:contextualSpacing/>
    </w:pPr>
  </w:style>
  <w:style w:type="table" w:styleId="TableGrid">
    <w:name w:val="Table Grid"/>
    <w:basedOn w:val="TableNormal"/>
    <w:uiPriority w:val="59"/>
    <w:rsid w:val="00D72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2017-11-02T01:24:00Z</dcterms:created>
  <dcterms:modified xsi:type="dcterms:W3CDTF">2017-11-02T01:25:00Z</dcterms:modified>
</cp:coreProperties>
</file>