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66C" w:rsidRPr="00333555" w:rsidRDefault="00D772EB" w:rsidP="00D053E5">
      <w:pPr>
        <w:spacing w:after="60" w:line="240" w:lineRule="auto"/>
        <w:jc w:val="both"/>
        <w:rPr>
          <w:rFonts w:ascii="Arial" w:eastAsia="Times New Roman" w:hAnsi="Arial" w:cs="Arial"/>
          <w:bCs/>
          <w:sz w:val="20"/>
          <w:szCs w:val="20"/>
          <w:bdr w:val="none" w:sz="0" w:space="0" w:color="auto" w:frame="1"/>
        </w:rPr>
      </w:pPr>
      <w:bookmarkStart w:id="0" w:name="_GoBack"/>
      <w:r w:rsidRPr="00333555">
        <w:rPr>
          <w:rFonts w:ascii="Arial" w:eastAsia="Times New Roman" w:hAnsi="Arial" w:cs="Arial"/>
          <w:bCs/>
          <w:sz w:val="20"/>
          <w:szCs w:val="20"/>
          <w:bdr w:val="none" w:sz="0" w:space="0" w:color="auto" w:frame="1"/>
        </w:rPr>
        <w:t xml:space="preserve">Tại Phố Wall, chỉ số công nghiệp Dow Jones đóng cửa hôm thứ sáu </w:t>
      </w:r>
      <w:r w:rsidR="001926BE" w:rsidRPr="00333555">
        <w:rPr>
          <w:rFonts w:ascii="Arial" w:eastAsia="Times New Roman" w:hAnsi="Arial" w:cs="Arial"/>
          <w:bCs/>
          <w:sz w:val="20"/>
          <w:szCs w:val="20"/>
          <w:bdr w:val="none" w:sz="0" w:space="0" w:color="auto" w:frame="1"/>
        </w:rPr>
        <w:t xml:space="preserve">(09/02) </w:t>
      </w:r>
      <w:r w:rsidRPr="00333555">
        <w:rPr>
          <w:rFonts w:ascii="Arial" w:eastAsia="Times New Roman" w:hAnsi="Arial" w:cs="Arial"/>
          <w:bCs/>
          <w:sz w:val="20"/>
          <w:szCs w:val="20"/>
          <w:bdr w:val="none" w:sz="0" w:space="0" w:color="auto" w:frame="1"/>
        </w:rPr>
        <w:t xml:space="preserve">ở mức 24.190,9 điểm, tăng </w:t>
      </w:r>
      <w:r w:rsidR="001926BE" w:rsidRPr="00333555">
        <w:rPr>
          <w:rFonts w:ascii="Arial" w:eastAsia="Times New Roman" w:hAnsi="Arial" w:cs="Arial"/>
          <w:bCs/>
          <w:sz w:val="20"/>
          <w:szCs w:val="20"/>
          <w:bdr w:val="none" w:sz="0" w:space="0" w:color="auto" w:frame="1"/>
        </w:rPr>
        <w:t>330,44 điểm (</w:t>
      </w:r>
      <w:r w:rsidRPr="00333555">
        <w:rPr>
          <w:rFonts w:ascii="Arial" w:eastAsia="Times New Roman" w:hAnsi="Arial" w:cs="Arial"/>
          <w:bCs/>
          <w:sz w:val="20"/>
          <w:szCs w:val="20"/>
          <w:bdr w:val="none" w:sz="0" w:space="0" w:color="auto" w:frame="1"/>
        </w:rPr>
        <w:t>1,38%</w:t>
      </w:r>
      <w:r w:rsidR="001926BE" w:rsidRPr="00333555">
        <w:rPr>
          <w:rFonts w:ascii="Arial" w:eastAsia="Times New Roman" w:hAnsi="Arial" w:cs="Arial"/>
          <w:bCs/>
          <w:sz w:val="20"/>
          <w:szCs w:val="20"/>
          <w:bdr w:val="none" w:sz="0" w:space="0" w:color="auto" w:frame="1"/>
        </w:rPr>
        <w:t>)</w:t>
      </w:r>
      <w:r w:rsidRPr="00333555">
        <w:rPr>
          <w:rFonts w:ascii="Arial" w:eastAsia="Times New Roman" w:hAnsi="Arial" w:cs="Arial"/>
          <w:bCs/>
          <w:sz w:val="20"/>
          <w:szCs w:val="20"/>
          <w:bdr w:val="none" w:sz="0" w:space="0" w:color="auto" w:frame="1"/>
        </w:rPr>
        <w:t xml:space="preserve"> so với phiên giao dịch trước</w:t>
      </w:r>
      <w:r w:rsidR="001926BE" w:rsidRPr="00333555">
        <w:rPr>
          <w:rFonts w:ascii="Arial" w:eastAsia="Times New Roman" w:hAnsi="Arial" w:cs="Arial"/>
          <w:bCs/>
          <w:sz w:val="20"/>
          <w:szCs w:val="20"/>
          <w:bdr w:val="none" w:sz="0" w:space="0" w:color="auto" w:frame="1"/>
        </w:rPr>
        <w:t>,</w:t>
      </w:r>
      <w:r w:rsidRPr="00333555">
        <w:rPr>
          <w:rFonts w:ascii="Arial" w:eastAsia="Times New Roman" w:hAnsi="Arial" w:cs="Arial"/>
          <w:bCs/>
          <w:sz w:val="20"/>
          <w:szCs w:val="20"/>
          <w:bdr w:val="none" w:sz="0" w:space="0" w:color="auto" w:frame="1"/>
        </w:rPr>
        <w:t xml:space="preserve"> nhưng giảm</w:t>
      </w:r>
      <w:r w:rsidR="0054630C" w:rsidRPr="00333555">
        <w:rPr>
          <w:rFonts w:ascii="Arial" w:eastAsia="Times New Roman" w:hAnsi="Arial" w:cs="Arial"/>
          <w:bCs/>
          <w:sz w:val="20"/>
          <w:szCs w:val="20"/>
          <w:bdr w:val="none" w:sz="0" w:space="0" w:color="auto" w:frame="1"/>
        </w:rPr>
        <w:t xml:space="preserve"> </w:t>
      </w:r>
      <w:r w:rsidR="003E466C" w:rsidRPr="00333555">
        <w:rPr>
          <w:rFonts w:ascii="Arial" w:eastAsia="Times New Roman" w:hAnsi="Arial" w:cs="Arial"/>
          <w:bCs/>
          <w:sz w:val="20"/>
          <w:szCs w:val="20"/>
          <w:bdr w:val="none" w:sz="0" w:space="0" w:color="auto" w:frame="1"/>
        </w:rPr>
        <w:t>trên 5,21</w:t>
      </w:r>
      <w:r w:rsidR="001926BE" w:rsidRPr="00333555">
        <w:rPr>
          <w:rFonts w:ascii="Arial" w:eastAsia="Times New Roman" w:hAnsi="Arial" w:cs="Arial"/>
          <w:bCs/>
          <w:sz w:val="20"/>
          <w:szCs w:val="20"/>
          <w:bdr w:val="none" w:sz="0" w:space="0" w:color="auto" w:frame="1"/>
        </w:rPr>
        <w:t xml:space="preserve">% so với </w:t>
      </w:r>
      <w:r w:rsidR="003E466C" w:rsidRPr="00333555">
        <w:rPr>
          <w:rFonts w:ascii="Arial" w:eastAsia="Times New Roman" w:hAnsi="Arial" w:cs="Arial"/>
          <w:bCs/>
          <w:sz w:val="20"/>
          <w:szCs w:val="20"/>
          <w:bdr w:val="none" w:sz="0" w:space="0" w:color="auto" w:frame="1"/>
        </w:rPr>
        <w:t>25</w:t>
      </w:r>
      <w:r w:rsidR="001926BE" w:rsidRPr="00333555">
        <w:rPr>
          <w:rFonts w:ascii="Arial" w:eastAsia="Times New Roman" w:hAnsi="Arial" w:cs="Arial"/>
          <w:bCs/>
          <w:sz w:val="20"/>
          <w:szCs w:val="20"/>
          <w:bdr w:val="none" w:sz="0" w:space="0" w:color="auto" w:frame="1"/>
        </w:rPr>
        <w:t xml:space="preserve">.520,96 điểm vào cuối tuần trước đó; chỉ số công nghệ Nasdaq đóng cửa ở mức 6.874,49 điểm, tăng 97,33 điểm so với phiên trước (1,44%), nhưng giảm 5,03% so với mức 7.240,95 điểm vào cuối tuần trước đó; chỉ số S&amp;P 500 tăng 38,55 điểm (1,49%) so với phiên trước, nhưng giảm tới 5,16% so với mức 2.762,13 điểm vào cuối tuần trước đó. </w:t>
      </w:r>
    </w:p>
    <w:p w:rsidR="00867100" w:rsidRPr="00333555" w:rsidRDefault="007037B7" w:rsidP="00D053E5">
      <w:pPr>
        <w:spacing w:after="60" w:line="240" w:lineRule="auto"/>
        <w:jc w:val="both"/>
        <w:rPr>
          <w:rFonts w:ascii="Arial" w:eastAsia="Times New Roman" w:hAnsi="Arial" w:cs="Arial"/>
          <w:sz w:val="20"/>
          <w:szCs w:val="20"/>
        </w:rPr>
      </w:pPr>
      <w:r w:rsidRPr="00333555">
        <w:rPr>
          <w:rFonts w:ascii="Arial" w:eastAsia="Times New Roman" w:hAnsi="Arial" w:cs="Arial"/>
          <w:bCs/>
          <w:sz w:val="20"/>
          <w:szCs w:val="20"/>
          <w:bdr w:val="none" w:sz="0" w:space="0" w:color="auto" w:frame="1"/>
        </w:rPr>
        <w:t>Do đóng cửa sớm hơn thị t</w:t>
      </w:r>
      <w:r w:rsidR="003E466C" w:rsidRPr="00333555">
        <w:rPr>
          <w:rFonts w:ascii="Arial" w:eastAsia="Times New Roman" w:hAnsi="Arial" w:cs="Arial"/>
          <w:bCs/>
          <w:sz w:val="20"/>
          <w:szCs w:val="20"/>
          <w:bdr w:val="none" w:sz="0" w:space="0" w:color="auto" w:frame="1"/>
        </w:rPr>
        <w:t xml:space="preserve">rường chứng khoán Mỹ, sắc đỏ cũng bao trùm </w:t>
      </w:r>
      <w:r w:rsidR="00771D5C" w:rsidRPr="00333555">
        <w:rPr>
          <w:rFonts w:ascii="Arial" w:eastAsia="Times New Roman" w:hAnsi="Arial" w:cs="Arial"/>
          <w:bCs/>
          <w:sz w:val="20"/>
          <w:szCs w:val="20"/>
          <w:bdr w:val="none" w:sz="0" w:space="0" w:color="auto" w:frame="1"/>
        </w:rPr>
        <w:t>những</w:t>
      </w:r>
      <w:r w:rsidR="003E466C" w:rsidRPr="00333555">
        <w:rPr>
          <w:rFonts w:ascii="Arial" w:eastAsia="Times New Roman" w:hAnsi="Arial" w:cs="Arial"/>
          <w:bCs/>
          <w:sz w:val="20"/>
          <w:szCs w:val="20"/>
          <w:bdr w:val="none" w:sz="0" w:space="0" w:color="auto" w:frame="1"/>
        </w:rPr>
        <w:t xml:space="preserve"> thị trường chứng khoán khác trên </w:t>
      </w:r>
      <w:r w:rsidR="00771D5C" w:rsidRPr="00333555">
        <w:rPr>
          <w:rFonts w:ascii="Arial" w:eastAsia="Times New Roman" w:hAnsi="Arial" w:cs="Arial"/>
          <w:bCs/>
          <w:sz w:val="20"/>
          <w:szCs w:val="20"/>
          <w:bdr w:val="none" w:sz="0" w:space="0" w:color="auto" w:frame="1"/>
        </w:rPr>
        <w:t xml:space="preserve">thế giới. </w:t>
      </w:r>
      <w:r w:rsidR="00CA1B28" w:rsidRPr="00333555">
        <w:rPr>
          <w:rFonts w:ascii="Arial" w:eastAsia="Times New Roman" w:hAnsi="Arial" w:cs="Arial"/>
          <w:sz w:val="20"/>
          <w:szCs w:val="20"/>
        </w:rPr>
        <w:t>Chỉ số MSCI toàn cầu (chỉ số theo dõi cổ phiếu tại 23 thị trường phát triển và 24 thị trường mới nổi) giảm 6</w:t>
      </w:r>
      <w:proofErr w:type="gramStart"/>
      <w:r w:rsidR="00CA1B28" w:rsidRPr="00333555">
        <w:rPr>
          <w:rFonts w:ascii="Arial" w:eastAsia="Times New Roman" w:hAnsi="Arial" w:cs="Arial"/>
          <w:sz w:val="20"/>
          <w:szCs w:val="20"/>
        </w:rPr>
        <w:t>,2</w:t>
      </w:r>
      <w:proofErr w:type="gramEnd"/>
      <w:r w:rsidR="00CA1B28" w:rsidRPr="00333555">
        <w:rPr>
          <w:rFonts w:ascii="Arial" w:eastAsia="Times New Roman" w:hAnsi="Arial" w:cs="Arial"/>
          <w:sz w:val="20"/>
          <w:szCs w:val="20"/>
        </w:rPr>
        <w:t xml:space="preserve">% so với cuối tuần trước, riêng chỉ số MSCI châu Á - Thái Bình Dương (không kể Nhật Bản) giảm 7,3%. </w:t>
      </w:r>
      <w:r w:rsidR="00771D5C" w:rsidRPr="00333555">
        <w:rPr>
          <w:rFonts w:ascii="Arial" w:eastAsia="Times New Roman" w:hAnsi="Arial" w:cs="Arial"/>
          <w:sz w:val="20"/>
          <w:szCs w:val="20"/>
        </w:rPr>
        <w:t>Chỉ số Stoxx Europe 600 tại châu Âu giảm 1</w:t>
      </w:r>
      <w:proofErr w:type="gramStart"/>
      <w:r w:rsidR="00771D5C" w:rsidRPr="00333555">
        <w:rPr>
          <w:rFonts w:ascii="Arial" w:eastAsia="Times New Roman" w:hAnsi="Arial" w:cs="Arial"/>
          <w:sz w:val="20"/>
          <w:szCs w:val="20"/>
        </w:rPr>
        <w:t>,4</w:t>
      </w:r>
      <w:proofErr w:type="gramEnd"/>
      <w:r w:rsidR="00771D5C" w:rsidRPr="00333555">
        <w:rPr>
          <w:rFonts w:ascii="Arial" w:eastAsia="Times New Roman" w:hAnsi="Arial" w:cs="Arial"/>
          <w:sz w:val="20"/>
          <w:szCs w:val="20"/>
        </w:rPr>
        <w:t xml:space="preserve">%, </w:t>
      </w:r>
      <w:r w:rsidR="00867100" w:rsidRPr="00333555">
        <w:rPr>
          <w:rFonts w:ascii="Arial" w:eastAsia="Times New Roman" w:hAnsi="Arial" w:cs="Arial"/>
          <w:sz w:val="20"/>
          <w:szCs w:val="20"/>
        </w:rPr>
        <w:t>ghi nhận tuần giảm điểm sâu nhất kể từ năm 2016</w:t>
      </w:r>
      <w:r w:rsidR="00771D5C" w:rsidRPr="00333555">
        <w:rPr>
          <w:rFonts w:ascii="Arial" w:eastAsia="Times New Roman" w:hAnsi="Arial" w:cs="Arial"/>
          <w:sz w:val="20"/>
          <w:szCs w:val="20"/>
        </w:rPr>
        <w:t>. Chỉ số FTSE 100 tại Luân Đôn giảm 1</w:t>
      </w:r>
      <w:proofErr w:type="gramStart"/>
      <w:r w:rsidR="00771D5C" w:rsidRPr="00333555">
        <w:rPr>
          <w:rFonts w:ascii="Arial" w:eastAsia="Times New Roman" w:hAnsi="Arial" w:cs="Arial"/>
          <w:sz w:val="20"/>
          <w:szCs w:val="20"/>
        </w:rPr>
        <w:t>,1</w:t>
      </w:r>
      <w:proofErr w:type="gramEnd"/>
      <w:r w:rsidR="00771D5C" w:rsidRPr="00333555">
        <w:rPr>
          <w:rFonts w:ascii="Arial" w:eastAsia="Times New Roman" w:hAnsi="Arial" w:cs="Arial"/>
          <w:sz w:val="20"/>
          <w:szCs w:val="20"/>
        </w:rPr>
        <w:t xml:space="preserve">%, chạm đáy 13 tháng. </w:t>
      </w:r>
      <w:r w:rsidRPr="00333555">
        <w:rPr>
          <w:rFonts w:ascii="Arial" w:eastAsia="Times New Roman" w:hAnsi="Arial" w:cs="Arial"/>
          <w:sz w:val="20"/>
          <w:szCs w:val="20"/>
        </w:rPr>
        <w:t>Chứng khoán Trung Quốc giảm sâu</w:t>
      </w:r>
      <w:r w:rsidR="00867100" w:rsidRPr="00333555">
        <w:rPr>
          <w:rFonts w:ascii="Arial" w:eastAsia="Times New Roman" w:hAnsi="Arial" w:cs="Arial"/>
          <w:sz w:val="20"/>
          <w:szCs w:val="20"/>
        </w:rPr>
        <w:t xml:space="preserve"> nhất trong 2 năm qua, mặc dù kết thúc năm 2017 không mấy lạc quan (thị trường chứng khoán Thượng Hải tăng điểm nhẹ, trong khi thị trường chứng khoán Thâm Quyến tiếp tục giảm). </w:t>
      </w:r>
    </w:p>
    <w:p w:rsidR="00771D5C" w:rsidRPr="00333555" w:rsidRDefault="00771D5C" w:rsidP="00D053E5">
      <w:pPr>
        <w:spacing w:after="60" w:line="240" w:lineRule="auto"/>
        <w:jc w:val="both"/>
        <w:rPr>
          <w:rFonts w:ascii="Arial" w:eastAsia="Times New Roman" w:hAnsi="Arial" w:cs="Arial"/>
          <w:sz w:val="20"/>
          <w:szCs w:val="20"/>
        </w:rPr>
      </w:pPr>
      <w:r w:rsidRPr="00333555">
        <w:rPr>
          <w:rFonts w:ascii="Arial" w:eastAsia="Times New Roman" w:hAnsi="Arial" w:cs="Arial"/>
          <w:bCs/>
          <w:sz w:val="20"/>
          <w:szCs w:val="20"/>
          <w:bdr w:val="none" w:sz="0" w:space="0" w:color="auto" w:frame="1"/>
        </w:rPr>
        <w:t>Mặc dù lác đác một vài cổ phiếu phục hồi vào đầu phiên giao dịch đầu tuần này (12/02), n</w:t>
      </w:r>
      <w:r w:rsidR="003E466C" w:rsidRPr="00333555">
        <w:rPr>
          <w:rFonts w:ascii="Arial" w:eastAsia="Times New Roman" w:hAnsi="Arial" w:cs="Arial"/>
          <w:bCs/>
          <w:sz w:val="20"/>
          <w:szCs w:val="20"/>
          <w:bdr w:val="none" w:sz="0" w:space="0" w:color="auto" w:frame="1"/>
        </w:rPr>
        <w:t>h</w:t>
      </w:r>
      <w:r w:rsidRPr="00333555">
        <w:rPr>
          <w:rFonts w:ascii="Arial" w:eastAsia="Times New Roman" w:hAnsi="Arial" w:cs="Arial"/>
          <w:bCs/>
          <w:sz w:val="20"/>
          <w:szCs w:val="20"/>
          <w:bdr w:val="none" w:sz="0" w:space="0" w:color="auto" w:frame="1"/>
        </w:rPr>
        <w:t>ưng thị trường chứng khoán toàn cầu</w:t>
      </w:r>
      <w:r w:rsidR="003E466C" w:rsidRPr="00333555">
        <w:rPr>
          <w:rFonts w:ascii="Arial" w:eastAsia="Times New Roman" w:hAnsi="Arial" w:cs="Arial"/>
          <w:bCs/>
          <w:sz w:val="20"/>
          <w:szCs w:val="20"/>
          <w:bdr w:val="none" w:sz="0" w:space="0" w:color="auto" w:frame="1"/>
        </w:rPr>
        <w:t xml:space="preserve"> đã chứng kiến một tuần ảm đạm với mức điểm thấp hơn</w:t>
      </w:r>
      <w:r w:rsidR="00D772EB" w:rsidRPr="00333555">
        <w:rPr>
          <w:rFonts w:ascii="Arial" w:eastAsia="Times New Roman" w:hAnsi="Arial" w:cs="Arial"/>
          <w:bCs/>
          <w:sz w:val="20"/>
          <w:szCs w:val="20"/>
          <w:bdr w:val="none" w:sz="0" w:space="0" w:color="auto" w:frame="1"/>
        </w:rPr>
        <w:t xml:space="preserve"> </w:t>
      </w:r>
      <w:r w:rsidRPr="00333555">
        <w:rPr>
          <w:rFonts w:ascii="Arial" w:eastAsia="Times New Roman" w:hAnsi="Arial" w:cs="Arial"/>
          <w:bCs/>
          <w:sz w:val="20"/>
          <w:szCs w:val="20"/>
          <w:bdr w:val="none" w:sz="0" w:space="0" w:color="auto" w:frame="1"/>
        </w:rPr>
        <w:t>so với cuối năm 2017, m</w:t>
      </w:r>
      <w:r w:rsidRPr="00333555">
        <w:rPr>
          <w:rFonts w:ascii="Arial" w:eastAsia="Times New Roman" w:hAnsi="Arial" w:cs="Arial"/>
          <w:sz w:val="20"/>
          <w:szCs w:val="20"/>
        </w:rPr>
        <w:t xml:space="preserve">ức giảm này đã khiến các nhà đầu tư rơi vào trạng thái </w:t>
      </w:r>
      <w:r w:rsidRPr="00333555">
        <w:rPr>
          <w:rFonts w:ascii="Arial" w:eastAsia="Times New Roman" w:hAnsi="Arial" w:cs="Arial"/>
          <w:color w:val="000000" w:themeColor="text1"/>
          <w:sz w:val="20"/>
          <w:szCs w:val="20"/>
        </w:rPr>
        <w:t>hoảng loạn</w:t>
      </w:r>
      <w:r w:rsidRPr="00333555">
        <w:rPr>
          <w:rFonts w:ascii="Arial" w:eastAsia="Times New Roman" w:hAnsi="Arial" w:cs="Arial"/>
          <w:sz w:val="20"/>
          <w:szCs w:val="20"/>
        </w:rPr>
        <w:t>, sau khi thị trường chứng khoán Mỹ hưởng thụ một quãng thời gian tăng điểm đều đặn dài nhất trong lịch sử.</w:t>
      </w:r>
    </w:p>
    <w:p w:rsidR="000A50A5" w:rsidRPr="00333555" w:rsidRDefault="000A50A5" w:rsidP="00D053E5">
      <w:pPr>
        <w:spacing w:after="60" w:line="240" w:lineRule="auto"/>
        <w:jc w:val="both"/>
        <w:rPr>
          <w:rFonts w:ascii="Arial" w:eastAsia="Times New Roman" w:hAnsi="Arial" w:cs="Arial"/>
          <w:bCs/>
          <w:sz w:val="20"/>
          <w:szCs w:val="20"/>
          <w:bdr w:val="none" w:sz="0" w:space="0" w:color="auto" w:frame="1"/>
        </w:rPr>
      </w:pPr>
      <w:r w:rsidRPr="00333555">
        <w:rPr>
          <w:rFonts w:ascii="Arial" w:eastAsia="Times New Roman" w:hAnsi="Arial" w:cs="Arial"/>
          <w:bCs/>
          <w:sz w:val="20"/>
          <w:szCs w:val="20"/>
          <w:bdr w:val="none" w:sz="0" w:space="0" w:color="auto" w:frame="1"/>
        </w:rPr>
        <w:t xml:space="preserve">Trên thực tế, thị trường chứng khoán Mỹ bắt đầu phục hồi từ năm 2011, và năm 2017 liên tục lập kỷ lục mới. </w:t>
      </w:r>
      <w:r w:rsidRPr="00333555">
        <w:rPr>
          <w:rFonts w:ascii="Arial" w:eastAsia="Times New Roman" w:hAnsi="Arial" w:cs="Arial"/>
          <w:sz w:val="20"/>
          <w:szCs w:val="20"/>
        </w:rPr>
        <w:t>Kết quả giảm điểm nói trên cũng không nằm ngoài dự tính của nhiều nhà đầu tư</w:t>
      </w:r>
      <w:r w:rsidRPr="00333555">
        <w:rPr>
          <w:rFonts w:ascii="Arial" w:eastAsia="Times New Roman" w:hAnsi="Arial" w:cs="Arial"/>
          <w:bCs/>
          <w:sz w:val="20"/>
          <w:szCs w:val="20"/>
          <w:bdr w:val="none" w:sz="0" w:space="0" w:color="auto" w:frame="1"/>
        </w:rPr>
        <w:t>, khi giá cổ phiếu đã đạt đến giới hạn hợp lý, và các đợt điều chỉnh sẽ diễn ra thường xuyên hơn.</w:t>
      </w:r>
    </w:p>
    <w:p w:rsidR="00F21D34" w:rsidRPr="00333555" w:rsidRDefault="000A50A5" w:rsidP="00D053E5">
      <w:pPr>
        <w:spacing w:after="60" w:line="240" w:lineRule="auto"/>
        <w:jc w:val="both"/>
        <w:rPr>
          <w:rFonts w:ascii="Arial" w:eastAsia="Times New Roman" w:hAnsi="Arial" w:cs="Arial"/>
          <w:bCs/>
          <w:sz w:val="20"/>
          <w:szCs w:val="20"/>
          <w:bdr w:val="none" w:sz="0" w:space="0" w:color="auto" w:frame="1"/>
        </w:rPr>
      </w:pPr>
      <w:r w:rsidRPr="00333555">
        <w:rPr>
          <w:rFonts w:ascii="Arial" w:eastAsia="Times New Roman" w:hAnsi="Arial" w:cs="Arial"/>
          <w:sz w:val="20"/>
          <w:szCs w:val="20"/>
        </w:rPr>
        <w:t>Yếu tố cơ bản chi phối thị trường chứng khoán Mỹ là, d</w:t>
      </w:r>
      <w:r w:rsidRPr="00333555">
        <w:rPr>
          <w:rFonts w:ascii="Arial" w:eastAsia="Times New Roman" w:hAnsi="Arial" w:cs="Arial"/>
          <w:bCs/>
          <w:sz w:val="20"/>
          <w:szCs w:val="20"/>
          <w:bdr w:val="none" w:sz="0" w:space="0" w:color="auto" w:frame="1"/>
        </w:rPr>
        <w:t>ữ liệu việc làm lạc quan hơn so với dự báo của Bộ Lao động Mỹ. Trong đó,</w:t>
      </w:r>
      <w:r w:rsidRPr="00333555">
        <w:rPr>
          <w:rFonts w:ascii="Arial" w:eastAsia="Times New Roman" w:hAnsi="Arial" w:cs="Arial"/>
          <w:sz w:val="20"/>
          <w:szCs w:val="20"/>
        </w:rPr>
        <w:t xml:space="preserve"> tiền lương tại Mỹ trong tháng 01/2018 tăng tới 2,9% so với cùng kỳ năm trước, mức tăng cao nhất kể từ năm 2009. Tiền lương tăng nhanh có thể đẩy lạm phát tăng </w:t>
      </w:r>
      <w:proofErr w:type="gramStart"/>
      <w:r w:rsidRPr="00333555">
        <w:rPr>
          <w:rFonts w:ascii="Arial" w:eastAsia="Times New Roman" w:hAnsi="Arial" w:cs="Arial"/>
          <w:sz w:val="20"/>
          <w:szCs w:val="20"/>
        </w:rPr>
        <w:t>theo</w:t>
      </w:r>
      <w:proofErr w:type="gramEnd"/>
      <w:r w:rsidRPr="00333555">
        <w:rPr>
          <w:rFonts w:ascii="Arial" w:eastAsia="Times New Roman" w:hAnsi="Arial" w:cs="Arial"/>
          <w:sz w:val="20"/>
          <w:szCs w:val="20"/>
        </w:rPr>
        <w:t>, buộc Cục Dự trữ liên bang Mỹ (Fed) phải rút ngắn lộ trình tăng lãi suất</w:t>
      </w:r>
      <w:r w:rsidRPr="00333555">
        <w:rPr>
          <w:rFonts w:ascii="Arial" w:eastAsia="Times New Roman" w:hAnsi="Arial" w:cs="Arial"/>
          <w:bCs/>
          <w:sz w:val="20"/>
          <w:szCs w:val="20"/>
          <w:bdr w:val="none" w:sz="0" w:space="0" w:color="auto" w:frame="1"/>
        </w:rPr>
        <w:t xml:space="preserve">. </w:t>
      </w:r>
      <w:r w:rsidRPr="00333555">
        <w:rPr>
          <w:rFonts w:ascii="Arial" w:eastAsia="Times New Roman" w:hAnsi="Arial" w:cs="Arial"/>
          <w:sz w:val="20"/>
          <w:szCs w:val="20"/>
        </w:rPr>
        <w:t xml:space="preserve">Triển vọng lạc quan về tình hình kinh tế Mỹ cũng hỗ trợ tăng lợi suất trái phiếu chính phủ, </w:t>
      </w:r>
      <w:proofErr w:type="gramStart"/>
      <w:r w:rsidRPr="00333555">
        <w:rPr>
          <w:rFonts w:ascii="Arial" w:eastAsia="Times New Roman" w:hAnsi="Arial" w:cs="Arial"/>
          <w:sz w:val="20"/>
          <w:szCs w:val="20"/>
        </w:rPr>
        <w:t>thu</w:t>
      </w:r>
      <w:proofErr w:type="gramEnd"/>
      <w:r w:rsidRPr="00333555">
        <w:rPr>
          <w:rFonts w:ascii="Arial" w:eastAsia="Times New Roman" w:hAnsi="Arial" w:cs="Arial"/>
          <w:sz w:val="20"/>
          <w:szCs w:val="20"/>
        </w:rPr>
        <w:t xml:space="preserve"> hút dòng tiền từ cổ phiếu các loại. </w:t>
      </w:r>
      <w:r w:rsidR="00472200" w:rsidRPr="00333555">
        <w:rPr>
          <w:rFonts w:ascii="Arial" w:eastAsia="Times New Roman" w:hAnsi="Arial" w:cs="Arial"/>
          <w:sz w:val="20"/>
          <w:szCs w:val="20"/>
        </w:rPr>
        <w:t xml:space="preserve">Áp lực bán tháo cổ phiếu trong tuần này cũng đến từ thị trường trái phiếu kho bạc Mỹ, khi mức lợi suất tăng lên mức cao nhất trong 4 năm qua. Trong phiên giao dịch cuối tuần, lợi suất trái phiếu kho bạc Mỹ kỳ hạn 10 năm chốt ở mức 2,885%, gần bằng mức lợi suất mở cửa đầu tuần, vượt qua mức lợi </w:t>
      </w:r>
      <w:r w:rsidR="007037B7" w:rsidRPr="00333555">
        <w:rPr>
          <w:rFonts w:ascii="Arial" w:eastAsia="Times New Roman" w:hAnsi="Arial" w:cs="Arial"/>
          <w:sz w:val="20"/>
          <w:szCs w:val="20"/>
        </w:rPr>
        <w:t>tức cổ phần</w:t>
      </w:r>
      <w:r w:rsidR="00472200" w:rsidRPr="00333555">
        <w:rPr>
          <w:rFonts w:ascii="Arial" w:eastAsia="Times New Roman" w:hAnsi="Arial" w:cs="Arial"/>
          <w:sz w:val="20"/>
          <w:szCs w:val="20"/>
        </w:rPr>
        <w:t xml:space="preserve"> 2</w:t>
      </w:r>
      <w:proofErr w:type="gramStart"/>
      <w:r w:rsidR="00472200" w:rsidRPr="00333555">
        <w:rPr>
          <w:rFonts w:ascii="Arial" w:eastAsia="Times New Roman" w:hAnsi="Arial" w:cs="Arial"/>
          <w:sz w:val="20"/>
          <w:szCs w:val="20"/>
        </w:rPr>
        <w:t>,34</w:t>
      </w:r>
      <w:proofErr w:type="gramEnd"/>
      <w:r w:rsidR="00472200" w:rsidRPr="00333555">
        <w:rPr>
          <w:rFonts w:ascii="Arial" w:eastAsia="Times New Roman" w:hAnsi="Arial" w:cs="Arial"/>
          <w:sz w:val="20"/>
          <w:szCs w:val="20"/>
        </w:rPr>
        <w:t>% của S&amp;P 500, do giá trái phiếu tăng lên vào thời điểm đà bán tháo cổ phiếu đạt mức tăng cao nhất.</w:t>
      </w:r>
      <w:r w:rsidR="00F21D34" w:rsidRPr="00333555">
        <w:rPr>
          <w:rFonts w:ascii="Arial" w:eastAsia="Times New Roman" w:hAnsi="Arial" w:cs="Arial"/>
          <w:sz w:val="20"/>
          <w:szCs w:val="20"/>
        </w:rPr>
        <w:t xml:space="preserve"> Những luồng t</w:t>
      </w:r>
      <w:r w:rsidR="00F21D34" w:rsidRPr="00333555">
        <w:rPr>
          <w:rFonts w:ascii="Arial" w:eastAsia="Times New Roman" w:hAnsi="Arial" w:cs="Arial"/>
          <w:bCs/>
          <w:sz w:val="20"/>
          <w:szCs w:val="20"/>
          <w:bdr w:val="none" w:sz="0" w:space="0" w:color="auto" w:frame="1"/>
        </w:rPr>
        <w:t xml:space="preserve">hông tin này đã khiến các chỉ số chứng khoán </w:t>
      </w:r>
      <w:r w:rsidR="007037B7" w:rsidRPr="00333555">
        <w:rPr>
          <w:rFonts w:ascii="Arial" w:eastAsia="Times New Roman" w:hAnsi="Arial" w:cs="Arial"/>
          <w:bCs/>
          <w:sz w:val="20"/>
          <w:szCs w:val="20"/>
          <w:bdr w:val="none" w:sz="0" w:space="0" w:color="auto" w:frame="1"/>
        </w:rPr>
        <w:t xml:space="preserve">Mỹ </w:t>
      </w:r>
      <w:r w:rsidR="00F21D34" w:rsidRPr="00333555">
        <w:rPr>
          <w:rFonts w:ascii="Arial" w:eastAsia="Times New Roman" w:hAnsi="Arial" w:cs="Arial"/>
          <w:bCs/>
          <w:sz w:val="20"/>
          <w:szCs w:val="20"/>
          <w:bdr w:val="none" w:sz="0" w:space="0" w:color="auto" w:frame="1"/>
        </w:rPr>
        <w:t xml:space="preserve">chìm sâu trong sắc đỏ, gây tác động </w:t>
      </w:r>
      <w:proofErr w:type="gramStart"/>
      <w:r w:rsidR="00F21D34" w:rsidRPr="00333555">
        <w:rPr>
          <w:rFonts w:ascii="Arial" w:eastAsia="Times New Roman" w:hAnsi="Arial" w:cs="Arial"/>
          <w:bCs/>
          <w:sz w:val="20"/>
          <w:szCs w:val="20"/>
          <w:bdr w:val="none" w:sz="0" w:space="0" w:color="auto" w:frame="1"/>
        </w:rPr>
        <w:t>lan</w:t>
      </w:r>
      <w:proofErr w:type="gramEnd"/>
      <w:r w:rsidR="00F21D34" w:rsidRPr="00333555">
        <w:rPr>
          <w:rFonts w:ascii="Arial" w:eastAsia="Times New Roman" w:hAnsi="Arial" w:cs="Arial"/>
          <w:bCs/>
          <w:sz w:val="20"/>
          <w:szCs w:val="20"/>
          <w:bdr w:val="none" w:sz="0" w:space="0" w:color="auto" w:frame="1"/>
        </w:rPr>
        <w:t xml:space="preserve"> truyền sang các thị trường chứng khoán toàn cầu. </w:t>
      </w:r>
    </w:p>
    <w:p w:rsidR="0020337A" w:rsidRPr="00333555" w:rsidRDefault="00FE1836" w:rsidP="00D053E5">
      <w:pPr>
        <w:shd w:val="clear" w:color="auto" w:fill="FFFFFF"/>
        <w:spacing w:after="60" w:line="240" w:lineRule="auto"/>
        <w:jc w:val="both"/>
        <w:textAlignment w:val="baseline"/>
        <w:rPr>
          <w:rFonts w:ascii="Arial" w:eastAsia="Times New Roman" w:hAnsi="Arial" w:cs="Arial"/>
          <w:sz w:val="20"/>
          <w:szCs w:val="20"/>
        </w:rPr>
      </w:pPr>
      <w:r w:rsidRPr="00333555">
        <w:rPr>
          <w:rFonts w:ascii="Arial" w:eastAsia="Times New Roman" w:hAnsi="Arial" w:cs="Arial"/>
          <w:sz w:val="20"/>
          <w:szCs w:val="20"/>
        </w:rPr>
        <w:t>Lợi suất trái phiếu tăng cao cũng phần nào hỗ trợ USD tăng giá</w:t>
      </w:r>
      <w:r w:rsidR="00472200" w:rsidRPr="00333555">
        <w:rPr>
          <w:rFonts w:ascii="Arial" w:eastAsia="Times New Roman" w:hAnsi="Arial" w:cs="Arial"/>
          <w:sz w:val="20"/>
          <w:szCs w:val="20"/>
        </w:rPr>
        <w:t xml:space="preserve">, chỉ số USD </w:t>
      </w:r>
      <w:r w:rsidRPr="00333555">
        <w:rPr>
          <w:rFonts w:ascii="Arial" w:eastAsia="Times New Roman" w:hAnsi="Arial" w:cs="Arial"/>
          <w:sz w:val="20"/>
          <w:szCs w:val="20"/>
        </w:rPr>
        <w:t xml:space="preserve">tại Phố Wall </w:t>
      </w:r>
      <w:r w:rsidR="00472200" w:rsidRPr="00333555">
        <w:rPr>
          <w:rFonts w:ascii="Arial" w:eastAsia="Times New Roman" w:hAnsi="Arial" w:cs="Arial"/>
          <w:sz w:val="20"/>
          <w:szCs w:val="20"/>
        </w:rPr>
        <w:t>đứng</w:t>
      </w:r>
      <w:r w:rsidRPr="00333555">
        <w:rPr>
          <w:rFonts w:ascii="Arial" w:eastAsia="Times New Roman" w:hAnsi="Arial" w:cs="Arial"/>
          <w:sz w:val="20"/>
          <w:szCs w:val="20"/>
        </w:rPr>
        <w:t xml:space="preserve"> ở mức 84,2</w:t>
      </w:r>
      <w:r w:rsidR="00472200" w:rsidRPr="00333555">
        <w:rPr>
          <w:rFonts w:ascii="Arial" w:eastAsia="Times New Roman" w:hAnsi="Arial" w:cs="Arial"/>
          <w:sz w:val="20"/>
          <w:szCs w:val="20"/>
        </w:rPr>
        <w:t xml:space="preserve"> điểm (tăng 1,4%) so với </w:t>
      </w:r>
      <w:r w:rsidRPr="00333555">
        <w:rPr>
          <w:rFonts w:ascii="Arial" w:eastAsia="Times New Roman" w:hAnsi="Arial" w:cs="Arial"/>
          <w:sz w:val="20"/>
          <w:szCs w:val="20"/>
        </w:rPr>
        <w:t>sáu</w:t>
      </w:r>
      <w:r w:rsidR="00472200" w:rsidRPr="00333555">
        <w:rPr>
          <w:rFonts w:ascii="Arial" w:eastAsia="Times New Roman" w:hAnsi="Arial" w:cs="Arial"/>
          <w:sz w:val="20"/>
          <w:szCs w:val="20"/>
        </w:rPr>
        <w:t xml:space="preserve"> đồng tiền chủ chốt</w:t>
      </w:r>
      <w:r w:rsidR="0020337A" w:rsidRPr="00333555">
        <w:rPr>
          <w:rFonts w:ascii="Arial" w:eastAsia="Times New Roman" w:hAnsi="Arial" w:cs="Arial"/>
          <w:sz w:val="20"/>
          <w:szCs w:val="20"/>
        </w:rPr>
        <w:t>, r</w:t>
      </w:r>
      <w:r w:rsidR="00472200" w:rsidRPr="00333555">
        <w:rPr>
          <w:rFonts w:ascii="Arial" w:eastAsia="Times New Roman" w:hAnsi="Arial" w:cs="Arial"/>
          <w:sz w:val="20"/>
          <w:szCs w:val="20"/>
        </w:rPr>
        <w:t xml:space="preserve">iêng Euro giảm </w:t>
      </w:r>
      <w:r w:rsidR="0020337A" w:rsidRPr="00333555">
        <w:rPr>
          <w:rFonts w:ascii="Arial" w:eastAsia="Times New Roman" w:hAnsi="Arial" w:cs="Arial"/>
          <w:sz w:val="20"/>
          <w:szCs w:val="20"/>
        </w:rPr>
        <w:t>1,8% xuống 1,2247 USD. Hầu hết các đồng tiền chủ chốt và nhiều đồng bản tệ của các nước mới nổi</w:t>
      </w:r>
      <w:r w:rsidR="007037B7" w:rsidRPr="00333555">
        <w:rPr>
          <w:rFonts w:ascii="Arial" w:eastAsia="Times New Roman" w:hAnsi="Arial" w:cs="Arial"/>
          <w:sz w:val="20"/>
          <w:szCs w:val="20"/>
        </w:rPr>
        <w:t xml:space="preserve"> cũng trượt dốc</w:t>
      </w:r>
      <w:r w:rsidR="0020337A" w:rsidRPr="00333555">
        <w:rPr>
          <w:rFonts w:ascii="Arial" w:eastAsia="Times New Roman" w:hAnsi="Arial" w:cs="Arial"/>
          <w:sz w:val="20"/>
          <w:szCs w:val="20"/>
        </w:rPr>
        <w:t>, khiến các nhà đầu tư đổ xô vào yên N</w:t>
      </w:r>
      <w:r w:rsidR="007037B7" w:rsidRPr="00333555">
        <w:rPr>
          <w:rFonts w:ascii="Arial" w:eastAsia="Times New Roman" w:hAnsi="Arial" w:cs="Arial"/>
          <w:sz w:val="20"/>
          <w:szCs w:val="20"/>
        </w:rPr>
        <w:t>hật và Frank Thụy Sỹ - vốn được</w:t>
      </w:r>
      <w:r w:rsidRPr="00333555">
        <w:rPr>
          <w:rFonts w:ascii="Arial" w:eastAsia="Times New Roman" w:hAnsi="Arial" w:cs="Arial"/>
          <w:sz w:val="20"/>
          <w:szCs w:val="20"/>
        </w:rPr>
        <w:t xml:space="preserve"> </w:t>
      </w:r>
      <w:r w:rsidR="0020337A" w:rsidRPr="00333555">
        <w:rPr>
          <w:rFonts w:ascii="Arial" w:eastAsia="Times New Roman" w:hAnsi="Arial" w:cs="Arial"/>
          <w:sz w:val="20"/>
          <w:szCs w:val="20"/>
        </w:rPr>
        <w:t xml:space="preserve">coi là hai đồng tiền an toàn </w:t>
      </w:r>
      <w:r w:rsidRPr="00333555">
        <w:rPr>
          <w:rFonts w:ascii="Arial" w:eastAsia="Times New Roman" w:hAnsi="Arial" w:cs="Arial"/>
          <w:sz w:val="20"/>
          <w:szCs w:val="20"/>
        </w:rPr>
        <w:t xml:space="preserve">nhất </w:t>
      </w:r>
      <w:r w:rsidR="0020337A" w:rsidRPr="00333555">
        <w:rPr>
          <w:rFonts w:ascii="Arial" w:eastAsia="Times New Roman" w:hAnsi="Arial" w:cs="Arial"/>
          <w:sz w:val="20"/>
          <w:szCs w:val="20"/>
        </w:rPr>
        <w:t>vào thời điểm này</w:t>
      </w:r>
      <w:r w:rsidR="000A50A5" w:rsidRPr="00333555">
        <w:rPr>
          <w:rFonts w:ascii="Arial" w:eastAsia="Times New Roman" w:hAnsi="Arial" w:cs="Arial"/>
          <w:sz w:val="20"/>
          <w:szCs w:val="20"/>
        </w:rPr>
        <w:t>, và tỷ trọng trong danh mục ngoại hối còn khá khiêm tốn so với USD</w:t>
      </w:r>
      <w:r w:rsidRPr="00333555">
        <w:rPr>
          <w:rFonts w:ascii="Arial" w:eastAsia="Times New Roman" w:hAnsi="Arial" w:cs="Arial"/>
          <w:sz w:val="20"/>
          <w:szCs w:val="20"/>
        </w:rPr>
        <w:t>.</w:t>
      </w:r>
      <w:r w:rsidR="000A50A5" w:rsidRPr="00333555">
        <w:rPr>
          <w:rFonts w:ascii="Arial" w:eastAsia="Times New Roman" w:hAnsi="Arial" w:cs="Arial"/>
          <w:sz w:val="20"/>
          <w:szCs w:val="20"/>
        </w:rPr>
        <w:t xml:space="preserve"> </w:t>
      </w:r>
    </w:p>
    <w:p w:rsidR="00FE1836" w:rsidRPr="00333555" w:rsidRDefault="00FE1836" w:rsidP="00D053E5">
      <w:pPr>
        <w:shd w:val="clear" w:color="auto" w:fill="FFFFFF"/>
        <w:spacing w:after="60" w:line="240" w:lineRule="auto"/>
        <w:jc w:val="both"/>
        <w:textAlignment w:val="baseline"/>
        <w:rPr>
          <w:rFonts w:ascii="Arial" w:eastAsia="Times New Roman" w:hAnsi="Arial" w:cs="Arial"/>
          <w:sz w:val="20"/>
          <w:szCs w:val="20"/>
        </w:rPr>
      </w:pPr>
      <w:r w:rsidRPr="00333555">
        <w:rPr>
          <w:rFonts w:ascii="Arial" w:eastAsia="Times New Roman" w:hAnsi="Arial" w:cs="Arial"/>
          <w:sz w:val="20"/>
          <w:szCs w:val="20"/>
        </w:rPr>
        <w:t>USD tăng giá cũng khiến giá các hàng hóa cơ bản đều giảm. Trong đó, giá dầu WTI giảm tới 10% xuống 59</w:t>
      </w:r>
      <w:proofErr w:type="gramStart"/>
      <w:r w:rsidRPr="00333555">
        <w:rPr>
          <w:rFonts w:ascii="Arial" w:eastAsia="Times New Roman" w:hAnsi="Arial" w:cs="Arial"/>
          <w:sz w:val="20"/>
          <w:szCs w:val="20"/>
        </w:rPr>
        <w:t>,05</w:t>
      </w:r>
      <w:proofErr w:type="gramEnd"/>
      <w:r w:rsidRPr="00333555">
        <w:rPr>
          <w:rFonts w:ascii="Arial" w:eastAsia="Times New Roman" w:hAnsi="Arial" w:cs="Arial"/>
          <w:sz w:val="20"/>
          <w:szCs w:val="20"/>
        </w:rPr>
        <w:t xml:space="preserve"> USD/thùng; giá dầu thô Brent giảm gần 9% xuống 62,71 USD/thùng</w:t>
      </w:r>
      <w:r w:rsidR="000A50A5" w:rsidRPr="00333555">
        <w:rPr>
          <w:rFonts w:ascii="Arial" w:eastAsia="Times New Roman" w:hAnsi="Arial" w:cs="Arial"/>
          <w:sz w:val="20"/>
          <w:szCs w:val="20"/>
        </w:rPr>
        <w:t>,</w:t>
      </w:r>
      <w:r w:rsidRPr="00333555">
        <w:rPr>
          <w:rFonts w:ascii="Arial" w:eastAsia="Times New Roman" w:hAnsi="Arial" w:cs="Arial"/>
          <w:sz w:val="20"/>
          <w:szCs w:val="20"/>
        </w:rPr>
        <w:t xml:space="preserve"> giá vàng giảm </w:t>
      </w:r>
      <w:r w:rsidR="000A50A5" w:rsidRPr="00333555">
        <w:rPr>
          <w:rFonts w:ascii="Arial" w:eastAsia="Times New Roman" w:hAnsi="Arial" w:cs="Arial"/>
          <w:sz w:val="20"/>
          <w:szCs w:val="20"/>
        </w:rPr>
        <w:t>0,3% xuống 1.318,1</w:t>
      </w:r>
      <w:r w:rsidRPr="00333555">
        <w:rPr>
          <w:rFonts w:ascii="Arial" w:eastAsia="Times New Roman" w:hAnsi="Arial" w:cs="Arial"/>
          <w:sz w:val="20"/>
          <w:szCs w:val="20"/>
        </w:rPr>
        <w:t>0 USD/oz.</w:t>
      </w:r>
    </w:p>
    <w:p w:rsidR="00FE1836" w:rsidRPr="00333555" w:rsidRDefault="000A50A5" w:rsidP="00D053E5">
      <w:pPr>
        <w:spacing w:after="60" w:line="240" w:lineRule="auto"/>
        <w:jc w:val="both"/>
        <w:rPr>
          <w:rFonts w:ascii="Arial" w:eastAsia="Times New Roman" w:hAnsi="Arial" w:cs="Arial"/>
          <w:sz w:val="20"/>
          <w:szCs w:val="20"/>
        </w:rPr>
      </w:pPr>
      <w:r w:rsidRPr="00333555">
        <w:rPr>
          <w:rFonts w:ascii="Arial" w:eastAsia="Times New Roman" w:hAnsi="Arial" w:cs="Arial"/>
          <w:sz w:val="20"/>
          <w:szCs w:val="20"/>
        </w:rPr>
        <w:t>USD tăng giá cũng bắt nguồn từ thực tế là</w:t>
      </w:r>
      <w:r w:rsidR="00FE1836" w:rsidRPr="00333555">
        <w:rPr>
          <w:rFonts w:ascii="Arial" w:eastAsia="Times New Roman" w:hAnsi="Arial" w:cs="Arial"/>
          <w:sz w:val="20"/>
          <w:szCs w:val="20"/>
        </w:rPr>
        <w:t>, các quan chức chính phủ Mỹ không muốn USD tiếp tục giảm sâu, khi đồng tiền này đã giảm tới 10% trong năm 2017 và 3</w:t>
      </w:r>
      <w:proofErr w:type="gramStart"/>
      <w:r w:rsidR="00FE1836" w:rsidRPr="00333555">
        <w:rPr>
          <w:rFonts w:ascii="Arial" w:eastAsia="Times New Roman" w:hAnsi="Arial" w:cs="Arial"/>
          <w:sz w:val="20"/>
          <w:szCs w:val="20"/>
        </w:rPr>
        <w:t>,5</w:t>
      </w:r>
      <w:proofErr w:type="gramEnd"/>
      <w:r w:rsidR="00FE1836" w:rsidRPr="00333555">
        <w:rPr>
          <w:rFonts w:ascii="Arial" w:eastAsia="Times New Roman" w:hAnsi="Arial" w:cs="Arial"/>
          <w:sz w:val="20"/>
          <w:szCs w:val="20"/>
        </w:rPr>
        <w:t>% trong tháng 01 vừa qua. Vì thế, tân Chủ tịch Fed - Jerome Powell sẽ phải tập trung mọi nỗ lực để củng cố vị thế của USD.</w:t>
      </w:r>
    </w:p>
    <w:p w:rsidR="00F21D34" w:rsidRPr="00333555" w:rsidRDefault="00F21D34" w:rsidP="00D053E5">
      <w:pPr>
        <w:shd w:val="clear" w:color="auto" w:fill="FFFFFF"/>
        <w:spacing w:after="60" w:line="240" w:lineRule="auto"/>
        <w:jc w:val="both"/>
        <w:textAlignment w:val="baseline"/>
        <w:rPr>
          <w:rFonts w:ascii="Arial" w:eastAsia="Times New Roman" w:hAnsi="Arial" w:cs="Arial"/>
          <w:sz w:val="20"/>
          <w:szCs w:val="20"/>
        </w:rPr>
      </w:pPr>
      <w:r w:rsidRPr="00333555">
        <w:rPr>
          <w:rFonts w:ascii="Arial" w:eastAsia="Times New Roman" w:hAnsi="Arial" w:cs="Arial"/>
          <w:sz w:val="20"/>
          <w:szCs w:val="20"/>
        </w:rPr>
        <w:t xml:space="preserve">Thị trường chứng khoán toàn cầu lao dốc cũng bắt nguồn từ lo ngại, các ngân hàng trung ương </w:t>
      </w:r>
      <w:r w:rsidR="007037B7" w:rsidRPr="00333555">
        <w:rPr>
          <w:rFonts w:ascii="Arial" w:eastAsia="Times New Roman" w:hAnsi="Arial" w:cs="Arial"/>
          <w:sz w:val="20"/>
          <w:szCs w:val="20"/>
        </w:rPr>
        <w:t xml:space="preserve">(NHTW) </w:t>
      </w:r>
      <w:r w:rsidRPr="00333555">
        <w:rPr>
          <w:rFonts w:ascii="Arial" w:eastAsia="Times New Roman" w:hAnsi="Arial" w:cs="Arial"/>
          <w:sz w:val="20"/>
          <w:szCs w:val="20"/>
        </w:rPr>
        <w:t xml:space="preserve">sẽ quyết liệt áp dụng các biện pháp tăng cường quản lý tiền tệ và nhanh chóng đưa chính sách tiền tệ trở lại trạng thái bình thường sau thời gian dài nới lỏng quá mức. Trên thực tế, các gói kích thích tiền tệ đã khuyến khích các doanh nghiệp tập trung vào nỗ lực tăng giá cổ phiếu hơn là vì sự phồn vinh lâu dài của các cổ đông. Mặc dù đã hạn chế chi tiêu mua sắm trang thiết bị sản xuất, cho dù chi phí vay vốn giảm xuống mức thấp trong 5.000 năm qua và lợi nhuận cận biên tăng cao, các doanh nghiệp vẫn có thiên hướng tăng cường vay nợ để trang trải mua sắm trang thiết bị và mua lại trái phiếu đã phát hành. Các doanh nghiệp lựa chọn nâng đòn bẩy bảng cân đối kế toán nhằm hỗ trợ tăng giá cổ phiếu, hơn là tăng lương và mở rộng đầu tư phát triển cho tương lai. Các NHTW cũng cần thực hiện các biện pháp hỗ trợ lạm phát, đảm bảo </w:t>
      </w:r>
      <w:r w:rsidR="007037B7" w:rsidRPr="00333555">
        <w:rPr>
          <w:rFonts w:ascii="Arial" w:eastAsia="Times New Roman" w:hAnsi="Arial" w:cs="Arial"/>
          <w:sz w:val="20"/>
          <w:szCs w:val="20"/>
        </w:rPr>
        <w:t>mức lợi nhuận cần thiết để khuyến khích các doanh nghiệp mở rộng sản xuất - kinh doanh thực, qua đó có thể phần nào khắc phục được xu hướng năng suất tăng chậm trong tương lai.</w:t>
      </w:r>
    </w:p>
    <w:p w:rsidR="00FE1836" w:rsidRPr="00333555" w:rsidRDefault="00BA6690" w:rsidP="00D053E5">
      <w:pPr>
        <w:shd w:val="clear" w:color="auto" w:fill="FFFFFF"/>
        <w:spacing w:after="60" w:line="240" w:lineRule="auto"/>
        <w:jc w:val="both"/>
        <w:textAlignment w:val="baseline"/>
        <w:rPr>
          <w:rFonts w:ascii="Arial" w:eastAsia="Times New Roman" w:hAnsi="Arial" w:cs="Arial"/>
          <w:i/>
          <w:sz w:val="20"/>
          <w:szCs w:val="20"/>
        </w:rPr>
      </w:pPr>
      <w:r w:rsidRPr="00333555">
        <w:rPr>
          <w:rFonts w:ascii="Arial" w:eastAsia="Times New Roman" w:hAnsi="Arial" w:cs="Arial"/>
          <w:b/>
          <w:i/>
          <w:sz w:val="20"/>
          <w:szCs w:val="20"/>
        </w:rPr>
        <w:t>Hoàng Thế Thỏa</w:t>
      </w:r>
      <w:r w:rsidR="00333555">
        <w:rPr>
          <w:rFonts w:ascii="Arial" w:eastAsia="Times New Roman" w:hAnsi="Arial" w:cs="Arial"/>
          <w:b/>
          <w:i/>
          <w:sz w:val="20"/>
          <w:szCs w:val="20"/>
        </w:rPr>
        <w:t xml:space="preserve"> </w:t>
      </w:r>
      <w:r w:rsidR="00333555" w:rsidRPr="00333555">
        <w:rPr>
          <w:rFonts w:ascii="Arial" w:eastAsia="Times New Roman" w:hAnsi="Arial" w:cs="Arial"/>
          <w:i/>
          <w:sz w:val="20"/>
          <w:szCs w:val="20"/>
        </w:rPr>
        <w:t>(</w:t>
      </w:r>
      <w:r w:rsidR="00FE1836" w:rsidRPr="00333555">
        <w:rPr>
          <w:rFonts w:ascii="Arial" w:eastAsia="Times New Roman" w:hAnsi="Arial" w:cs="Arial"/>
          <w:i/>
          <w:sz w:val="20"/>
          <w:szCs w:val="20"/>
        </w:rPr>
        <w:t>Nguồn: Reuters, WS. Journal</w:t>
      </w:r>
      <w:r w:rsidR="00333555" w:rsidRPr="00333555">
        <w:rPr>
          <w:rFonts w:ascii="Arial" w:eastAsia="Times New Roman" w:hAnsi="Arial" w:cs="Arial"/>
          <w:i/>
          <w:sz w:val="20"/>
          <w:szCs w:val="20"/>
        </w:rPr>
        <w:t>)</w:t>
      </w:r>
      <w:bookmarkEnd w:id="0"/>
    </w:p>
    <w:sectPr w:rsidR="00FE1836" w:rsidRPr="00333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529EA"/>
    <w:multiLevelType w:val="multilevel"/>
    <w:tmpl w:val="67AE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60787"/>
    <w:multiLevelType w:val="hybridMultilevel"/>
    <w:tmpl w:val="EB10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55"/>
    <w:rsid w:val="000A50A5"/>
    <w:rsid w:val="0014548E"/>
    <w:rsid w:val="001926BE"/>
    <w:rsid w:val="0020337A"/>
    <w:rsid w:val="003156D8"/>
    <w:rsid w:val="00333555"/>
    <w:rsid w:val="003E466C"/>
    <w:rsid w:val="00472200"/>
    <w:rsid w:val="004E7A61"/>
    <w:rsid w:val="0054630C"/>
    <w:rsid w:val="007037B7"/>
    <w:rsid w:val="00771D5C"/>
    <w:rsid w:val="00867100"/>
    <w:rsid w:val="008E1807"/>
    <w:rsid w:val="00993E55"/>
    <w:rsid w:val="00AB7387"/>
    <w:rsid w:val="00BA6690"/>
    <w:rsid w:val="00BE295F"/>
    <w:rsid w:val="00C56F34"/>
    <w:rsid w:val="00CA1B28"/>
    <w:rsid w:val="00D053E5"/>
    <w:rsid w:val="00D772EB"/>
    <w:rsid w:val="00F0517A"/>
    <w:rsid w:val="00F21D34"/>
    <w:rsid w:val="00FE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076BA-88B8-4E68-A2EF-149E4DD6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55"/>
  </w:style>
  <w:style w:type="paragraph" w:styleId="Heading1">
    <w:name w:val="heading 1"/>
    <w:basedOn w:val="Normal"/>
    <w:link w:val="Heading1Char"/>
    <w:uiPriority w:val="9"/>
    <w:qFormat/>
    <w:rsid w:val="003156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156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6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156D8"/>
    <w:rPr>
      <w:color w:val="0000FF"/>
      <w:u w:val="single"/>
    </w:rPr>
  </w:style>
  <w:style w:type="paragraph" w:customStyle="1" w:styleId="bylinebarreading-time39cog">
    <w:name w:val="bylinebar_reading-time_39cog"/>
    <w:basedOn w:val="Normal"/>
    <w:rsid w:val="003156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5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156D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03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27548">
      <w:bodyDiv w:val="1"/>
      <w:marLeft w:val="0"/>
      <w:marRight w:val="0"/>
      <w:marTop w:val="0"/>
      <w:marBottom w:val="0"/>
      <w:divBdr>
        <w:top w:val="none" w:sz="0" w:space="0" w:color="auto"/>
        <w:left w:val="none" w:sz="0" w:space="0" w:color="auto"/>
        <w:bottom w:val="none" w:sz="0" w:space="0" w:color="auto"/>
        <w:right w:val="none" w:sz="0" w:space="0" w:color="auto"/>
      </w:divBdr>
    </w:div>
    <w:div w:id="377896302">
      <w:bodyDiv w:val="1"/>
      <w:marLeft w:val="0"/>
      <w:marRight w:val="0"/>
      <w:marTop w:val="0"/>
      <w:marBottom w:val="0"/>
      <w:divBdr>
        <w:top w:val="none" w:sz="0" w:space="0" w:color="auto"/>
        <w:left w:val="none" w:sz="0" w:space="0" w:color="auto"/>
        <w:bottom w:val="none" w:sz="0" w:space="0" w:color="auto"/>
        <w:right w:val="none" w:sz="0" w:space="0" w:color="auto"/>
      </w:divBdr>
      <w:divsChild>
        <w:div w:id="293097096">
          <w:marLeft w:val="0"/>
          <w:marRight w:val="0"/>
          <w:marTop w:val="0"/>
          <w:marBottom w:val="240"/>
          <w:divBdr>
            <w:top w:val="none" w:sz="0" w:space="0" w:color="auto"/>
            <w:left w:val="none" w:sz="0" w:space="0" w:color="auto"/>
            <w:bottom w:val="none" w:sz="0" w:space="0" w:color="auto"/>
            <w:right w:val="none" w:sz="0" w:space="0" w:color="auto"/>
          </w:divBdr>
        </w:div>
        <w:div w:id="1327636842">
          <w:marLeft w:val="0"/>
          <w:marRight w:val="0"/>
          <w:marTop w:val="0"/>
          <w:marBottom w:val="240"/>
          <w:divBdr>
            <w:top w:val="none" w:sz="0" w:space="0" w:color="auto"/>
            <w:left w:val="none" w:sz="0" w:space="0" w:color="auto"/>
            <w:bottom w:val="none" w:sz="0" w:space="0" w:color="auto"/>
            <w:right w:val="none" w:sz="0" w:space="0" w:color="auto"/>
          </w:divBdr>
        </w:div>
        <w:div w:id="2075353879">
          <w:marLeft w:val="0"/>
          <w:marRight w:val="0"/>
          <w:marTop w:val="0"/>
          <w:marBottom w:val="240"/>
          <w:divBdr>
            <w:top w:val="none" w:sz="0" w:space="0" w:color="auto"/>
            <w:left w:val="none" w:sz="0" w:space="0" w:color="auto"/>
            <w:bottom w:val="none" w:sz="0" w:space="0" w:color="auto"/>
            <w:right w:val="none" w:sz="0" w:space="0" w:color="auto"/>
          </w:divBdr>
        </w:div>
      </w:divsChild>
    </w:div>
    <w:div w:id="870072716">
      <w:bodyDiv w:val="1"/>
      <w:marLeft w:val="0"/>
      <w:marRight w:val="0"/>
      <w:marTop w:val="0"/>
      <w:marBottom w:val="0"/>
      <w:divBdr>
        <w:top w:val="none" w:sz="0" w:space="0" w:color="auto"/>
        <w:left w:val="none" w:sz="0" w:space="0" w:color="auto"/>
        <w:bottom w:val="none" w:sz="0" w:space="0" w:color="auto"/>
        <w:right w:val="none" w:sz="0" w:space="0" w:color="auto"/>
      </w:divBdr>
    </w:div>
    <w:div w:id="873420214">
      <w:bodyDiv w:val="1"/>
      <w:marLeft w:val="0"/>
      <w:marRight w:val="0"/>
      <w:marTop w:val="0"/>
      <w:marBottom w:val="0"/>
      <w:divBdr>
        <w:top w:val="none" w:sz="0" w:space="0" w:color="auto"/>
        <w:left w:val="none" w:sz="0" w:space="0" w:color="auto"/>
        <w:bottom w:val="none" w:sz="0" w:space="0" w:color="auto"/>
        <w:right w:val="none" w:sz="0" w:space="0" w:color="auto"/>
      </w:divBdr>
      <w:divsChild>
        <w:div w:id="1002244529">
          <w:marLeft w:val="0"/>
          <w:marRight w:val="0"/>
          <w:marTop w:val="0"/>
          <w:marBottom w:val="450"/>
          <w:divBdr>
            <w:top w:val="none" w:sz="0" w:space="0" w:color="auto"/>
            <w:left w:val="none" w:sz="0" w:space="0" w:color="auto"/>
            <w:bottom w:val="none" w:sz="0" w:space="0" w:color="auto"/>
            <w:right w:val="none" w:sz="0" w:space="0" w:color="auto"/>
          </w:divBdr>
          <w:divsChild>
            <w:div w:id="528758998">
              <w:marLeft w:val="0"/>
              <w:marRight w:val="0"/>
              <w:marTop w:val="0"/>
              <w:marBottom w:val="0"/>
              <w:divBdr>
                <w:top w:val="none" w:sz="0" w:space="0" w:color="auto"/>
                <w:left w:val="none" w:sz="0" w:space="0" w:color="auto"/>
                <w:bottom w:val="none" w:sz="0" w:space="0" w:color="auto"/>
                <w:right w:val="none" w:sz="0" w:space="0" w:color="auto"/>
              </w:divBdr>
              <w:divsChild>
                <w:div w:id="2094234293">
                  <w:marLeft w:val="0"/>
                  <w:marRight w:val="0"/>
                  <w:marTop w:val="0"/>
                  <w:marBottom w:val="0"/>
                  <w:divBdr>
                    <w:top w:val="none" w:sz="0" w:space="0" w:color="auto"/>
                    <w:left w:val="none" w:sz="0" w:space="0" w:color="auto"/>
                    <w:bottom w:val="none" w:sz="0" w:space="0" w:color="auto"/>
                    <w:right w:val="none" w:sz="0" w:space="0" w:color="auto"/>
                  </w:divBdr>
                  <w:divsChild>
                    <w:div w:id="416024806">
                      <w:marLeft w:val="0"/>
                      <w:marRight w:val="0"/>
                      <w:marTop w:val="0"/>
                      <w:marBottom w:val="0"/>
                      <w:divBdr>
                        <w:top w:val="none" w:sz="0" w:space="0" w:color="auto"/>
                        <w:left w:val="none" w:sz="0" w:space="0" w:color="auto"/>
                        <w:bottom w:val="none" w:sz="0" w:space="0" w:color="auto"/>
                        <w:right w:val="none" w:sz="0" w:space="0" w:color="auto"/>
                      </w:divBdr>
                      <w:divsChild>
                        <w:div w:id="1014918386">
                          <w:marLeft w:val="0"/>
                          <w:marRight w:val="0"/>
                          <w:marTop w:val="0"/>
                          <w:marBottom w:val="0"/>
                          <w:divBdr>
                            <w:top w:val="none" w:sz="0" w:space="0" w:color="auto"/>
                            <w:left w:val="none" w:sz="0" w:space="0" w:color="auto"/>
                            <w:bottom w:val="none" w:sz="0" w:space="0" w:color="auto"/>
                            <w:right w:val="none" w:sz="0" w:space="0" w:color="auto"/>
                          </w:divBdr>
                          <w:divsChild>
                            <w:div w:id="1257716261">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92471">
              <w:marLeft w:val="0"/>
              <w:marRight w:val="0"/>
              <w:marTop w:val="0"/>
              <w:marBottom w:val="0"/>
              <w:divBdr>
                <w:top w:val="none" w:sz="0" w:space="0" w:color="auto"/>
                <w:left w:val="none" w:sz="0" w:space="0" w:color="auto"/>
                <w:bottom w:val="none" w:sz="0" w:space="0" w:color="auto"/>
                <w:right w:val="none" w:sz="0" w:space="0" w:color="auto"/>
              </w:divBdr>
              <w:divsChild>
                <w:div w:id="1756785790">
                  <w:marLeft w:val="0"/>
                  <w:marRight w:val="0"/>
                  <w:marTop w:val="0"/>
                  <w:marBottom w:val="0"/>
                  <w:divBdr>
                    <w:top w:val="none" w:sz="0" w:space="0" w:color="auto"/>
                    <w:left w:val="none" w:sz="0" w:space="0" w:color="auto"/>
                    <w:bottom w:val="none" w:sz="0" w:space="0" w:color="auto"/>
                    <w:right w:val="none" w:sz="0" w:space="0" w:color="auto"/>
                  </w:divBdr>
                  <w:divsChild>
                    <w:div w:id="422848180">
                      <w:marLeft w:val="0"/>
                      <w:marRight w:val="0"/>
                      <w:marTop w:val="0"/>
                      <w:marBottom w:val="0"/>
                      <w:divBdr>
                        <w:top w:val="none" w:sz="0" w:space="0" w:color="auto"/>
                        <w:left w:val="none" w:sz="0" w:space="0" w:color="auto"/>
                        <w:bottom w:val="none" w:sz="0" w:space="0" w:color="auto"/>
                        <w:right w:val="none" w:sz="0" w:space="0" w:color="auto"/>
                      </w:divBdr>
                      <w:divsChild>
                        <w:div w:id="969365381">
                          <w:marLeft w:val="0"/>
                          <w:marRight w:val="1755"/>
                          <w:marTop w:val="0"/>
                          <w:marBottom w:val="0"/>
                          <w:divBdr>
                            <w:top w:val="none" w:sz="0" w:space="0" w:color="auto"/>
                            <w:left w:val="none" w:sz="0" w:space="0" w:color="auto"/>
                            <w:bottom w:val="none" w:sz="0" w:space="0" w:color="auto"/>
                            <w:right w:val="none" w:sz="0" w:space="0" w:color="auto"/>
                          </w:divBdr>
                          <w:divsChild>
                            <w:div w:id="966935955">
                              <w:marLeft w:val="1346"/>
                              <w:marRight w:val="367"/>
                              <w:marTop w:val="0"/>
                              <w:marBottom w:val="0"/>
                              <w:divBdr>
                                <w:top w:val="none" w:sz="0" w:space="0" w:color="auto"/>
                                <w:left w:val="none" w:sz="0" w:space="0" w:color="auto"/>
                                <w:bottom w:val="none" w:sz="0" w:space="0" w:color="auto"/>
                                <w:right w:val="none" w:sz="0" w:space="0" w:color="auto"/>
                              </w:divBdr>
                              <w:divsChild>
                                <w:div w:id="589390262">
                                  <w:marLeft w:val="0"/>
                                  <w:marRight w:val="0"/>
                                  <w:marTop w:val="0"/>
                                  <w:marBottom w:val="0"/>
                                  <w:divBdr>
                                    <w:top w:val="none" w:sz="0" w:space="0" w:color="auto"/>
                                    <w:left w:val="none" w:sz="0" w:space="0" w:color="auto"/>
                                    <w:bottom w:val="single" w:sz="6" w:space="11" w:color="EBEBEB"/>
                                    <w:right w:val="none" w:sz="0" w:space="0" w:color="auto"/>
                                  </w:divBdr>
                                  <w:divsChild>
                                    <w:div w:id="1905021221">
                                      <w:marLeft w:val="0"/>
                                      <w:marRight w:val="225"/>
                                      <w:marTop w:val="0"/>
                                      <w:marBottom w:val="0"/>
                                      <w:divBdr>
                                        <w:top w:val="none" w:sz="0" w:space="0" w:color="auto"/>
                                        <w:left w:val="none" w:sz="0" w:space="0" w:color="auto"/>
                                        <w:bottom w:val="none" w:sz="0" w:space="0" w:color="auto"/>
                                        <w:right w:val="none" w:sz="0" w:space="0" w:color="auto"/>
                                      </w:divBdr>
                                    </w:div>
                                    <w:div w:id="1794866235">
                                      <w:marLeft w:val="0"/>
                                      <w:marRight w:val="0"/>
                                      <w:marTop w:val="0"/>
                                      <w:marBottom w:val="0"/>
                                      <w:divBdr>
                                        <w:top w:val="none" w:sz="0" w:space="0" w:color="auto"/>
                                        <w:left w:val="none" w:sz="0" w:space="0" w:color="auto"/>
                                        <w:bottom w:val="none" w:sz="0" w:space="0" w:color="auto"/>
                                        <w:right w:val="none" w:sz="0" w:space="0" w:color="auto"/>
                                      </w:divBdr>
                                      <w:divsChild>
                                        <w:div w:id="5528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90767">
          <w:marLeft w:val="0"/>
          <w:marRight w:val="0"/>
          <w:marTop w:val="0"/>
          <w:marBottom w:val="0"/>
          <w:divBdr>
            <w:top w:val="none" w:sz="0" w:space="0" w:color="auto"/>
            <w:left w:val="none" w:sz="0" w:space="0" w:color="auto"/>
            <w:bottom w:val="none" w:sz="0" w:space="0" w:color="auto"/>
            <w:right w:val="none" w:sz="0" w:space="0" w:color="auto"/>
          </w:divBdr>
          <w:divsChild>
            <w:div w:id="1785686904">
              <w:marLeft w:val="0"/>
              <w:marRight w:val="0"/>
              <w:marTop w:val="0"/>
              <w:marBottom w:val="0"/>
              <w:divBdr>
                <w:top w:val="none" w:sz="0" w:space="0" w:color="auto"/>
                <w:left w:val="none" w:sz="0" w:space="0" w:color="auto"/>
                <w:bottom w:val="none" w:sz="0" w:space="0" w:color="auto"/>
                <w:right w:val="none" w:sz="0" w:space="0" w:color="auto"/>
              </w:divBdr>
              <w:divsChild>
                <w:div w:id="763647652">
                  <w:marLeft w:val="0"/>
                  <w:marRight w:val="1755"/>
                  <w:marTop w:val="0"/>
                  <w:marBottom w:val="0"/>
                  <w:divBdr>
                    <w:top w:val="none" w:sz="0" w:space="0" w:color="auto"/>
                    <w:left w:val="none" w:sz="0" w:space="0" w:color="auto"/>
                    <w:bottom w:val="none" w:sz="0" w:space="0" w:color="auto"/>
                    <w:right w:val="none" w:sz="0" w:space="0" w:color="auto"/>
                  </w:divBdr>
                  <w:divsChild>
                    <w:div w:id="16002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36977">
      <w:bodyDiv w:val="1"/>
      <w:marLeft w:val="0"/>
      <w:marRight w:val="0"/>
      <w:marTop w:val="0"/>
      <w:marBottom w:val="0"/>
      <w:divBdr>
        <w:top w:val="none" w:sz="0" w:space="0" w:color="auto"/>
        <w:left w:val="none" w:sz="0" w:space="0" w:color="auto"/>
        <w:bottom w:val="none" w:sz="0" w:space="0" w:color="auto"/>
        <w:right w:val="none" w:sz="0" w:space="0" w:color="auto"/>
      </w:divBdr>
      <w:divsChild>
        <w:div w:id="1752193199">
          <w:marLeft w:val="0"/>
          <w:marRight w:val="0"/>
          <w:marTop w:val="0"/>
          <w:marBottom w:val="240"/>
          <w:divBdr>
            <w:top w:val="none" w:sz="0" w:space="0" w:color="auto"/>
            <w:left w:val="none" w:sz="0" w:space="0" w:color="auto"/>
            <w:bottom w:val="none" w:sz="0" w:space="0" w:color="auto"/>
            <w:right w:val="none" w:sz="0" w:space="0" w:color="auto"/>
          </w:divBdr>
        </w:div>
        <w:div w:id="1377047035">
          <w:marLeft w:val="0"/>
          <w:marRight w:val="0"/>
          <w:marTop w:val="0"/>
          <w:marBottom w:val="240"/>
          <w:divBdr>
            <w:top w:val="none" w:sz="0" w:space="0" w:color="auto"/>
            <w:left w:val="none" w:sz="0" w:space="0" w:color="auto"/>
            <w:bottom w:val="none" w:sz="0" w:space="0" w:color="auto"/>
            <w:right w:val="none" w:sz="0" w:space="0" w:color="auto"/>
          </w:divBdr>
        </w:div>
      </w:divsChild>
    </w:div>
    <w:div w:id="1343358496">
      <w:bodyDiv w:val="1"/>
      <w:marLeft w:val="0"/>
      <w:marRight w:val="0"/>
      <w:marTop w:val="0"/>
      <w:marBottom w:val="0"/>
      <w:divBdr>
        <w:top w:val="none" w:sz="0" w:space="0" w:color="auto"/>
        <w:left w:val="none" w:sz="0" w:space="0" w:color="auto"/>
        <w:bottom w:val="none" w:sz="0" w:space="0" w:color="auto"/>
        <w:right w:val="none" w:sz="0" w:space="0" w:color="auto"/>
      </w:divBdr>
    </w:div>
    <w:div w:id="1469973345">
      <w:bodyDiv w:val="1"/>
      <w:marLeft w:val="0"/>
      <w:marRight w:val="0"/>
      <w:marTop w:val="0"/>
      <w:marBottom w:val="0"/>
      <w:divBdr>
        <w:top w:val="none" w:sz="0" w:space="0" w:color="auto"/>
        <w:left w:val="none" w:sz="0" w:space="0" w:color="auto"/>
        <w:bottom w:val="none" w:sz="0" w:space="0" w:color="auto"/>
        <w:right w:val="none" w:sz="0" w:space="0" w:color="auto"/>
      </w:divBdr>
    </w:div>
    <w:div w:id="174136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F5BC-230A-4358-86A9-CB6B4344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2018-02-12T09:23:00Z</dcterms:created>
  <dcterms:modified xsi:type="dcterms:W3CDTF">2018-02-12T09:26:00Z</dcterms:modified>
</cp:coreProperties>
</file>