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pháp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lý</w:t>
      </w:r>
      <w:bookmarkStart w:id="0" w:name="_GoBack"/>
      <w:bookmarkEnd w:id="0"/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dịch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Đối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với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hoạt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động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nhận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rút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văn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bản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pháp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lý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hiện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chế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F804E4">
        <w:rPr>
          <w:rFonts w:ascii="Arial" w:hAnsi="Arial" w:cs="Arial"/>
          <w:sz w:val="20"/>
          <w:szCs w:val="20"/>
        </w:rPr>
        <w:t>hành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kèm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theo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1160/2014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nước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804E4">
        <w:rPr>
          <w:rFonts w:ascii="Arial" w:hAnsi="Arial" w:cs="Arial"/>
          <w:sz w:val="20"/>
          <w:szCs w:val="20"/>
        </w:rPr>
        <w:t>gọi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tắt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chế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F804E4">
        <w:rPr>
          <w:rFonts w:ascii="Arial" w:hAnsi="Arial" w:cs="Arial"/>
          <w:sz w:val="20"/>
          <w:szCs w:val="20"/>
        </w:rPr>
        <w:t>Quyết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số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47/2006 </w:t>
      </w: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việc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sửa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đổi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bổ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sung </w:t>
      </w:r>
      <w:proofErr w:type="spellStart"/>
      <w:r w:rsidRPr="00F804E4">
        <w:rPr>
          <w:rFonts w:ascii="Arial" w:hAnsi="Arial" w:cs="Arial"/>
          <w:sz w:val="20"/>
          <w:szCs w:val="20"/>
        </w:rPr>
        <w:t>một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số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điều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chế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F804E4">
        <w:rPr>
          <w:rFonts w:ascii="Arial" w:hAnsi="Arial" w:cs="Arial"/>
          <w:sz w:val="20"/>
          <w:szCs w:val="20"/>
        </w:rPr>
        <w:t>hành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kèm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theo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1160/2014.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04E4">
        <w:rPr>
          <w:rFonts w:ascii="Arial" w:hAnsi="Arial" w:cs="Arial"/>
          <w:sz w:val="20"/>
          <w:szCs w:val="20"/>
        </w:rPr>
        <w:t xml:space="preserve">Theo </w:t>
      </w:r>
      <w:proofErr w:type="spellStart"/>
      <w:r w:rsidRPr="00F804E4">
        <w:rPr>
          <w:rFonts w:ascii="Arial" w:hAnsi="Arial" w:cs="Arial"/>
          <w:sz w:val="20"/>
          <w:szCs w:val="20"/>
        </w:rPr>
        <w:t>đó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điểm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nhận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F804E4">
        <w:rPr>
          <w:rFonts w:ascii="Arial" w:hAnsi="Arial" w:cs="Arial"/>
          <w:sz w:val="20"/>
          <w:szCs w:val="20"/>
        </w:rPr>
        <w:t>trả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phép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có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thể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diễn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tại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trụ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sở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hoặc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ngoài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miễn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đáp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ứng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được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điều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804E4">
        <w:rPr>
          <w:rFonts w:ascii="Arial" w:hAnsi="Arial" w:cs="Arial"/>
          <w:sz w:val="20"/>
          <w:szCs w:val="20"/>
        </w:rPr>
        <w:t>theo</w:t>
      </w:r>
      <w:proofErr w:type="spellEnd"/>
      <w:proofErr w:type="gram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>.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thủ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tục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nhận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rút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cũng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đã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được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rõ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804E4">
        <w:rPr>
          <w:rFonts w:ascii="Arial" w:hAnsi="Arial" w:cs="Arial"/>
          <w:sz w:val="20"/>
          <w:szCs w:val="20"/>
        </w:rPr>
        <w:t>Đối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với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khách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lần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đầu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hiện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dịch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khách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cần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đến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hiện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dịch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theo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chế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xuất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trình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giấy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bắt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buộc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F804E4">
        <w:rPr>
          <w:rFonts w:ascii="Arial" w:hAnsi="Arial" w:cs="Arial"/>
          <w:sz w:val="20"/>
          <w:szCs w:val="20"/>
        </w:rPr>
        <w:t>giấy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xác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nhận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thông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F804E4">
        <w:rPr>
          <w:rFonts w:ascii="Arial" w:hAnsi="Arial" w:cs="Arial"/>
          <w:sz w:val="20"/>
          <w:szCs w:val="20"/>
        </w:rPr>
        <w:t>cá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chủ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tài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khoản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hoặc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người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đại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diện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804E4">
        <w:rPr>
          <w:rFonts w:ascii="Arial" w:hAnsi="Arial" w:cs="Arial"/>
          <w:sz w:val="20"/>
          <w:szCs w:val="20"/>
        </w:rPr>
        <w:t>trường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hợp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thông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F804E4">
        <w:rPr>
          <w:rFonts w:ascii="Arial" w:hAnsi="Arial" w:cs="Arial"/>
          <w:sz w:val="20"/>
          <w:szCs w:val="20"/>
        </w:rPr>
        <w:t>người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đại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diện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F804E4">
        <w:rPr>
          <w:rFonts w:ascii="Arial" w:hAnsi="Arial" w:cs="Arial"/>
          <w:sz w:val="20"/>
          <w:szCs w:val="20"/>
        </w:rPr>
        <w:t>Nếu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804E4">
        <w:rPr>
          <w:rFonts w:ascii="Arial" w:hAnsi="Arial" w:cs="Arial"/>
          <w:sz w:val="20"/>
          <w:szCs w:val="20"/>
        </w:rPr>
        <w:t>chung</w:t>
      </w:r>
      <w:proofErr w:type="spellEnd"/>
      <w:proofErr w:type="gram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thì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phải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xuất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giấy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chứng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minh </w:t>
      </w:r>
      <w:proofErr w:type="spellStart"/>
      <w:r w:rsidRPr="00F804E4">
        <w:rPr>
          <w:rFonts w:ascii="Arial" w:hAnsi="Arial" w:cs="Arial"/>
          <w:sz w:val="20"/>
          <w:szCs w:val="20"/>
        </w:rPr>
        <w:t>thông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đứng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thẻ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văn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bản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thỏa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thuận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nghĩa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vụ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cùng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đứng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chung</w:t>
      </w:r>
      <w:proofErr w:type="spellEnd"/>
      <w:r w:rsidRPr="00F804E4">
        <w:rPr>
          <w:rFonts w:ascii="Arial" w:hAnsi="Arial" w:cs="Arial"/>
          <w:sz w:val="20"/>
          <w:szCs w:val="20"/>
        </w:rPr>
        <w:t>.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Khi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khách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có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cầu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rút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phải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bảo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đảm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hồ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sơ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rút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có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ít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nhất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F804E4">
        <w:rPr>
          <w:rFonts w:ascii="Arial" w:hAnsi="Arial" w:cs="Arial"/>
          <w:sz w:val="20"/>
          <w:szCs w:val="20"/>
        </w:rPr>
        <w:t>yếu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tố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hợp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lệ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khớp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đúng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F804E4">
        <w:rPr>
          <w:rFonts w:ascii="Arial" w:hAnsi="Arial" w:cs="Arial"/>
          <w:sz w:val="20"/>
          <w:szCs w:val="20"/>
        </w:rPr>
        <w:t>chủ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thẻ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chữ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ký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chủ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thẻ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thẻ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giấy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tờ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tùy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người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rút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đặc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biệt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với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khoản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lớn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tỷ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đồng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trở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lên</w:t>
      </w:r>
      <w:proofErr w:type="spellEnd"/>
      <w:r w:rsidRPr="00F804E4">
        <w:rPr>
          <w:rFonts w:ascii="Arial" w:hAnsi="Arial" w:cs="Arial"/>
          <w:sz w:val="20"/>
          <w:szCs w:val="20"/>
        </w:rPr>
        <w:t>.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Trong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trường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hợp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rút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theo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ủy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điều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16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chế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cũng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rõ</w:t>
      </w:r>
      <w:proofErr w:type="spellEnd"/>
      <w:r w:rsidRPr="00F804E4">
        <w:rPr>
          <w:rFonts w:ascii="Arial" w:hAnsi="Arial" w:cs="Arial"/>
          <w:sz w:val="20"/>
          <w:szCs w:val="20"/>
        </w:rPr>
        <w:t>: “</w:t>
      </w:r>
      <w:proofErr w:type="spellStart"/>
      <w:r w:rsidRPr="00F804E4">
        <w:rPr>
          <w:rFonts w:ascii="Arial" w:hAnsi="Arial" w:cs="Arial"/>
          <w:sz w:val="20"/>
          <w:szCs w:val="20"/>
        </w:rPr>
        <w:t>Tổ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chức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nhận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yếu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tố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cần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giấy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ủy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để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đảm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bảo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lợi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ích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chủ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sở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hữu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hoặc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đồng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chủ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sở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hữu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phù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hợp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với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văn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bản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pháp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luật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có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liên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quan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. Sau </w:t>
      </w:r>
      <w:proofErr w:type="spellStart"/>
      <w:r w:rsidRPr="00F804E4">
        <w:rPr>
          <w:rFonts w:ascii="Arial" w:hAnsi="Arial" w:cs="Arial"/>
          <w:sz w:val="20"/>
          <w:szCs w:val="20"/>
        </w:rPr>
        <w:t>khi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kiểm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tính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hợp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pháp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hợp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lệ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giấy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ủy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tổ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chức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nhận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căn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cứ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vào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nội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Pr="00F804E4">
        <w:rPr>
          <w:rFonts w:ascii="Arial" w:hAnsi="Arial" w:cs="Arial"/>
          <w:sz w:val="20"/>
          <w:szCs w:val="20"/>
        </w:rPr>
        <w:t>ủy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để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hiện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việc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F804E4">
        <w:rPr>
          <w:rFonts w:ascii="Arial" w:hAnsi="Arial" w:cs="Arial"/>
          <w:sz w:val="20"/>
          <w:szCs w:val="20"/>
        </w:rPr>
        <w:t>trả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>”.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Như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vậy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việc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rút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trong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trường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hợp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này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hiện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804E4">
        <w:rPr>
          <w:rFonts w:ascii="Arial" w:hAnsi="Arial" w:cs="Arial"/>
          <w:sz w:val="20"/>
          <w:szCs w:val="20"/>
        </w:rPr>
        <w:t>theo</w:t>
      </w:r>
      <w:proofErr w:type="spellEnd"/>
      <w:proofErr w:type="gram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nội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bộ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song </w:t>
      </w:r>
      <w:proofErr w:type="spellStart"/>
      <w:r w:rsidRPr="00F804E4">
        <w:rPr>
          <w:rFonts w:ascii="Arial" w:hAnsi="Arial" w:cs="Arial"/>
          <w:sz w:val="20"/>
          <w:szCs w:val="20"/>
        </w:rPr>
        <w:t>vẫn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phải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đảm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bảo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phù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hợp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với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pháp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luật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hiện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hành</w:t>
      </w:r>
      <w:proofErr w:type="spellEnd"/>
      <w:r w:rsidRPr="00F804E4">
        <w:rPr>
          <w:rFonts w:ascii="Arial" w:hAnsi="Arial" w:cs="Arial"/>
          <w:sz w:val="20"/>
          <w:szCs w:val="20"/>
        </w:rPr>
        <w:t>.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Rủi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từ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đâu</w:t>
      </w:r>
      <w:proofErr w:type="spellEnd"/>
      <w:r w:rsidRPr="00F804E4">
        <w:rPr>
          <w:rFonts w:ascii="Arial" w:hAnsi="Arial" w:cs="Arial"/>
          <w:sz w:val="20"/>
          <w:szCs w:val="20"/>
        </w:rPr>
        <w:t>?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Trong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một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số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vụ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việc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xảy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gần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đây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liên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quan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đến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dịch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có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thể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thấy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mặc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dù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trình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được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F804E4">
        <w:rPr>
          <w:rFonts w:ascii="Arial" w:hAnsi="Arial" w:cs="Arial"/>
          <w:sz w:val="20"/>
          <w:szCs w:val="20"/>
        </w:rPr>
        <w:t>hành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khá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đầy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đủ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song </w:t>
      </w:r>
      <w:proofErr w:type="spellStart"/>
      <w:r w:rsidRPr="00F804E4">
        <w:rPr>
          <w:rFonts w:ascii="Arial" w:hAnsi="Arial" w:cs="Arial"/>
          <w:sz w:val="20"/>
          <w:szCs w:val="20"/>
        </w:rPr>
        <w:t>đã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bị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những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người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804E4">
        <w:rPr>
          <w:rFonts w:ascii="Arial" w:hAnsi="Arial" w:cs="Arial"/>
          <w:sz w:val="20"/>
          <w:szCs w:val="20"/>
        </w:rPr>
        <w:t>khách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bộ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F804E4">
        <w:rPr>
          <w:rFonts w:ascii="Arial" w:hAnsi="Arial" w:cs="Arial"/>
          <w:sz w:val="20"/>
          <w:szCs w:val="20"/>
        </w:rPr>
        <w:t>bỏ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qua.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Ví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dụ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như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khách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ký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sẵn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giấy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ủy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dịch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người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hoặc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chỉ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dịch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nhất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với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một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người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. Theo TS. </w:t>
      </w:r>
      <w:proofErr w:type="spellStart"/>
      <w:r w:rsidRPr="00F804E4">
        <w:rPr>
          <w:rFonts w:ascii="Arial" w:hAnsi="Arial" w:cs="Arial"/>
          <w:sz w:val="20"/>
          <w:szCs w:val="20"/>
        </w:rPr>
        <w:t>Cấn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Văn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F804E4">
        <w:rPr>
          <w:rFonts w:ascii="Arial" w:hAnsi="Arial" w:cs="Arial"/>
          <w:sz w:val="20"/>
          <w:szCs w:val="20"/>
        </w:rPr>
        <w:t>Chuyên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tế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F804E4">
        <w:rPr>
          <w:rFonts w:ascii="Arial" w:hAnsi="Arial" w:cs="Arial"/>
          <w:sz w:val="20"/>
          <w:szCs w:val="20"/>
        </w:rPr>
        <w:t>thông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thường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đến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riêng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khách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phải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có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ít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nhất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F804E4">
        <w:rPr>
          <w:rFonts w:ascii="Arial" w:hAnsi="Arial" w:cs="Arial"/>
          <w:sz w:val="20"/>
          <w:szCs w:val="20"/>
        </w:rPr>
        <w:t>người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gồm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F804E4">
        <w:rPr>
          <w:rFonts w:ascii="Arial" w:hAnsi="Arial" w:cs="Arial"/>
          <w:sz w:val="20"/>
          <w:szCs w:val="20"/>
        </w:rPr>
        <w:t>thủ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quỹ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1 </w:t>
      </w:r>
      <w:proofErr w:type="spellStart"/>
      <w:r w:rsidRPr="00F804E4">
        <w:rPr>
          <w:rFonts w:ascii="Arial" w:hAnsi="Arial" w:cs="Arial"/>
          <w:sz w:val="20"/>
          <w:szCs w:val="20"/>
        </w:rPr>
        <w:t>nhân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viên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dịch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F804E4">
        <w:rPr>
          <w:rFonts w:ascii="Arial" w:hAnsi="Arial" w:cs="Arial"/>
          <w:sz w:val="20"/>
          <w:szCs w:val="20"/>
        </w:rPr>
        <w:t>người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bảo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vệ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804E4">
        <w:rPr>
          <w:rFonts w:ascii="Arial" w:hAnsi="Arial" w:cs="Arial"/>
          <w:sz w:val="20"/>
          <w:szCs w:val="20"/>
        </w:rPr>
        <w:t>công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an), </w:t>
      </w:r>
      <w:proofErr w:type="spellStart"/>
      <w:r w:rsidRPr="00F804E4">
        <w:rPr>
          <w:rFonts w:ascii="Arial" w:hAnsi="Arial" w:cs="Arial"/>
          <w:sz w:val="20"/>
          <w:szCs w:val="20"/>
        </w:rPr>
        <w:t>hoặc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F804E4">
        <w:rPr>
          <w:rFonts w:ascii="Arial" w:hAnsi="Arial" w:cs="Arial"/>
          <w:sz w:val="20"/>
          <w:szCs w:val="20"/>
        </w:rPr>
        <w:t>người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kiểm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soát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hoặc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phê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duyệt</w:t>
      </w:r>
      <w:proofErr w:type="spellEnd"/>
      <w:r w:rsidRPr="00F804E4">
        <w:rPr>
          <w:rFonts w:ascii="Arial" w:hAnsi="Arial" w:cs="Arial"/>
          <w:sz w:val="20"/>
          <w:szCs w:val="20"/>
        </w:rPr>
        <w:t>.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04E4">
        <w:rPr>
          <w:rFonts w:ascii="Arial" w:hAnsi="Arial" w:cs="Arial"/>
          <w:sz w:val="20"/>
          <w:szCs w:val="20"/>
        </w:rPr>
        <w:t xml:space="preserve">PGS, TS. </w:t>
      </w:r>
      <w:proofErr w:type="spellStart"/>
      <w:r w:rsidRPr="00F804E4">
        <w:rPr>
          <w:rFonts w:ascii="Arial" w:hAnsi="Arial" w:cs="Arial"/>
          <w:sz w:val="20"/>
          <w:szCs w:val="20"/>
        </w:rPr>
        <w:t>Nguyễn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Văn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F804E4">
        <w:rPr>
          <w:rFonts w:ascii="Arial" w:hAnsi="Arial" w:cs="Arial"/>
          <w:sz w:val="20"/>
          <w:szCs w:val="20"/>
        </w:rPr>
        <w:t>Trọng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tài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viên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Trung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tâm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trọng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tài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quốc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tế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Việt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Nam - </w:t>
      </w:r>
      <w:proofErr w:type="spellStart"/>
      <w:r w:rsidRPr="00F804E4">
        <w:rPr>
          <w:rFonts w:ascii="Arial" w:hAnsi="Arial" w:cs="Arial"/>
          <w:sz w:val="20"/>
          <w:szCs w:val="20"/>
        </w:rPr>
        <w:t>cho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rằng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mặt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nguyên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tắc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tất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cả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đều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không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chấp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nhận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luôn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khuyến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khách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không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được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ký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khống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vào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bất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kỳ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loại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giấy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tờ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nào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có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liên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quan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đến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dịch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vì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như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vậy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sẽ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tạo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kẽ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hở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rủi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đạo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đức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phát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sinh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804E4">
        <w:rPr>
          <w:rFonts w:ascii="Arial" w:hAnsi="Arial" w:cs="Arial"/>
          <w:sz w:val="20"/>
          <w:szCs w:val="20"/>
        </w:rPr>
        <w:t>Nếu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trong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trường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hợp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phải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ủy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để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người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rút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cần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ủy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những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người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trong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đình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thật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sự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F804E4">
        <w:rPr>
          <w:rFonts w:ascii="Arial" w:hAnsi="Arial" w:cs="Arial"/>
          <w:sz w:val="20"/>
          <w:szCs w:val="20"/>
        </w:rPr>
        <w:t>tưởng</w:t>
      </w:r>
      <w:proofErr w:type="spellEnd"/>
      <w:r w:rsidRPr="00F804E4">
        <w:rPr>
          <w:rFonts w:ascii="Arial" w:hAnsi="Arial" w:cs="Arial"/>
          <w:sz w:val="20"/>
          <w:szCs w:val="20"/>
        </w:rPr>
        <w:t>.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Tăng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cường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quản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trị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rủi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đảm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bảo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804E4">
        <w:rPr>
          <w:rFonts w:ascii="Arial" w:hAnsi="Arial" w:cs="Arial"/>
          <w:sz w:val="20"/>
          <w:szCs w:val="20"/>
        </w:rPr>
        <w:t>an</w:t>
      </w:r>
      <w:proofErr w:type="gram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toàn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dịch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Hoạt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động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luôn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ẩn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nhiều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rủi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ro. </w:t>
      </w:r>
      <w:proofErr w:type="spellStart"/>
      <w:r w:rsidRPr="00F804E4">
        <w:rPr>
          <w:rFonts w:ascii="Arial" w:hAnsi="Arial" w:cs="Arial"/>
          <w:sz w:val="20"/>
          <w:szCs w:val="20"/>
        </w:rPr>
        <w:t>Vì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vậy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để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đảm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bảo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F804E4">
        <w:rPr>
          <w:rFonts w:ascii="Arial" w:hAnsi="Arial" w:cs="Arial"/>
          <w:sz w:val="20"/>
          <w:szCs w:val="20"/>
        </w:rPr>
        <w:t>ninh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an </w:t>
      </w:r>
      <w:proofErr w:type="spellStart"/>
      <w:r w:rsidRPr="00F804E4">
        <w:rPr>
          <w:rFonts w:ascii="Arial" w:hAnsi="Arial" w:cs="Arial"/>
          <w:sz w:val="20"/>
          <w:szCs w:val="20"/>
        </w:rPr>
        <w:t>toàn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trong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hoạt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động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cơ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quan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quản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lý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nước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đã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thường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xuyên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bổ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sung, ban </w:t>
      </w:r>
      <w:proofErr w:type="spellStart"/>
      <w:r w:rsidRPr="00F804E4">
        <w:rPr>
          <w:rFonts w:ascii="Arial" w:hAnsi="Arial" w:cs="Arial"/>
          <w:sz w:val="20"/>
          <w:szCs w:val="20"/>
        </w:rPr>
        <w:t>hành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nhằm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hạn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chế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tối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rủi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ro.Về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phần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mình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cũng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đã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hiện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kiểm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rà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soát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lại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công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động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vốn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trong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toàn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hệ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thống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F804E4">
        <w:rPr>
          <w:rFonts w:ascii="Arial" w:hAnsi="Arial" w:cs="Arial"/>
          <w:sz w:val="20"/>
          <w:szCs w:val="20"/>
        </w:rPr>
        <w:t>Tổ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chức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tập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huấn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đào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tạo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rủi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hoạt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động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F804E4">
        <w:rPr>
          <w:rFonts w:ascii="Arial" w:hAnsi="Arial" w:cs="Arial"/>
          <w:sz w:val="20"/>
          <w:szCs w:val="20"/>
        </w:rPr>
        <w:t>Nâng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vai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trò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cấp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kiểm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soát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dịch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để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hạn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chế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rủi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hoạt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động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F804E4">
        <w:rPr>
          <w:rFonts w:ascii="Arial" w:hAnsi="Arial" w:cs="Arial"/>
          <w:sz w:val="20"/>
          <w:szCs w:val="20"/>
        </w:rPr>
        <w:t>Chỉnh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sửa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định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nội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bộ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để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tăng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cường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công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quản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trị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rủi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F804E4">
        <w:rPr>
          <w:rFonts w:ascii="Arial" w:hAnsi="Arial" w:cs="Arial"/>
          <w:sz w:val="20"/>
          <w:szCs w:val="20"/>
        </w:rPr>
        <w:t>Liên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tục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cập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nhật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tính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năng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mới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nhằm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tăng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cường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F804E4">
        <w:rPr>
          <w:rFonts w:ascii="Arial" w:hAnsi="Arial" w:cs="Arial"/>
          <w:sz w:val="20"/>
          <w:szCs w:val="20"/>
        </w:rPr>
        <w:t>ninh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an </w:t>
      </w:r>
      <w:proofErr w:type="spellStart"/>
      <w:r w:rsidRPr="00F804E4">
        <w:rPr>
          <w:rFonts w:ascii="Arial" w:hAnsi="Arial" w:cs="Arial"/>
          <w:sz w:val="20"/>
          <w:szCs w:val="20"/>
        </w:rPr>
        <w:t>toàn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đối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với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dịch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gửi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như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cứu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từ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xa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thông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F804E4">
        <w:rPr>
          <w:rFonts w:ascii="Arial" w:hAnsi="Arial" w:cs="Arial"/>
          <w:sz w:val="20"/>
          <w:szCs w:val="20"/>
        </w:rPr>
        <w:t>sổ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kiệm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kiểm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sổ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tuyến</w:t>
      </w:r>
      <w:proofErr w:type="spellEnd"/>
      <w:r w:rsidRPr="00F804E4">
        <w:rPr>
          <w:rFonts w:ascii="Arial" w:hAnsi="Arial" w:cs="Arial"/>
          <w:sz w:val="20"/>
          <w:szCs w:val="20"/>
        </w:rPr>
        <w:t>.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phía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khách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cần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hiện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đúng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nguyên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tắc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thủ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tục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kiểm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đầy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đủ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chính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xác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các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giấy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tờ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nội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dung </w:t>
      </w:r>
      <w:proofErr w:type="spellStart"/>
      <w:r w:rsidRPr="00F804E4">
        <w:rPr>
          <w:rFonts w:ascii="Arial" w:hAnsi="Arial" w:cs="Arial"/>
          <w:sz w:val="20"/>
          <w:szCs w:val="20"/>
        </w:rPr>
        <w:t>mà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mình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dịch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với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. Theo TS. </w:t>
      </w:r>
      <w:proofErr w:type="spellStart"/>
      <w:r w:rsidRPr="00F804E4">
        <w:rPr>
          <w:rFonts w:ascii="Arial" w:hAnsi="Arial" w:cs="Arial"/>
          <w:sz w:val="20"/>
          <w:szCs w:val="20"/>
        </w:rPr>
        <w:t>Cấn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Văn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khách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cần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bảo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vệ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tài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sản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mình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bằng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việc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phải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quan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tâm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hơn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đến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việc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804E4">
        <w:rPr>
          <w:rFonts w:ascii="Arial" w:hAnsi="Arial" w:cs="Arial"/>
          <w:sz w:val="20"/>
          <w:szCs w:val="20"/>
        </w:rPr>
        <w:t>theo</w:t>
      </w:r>
      <w:proofErr w:type="spellEnd"/>
      <w:proofErr w:type="gram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dõi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dòng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tiền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mình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cũng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như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cẩn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trọng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trong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việc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đặt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bút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ký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hay </w:t>
      </w:r>
      <w:proofErr w:type="spellStart"/>
      <w:r w:rsidRPr="00F804E4">
        <w:rPr>
          <w:rFonts w:ascii="Arial" w:hAnsi="Arial" w:cs="Arial"/>
          <w:sz w:val="20"/>
          <w:szCs w:val="20"/>
        </w:rPr>
        <w:t>thực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hiện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ủy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F804E4">
        <w:rPr>
          <w:rFonts w:ascii="Arial" w:hAnsi="Arial" w:cs="Arial"/>
          <w:sz w:val="20"/>
          <w:szCs w:val="20"/>
        </w:rPr>
        <w:t>cần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phải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chắc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chắn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giấy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ủy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có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chữ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ký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của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mình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804E4">
        <w:rPr>
          <w:rFonts w:ascii="Arial" w:hAnsi="Arial" w:cs="Arial"/>
          <w:sz w:val="20"/>
          <w:szCs w:val="20"/>
        </w:rPr>
        <w:t>Không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bỏ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trống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thông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F804E4">
        <w:rPr>
          <w:rFonts w:ascii="Arial" w:hAnsi="Arial" w:cs="Arial"/>
          <w:sz w:val="20"/>
          <w:szCs w:val="20"/>
        </w:rPr>
        <w:t>trong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giấy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ủy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quyền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bởi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đây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sẽ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mối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nguy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hiểm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chính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họ</w:t>
      </w:r>
      <w:proofErr w:type="spellEnd"/>
      <w:r w:rsidRPr="00F804E4">
        <w:rPr>
          <w:rFonts w:ascii="Arial" w:hAnsi="Arial" w:cs="Arial"/>
          <w:sz w:val="20"/>
          <w:szCs w:val="20"/>
        </w:rPr>
        <w:t>.</w:t>
      </w:r>
    </w:p>
    <w:p w:rsidR="00F804E4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lâu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dài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khách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nói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riêng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và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người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dân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nói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804E4">
        <w:rPr>
          <w:rFonts w:ascii="Arial" w:hAnsi="Arial" w:cs="Arial"/>
          <w:sz w:val="20"/>
          <w:szCs w:val="20"/>
        </w:rPr>
        <w:t>chung</w:t>
      </w:r>
      <w:proofErr w:type="spellEnd"/>
      <w:proofErr w:type="gram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cũng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nên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quan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tâm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hơn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đến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việc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nâng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cao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hiểu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biết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E4">
        <w:rPr>
          <w:rFonts w:ascii="Arial" w:hAnsi="Arial" w:cs="Arial"/>
          <w:sz w:val="20"/>
          <w:szCs w:val="20"/>
        </w:rPr>
        <w:t>kiến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thức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pháp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luật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cũng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như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về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tài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chính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F804E4">
        <w:rPr>
          <w:rFonts w:ascii="Arial" w:hAnsi="Arial" w:cs="Arial"/>
          <w:sz w:val="20"/>
          <w:szCs w:val="20"/>
        </w:rPr>
        <w:t>ngân</w:t>
      </w:r>
      <w:proofErr w:type="spellEnd"/>
      <w:r w:rsidRPr="00F804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E4">
        <w:rPr>
          <w:rFonts w:ascii="Arial" w:hAnsi="Arial" w:cs="Arial"/>
          <w:sz w:val="20"/>
          <w:szCs w:val="20"/>
        </w:rPr>
        <w:t>hàng</w:t>
      </w:r>
      <w:proofErr w:type="spellEnd"/>
      <w:r w:rsidRPr="00F804E4">
        <w:rPr>
          <w:rFonts w:ascii="Arial" w:hAnsi="Arial" w:cs="Arial"/>
          <w:sz w:val="20"/>
          <w:szCs w:val="20"/>
        </w:rPr>
        <w:t>.</w:t>
      </w:r>
    </w:p>
    <w:p w:rsidR="00434858" w:rsidRPr="00F804E4" w:rsidRDefault="00F804E4" w:rsidP="00F80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Theo </w:t>
      </w:r>
      <w:proofErr w:type="spellStart"/>
      <w:r>
        <w:rPr>
          <w:rFonts w:ascii="Arial" w:hAnsi="Arial" w:cs="Arial"/>
          <w:sz w:val="20"/>
          <w:szCs w:val="20"/>
        </w:rPr>
        <w:t>Dân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trí</w:t>
      </w:r>
      <w:proofErr w:type="spellEnd"/>
    </w:p>
    <w:sectPr w:rsidR="00434858" w:rsidRPr="00F80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E4"/>
    <w:rsid w:val="00434858"/>
    <w:rsid w:val="00571B36"/>
    <w:rsid w:val="00F8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B8B20-4F51-40F7-87F9-F9C8F02F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2018-04-11T00:41:00Z</dcterms:created>
  <dcterms:modified xsi:type="dcterms:W3CDTF">2018-04-11T00:41:00Z</dcterms:modified>
</cp:coreProperties>
</file>