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5B" w:rsidRPr="0080595B" w:rsidRDefault="00FB1C11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80595B">
        <w:rPr>
          <w:rFonts w:ascii="Arial" w:hAnsi="Arial" w:cs="Arial"/>
          <w:b w:val="0"/>
          <w:sz w:val="20"/>
          <w:szCs w:val="20"/>
        </w:rPr>
        <w:t>Đây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đợt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lã</w:t>
      </w:r>
      <w:r w:rsidR="00BC7517" w:rsidRPr="0080595B">
        <w:rPr>
          <w:rFonts w:ascii="Arial" w:hAnsi="Arial" w:cs="Arial"/>
          <w:b w:val="0"/>
          <w:sz w:val="20"/>
          <w:szCs w:val="20"/>
        </w:rPr>
        <w:t>i</w:t>
      </w:r>
      <w:proofErr w:type="spellEnd"/>
      <w:r w:rsidR="00BC7517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BC7517"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="00BC7517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BC7517" w:rsidRPr="0080595B">
        <w:rPr>
          <w:rFonts w:ascii="Arial" w:hAnsi="Arial" w:cs="Arial"/>
          <w:b w:val="0"/>
          <w:sz w:val="20"/>
          <w:szCs w:val="20"/>
        </w:rPr>
        <w:t>lần</w:t>
      </w:r>
      <w:proofErr w:type="spellEnd"/>
      <w:r w:rsidR="00BC7517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BC7517" w:rsidRPr="0080595B">
        <w:rPr>
          <w:rFonts w:ascii="Arial" w:hAnsi="Arial" w:cs="Arial"/>
          <w:b w:val="0"/>
          <w:sz w:val="20"/>
          <w:szCs w:val="20"/>
        </w:rPr>
        <w:t>thứ</w:t>
      </w:r>
      <w:proofErr w:type="spellEnd"/>
      <w:r w:rsidR="00BC7517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BC7517" w:rsidRPr="0080595B">
        <w:rPr>
          <w:rFonts w:ascii="Arial" w:hAnsi="Arial" w:cs="Arial"/>
          <w:b w:val="0"/>
          <w:sz w:val="20"/>
          <w:szCs w:val="20"/>
        </w:rPr>
        <w:t>hai</w:t>
      </w:r>
      <w:proofErr w:type="spellEnd"/>
      <w:r w:rsidR="00BC7517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BC7517" w:rsidRPr="0080595B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="00BC7517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BC7517"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="00BC7517" w:rsidRPr="0080595B">
        <w:rPr>
          <w:rFonts w:ascii="Arial" w:hAnsi="Arial" w:cs="Arial"/>
          <w:b w:val="0"/>
          <w:sz w:val="20"/>
          <w:szCs w:val="20"/>
        </w:rPr>
        <w:t xml:space="preserve"> 2018</w:t>
      </w:r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lần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thứ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7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kể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từ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khi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kinh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tế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Mỹ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thoát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khỏi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thời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kỳ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đại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suy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thoái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>.</w:t>
      </w:r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</w:rPr>
        <w:t>cuộc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</w:rPr>
        <w:t>họp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</w:rPr>
        <w:t>này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</w:rPr>
        <w:t>quan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</w:rPr>
        <w:t>chức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</w:rPr>
        <w:t>cũng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phát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tín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hiệu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là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sẽ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tiến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hành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thêm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hai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đợt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lãi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suất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trong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năm</w:t>
      </w:r>
      <w:proofErr w:type="spellEnd"/>
      <w:r w:rsidR="00AA5846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nay</w:t>
      </w:r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,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nhưng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giữ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nguyên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dự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báo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là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sẽ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tiến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hành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ba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đợt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tăng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lãi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suất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trong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>năm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  <w:bdr w:val="none" w:sz="0" w:space="0" w:color="auto" w:frame="1"/>
        </w:rPr>
        <w:t xml:space="preserve"> 2019</w:t>
      </w:r>
      <w:r w:rsidR="00FB2CDF" w:rsidRPr="0080595B">
        <w:rPr>
          <w:rFonts w:ascii="Arial" w:hAnsi="Arial" w:cs="Arial"/>
          <w:b w:val="0"/>
          <w:sz w:val="20"/>
          <w:szCs w:val="20"/>
        </w:rPr>
        <w:t xml:space="preserve">.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thập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kỷ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trước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đã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cao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nhất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2%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cuối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mùa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hè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2008,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khi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nền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kinh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tế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gặp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khó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khăn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phải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gần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bằng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0%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duy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trì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thấp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này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nhiều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sau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khủng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hoảng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tài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chính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toàn</w:t>
      </w:r>
      <w:proofErr w:type="spellEnd"/>
      <w:r w:rsidR="00FB2CDF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B2CDF" w:rsidRPr="0080595B">
        <w:rPr>
          <w:rFonts w:ascii="Arial" w:hAnsi="Arial" w:cs="Arial"/>
          <w:b w:val="0"/>
          <w:sz w:val="20"/>
          <w:szCs w:val="20"/>
        </w:rPr>
        <w:t>cầu.</w:t>
      </w:r>
      <w:proofErr w:type="spellEnd"/>
    </w:p>
    <w:p w:rsidR="0080595B" w:rsidRPr="0080595B" w:rsidRDefault="00FB2CDF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đợt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nay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một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phần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nhóm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pháp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đưa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trở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lại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bình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thường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phản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ánh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niềm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tin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của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về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mạnh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của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nền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kinh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tế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Mỹ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cam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kết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của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sẽ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đưa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lạm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phá</w:t>
      </w:r>
      <w:r w:rsidR="00884212" w:rsidRPr="0080595B">
        <w:rPr>
          <w:rFonts w:ascii="Arial" w:hAnsi="Arial" w:cs="Arial"/>
          <w:b w:val="0"/>
          <w:sz w:val="20"/>
          <w:szCs w:val="20"/>
        </w:rPr>
        <w:t>t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ngưỡng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mục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tiêu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2%. Fed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kỳ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vọng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sẽ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chủ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chốt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2</w:t>
      </w:r>
      <w:proofErr w:type="gramStart"/>
      <w:r w:rsidR="00884212" w:rsidRPr="0080595B">
        <w:rPr>
          <w:rFonts w:ascii="Arial" w:hAnsi="Arial" w:cs="Arial"/>
          <w:b w:val="0"/>
          <w:sz w:val="20"/>
          <w:szCs w:val="20"/>
        </w:rPr>
        <w:t>,4</w:t>
      </w:r>
      <w:proofErr w:type="gram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%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cuối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nay,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cao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hơn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ước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tính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ban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đầu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2,1%,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tỷ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lệ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thất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nghiệp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sẽ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nhanh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hơn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so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dự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lạm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phát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sẽ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nhanh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hơn.</w:t>
      </w:r>
      <w:proofErr w:type="spellEnd"/>
    </w:p>
    <w:p w:rsidR="0080595B" w:rsidRPr="0080595B" w:rsidRDefault="00884212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80595B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cuộc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họp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quan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đã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điều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chỉnh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nâng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dự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trưởng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GDP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2018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2,8%,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cao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hơn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0,1% so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dự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đây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tháng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dự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kiến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GDP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2019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sẽ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2,4%.</w:t>
      </w:r>
    </w:p>
    <w:p w:rsidR="0080595B" w:rsidRPr="0080595B" w:rsidRDefault="00884212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80595B">
        <w:rPr>
          <w:rFonts w:ascii="Arial" w:hAnsi="Arial" w:cs="Arial"/>
          <w:b w:val="0"/>
          <w:sz w:val="20"/>
          <w:szCs w:val="20"/>
        </w:rPr>
        <w:t>Tỷ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lệ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nghiệp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mạnh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từ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4</w:t>
      </w:r>
      <w:proofErr w:type="gramStart"/>
      <w:r w:rsidRPr="0080595B">
        <w:rPr>
          <w:rFonts w:ascii="Arial" w:hAnsi="Arial" w:cs="Arial"/>
          <w:b w:val="0"/>
          <w:sz w:val="20"/>
          <w:szCs w:val="20"/>
        </w:rPr>
        <w:t>,1</w:t>
      </w:r>
      <w:proofErr w:type="gramEnd"/>
      <w:r w:rsidRPr="0080595B">
        <w:rPr>
          <w:rFonts w:ascii="Arial" w:hAnsi="Arial" w:cs="Arial"/>
          <w:b w:val="0"/>
          <w:sz w:val="20"/>
          <w:szCs w:val="20"/>
        </w:rPr>
        <w:t xml:space="preserve">%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tháng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3/2018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3,8%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tháng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5/2018,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thấp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18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qua.</w:t>
      </w:r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r w:rsidRPr="0080595B">
        <w:rPr>
          <w:rFonts w:ascii="Arial" w:hAnsi="Arial" w:cs="Arial"/>
          <w:b w:val="0"/>
          <w:sz w:val="20"/>
          <w:szCs w:val="20"/>
        </w:rPr>
        <w:t xml:space="preserve">Theo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tính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toán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của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tỷ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lệ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nghiệp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sẽ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tiếp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tục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nhẹ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từ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3,8%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hiện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nay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3,6%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cuối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3,5%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cuối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2019.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</w:t>
      </w:r>
      <w:r w:rsidR="00FA1405" w:rsidRPr="0080595B">
        <w:rPr>
          <w:rFonts w:ascii="Arial" w:hAnsi="Arial" w:cs="Arial"/>
          <w:b w:val="0"/>
          <w:sz w:val="20"/>
          <w:szCs w:val="20"/>
        </w:rPr>
        <w:t>ỷ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lệ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t</w:t>
      </w:r>
      <w:r w:rsidRPr="0080595B">
        <w:rPr>
          <w:rFonts w:ascii="Arial" w:hAnsi="Arial" w:cs="Arial"/>
          <w:b w:val="0"/>
          <w:sz w:val="20"/>
          <w:szCs w:val="20"/>
        </w:rPr>
        <w:t>hất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nghiệp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được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động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lực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thúc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đẩy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trưởng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lương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lạm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phát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doanh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nghiệp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cạnh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tranh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việc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hút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lao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động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nguồn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nhân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lực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dư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thừa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dần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đây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cũng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yếu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tố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khiến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phát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tín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hiệu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sẽ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đẩy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nhanh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tiến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trình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suất.</w:t>
      </w:r>
    </w:p>
    <w:p w:rsidR="0080595B" w:rsidRPr="0080595B" w:rsidRDefault="00884212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80595B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cuộc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họp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quan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kỳ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vọng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lạm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phát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hàng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sẽ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dao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động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khoảng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</w:t>
      </w:r>
      <w:proofErr w:type="gramStart"/>
      <w:r w:rsidRPr="0080595B">
        <w:rPr>
          <w:rFonts w:ascii="Arial" w:hAnsi="Arial" w:cs="Arial"/>
          <w:b w:val="0"/>
          <w:sz w:val="20"/>
          <w:szCs w:val="20"/>
        </w:rPr>
        <w:t>,0</w:t>
      </w:r>
      <w:proofErr w:type="gramEnd"/>
      <w:r w:rsidRPr="0080595B">
        <w:rPr>
          <w:rFonts w:ascii="Arial" w:hAnsi="Arial" w:cs="Arial"/>
          <w:b w:val="0"/>
          <w:sz w:val="20"/>
          <w:szCs w:val="20"/>
        </w:rPr>
        <w:t xml:space="preserve">-2,1%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cuối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nay,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cao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hơn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so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dự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tính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trước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đây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1,9%.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Dự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lạm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phát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2019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cũng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được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điều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chỉnh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thêm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0</w:t>
      </w:r>
      <w:proofErr w:type="gramStart"/>
      <w:r w:rsidRPr="0080595B">
        <w:rPr>
          <w:rFonts w:ascii="Arial" w:hAnsi="Arial" w:cs="Arial"/>
          <w:b w:val="0"/>
          <w:sz w:val="20"/>
          <w:szCs w:val="20"/>
        </w:rPr>
        <w:t>,1</w:t>
      </w:r>
      <w:proofErr w:type="gramEnd"/>
      <w:r w:rsidRPr="0080595B">
        <w:rPr>
          <w:rFonts w:ascii="Arial" w:hAnsi="Arial" w:cs="Arial"/>
          <w:b w:val="0"/>
          <w:sz w:val="20"/>
          <w:szCs w:val="20"/>
        </w:rPr>
        <w:t xml:space="preserve">%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2,1%.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Tuy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nhiên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quan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giữ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nguyên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dự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lạm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phát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lõi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chỉ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r w:rsidRPr="0080595B">
        <w:rPr>
          <w:rFonts w:ascii="Arial" w:hAnsi="Arial" w:cs="Arial"/>
          <w:b w:val="0"/>
          <w:sz w:val="20"/>
          <w:szCs w:val="20"/>
        </w:rPr>
        <w:t>2</w:t>
      </w:r>
      <w:proofErr w:type="gramStart"/>
      <w:r w:rsidRPr="0080595B">
        <w:rPr>
          <w:rFonts w:ascii="Arial" w:hAnsi="Arial" w:cs="Arial"/>
          <w:b w:val="0"/>
          <w:sz w:val="20"/>
          <w:szCs w:val="20"/>
        </w:rPr>
        <w:t>,1</w:t>
      </w:r>
      <w:proofErr w:type="gramEnd"/>
      <w:r w:rsidRPr="0080595B">
        <w:rPr>
          <w:rFonts w:ascii="Arial" w:hAnsi="Arial" w:cs="Arial"/>
          <w:b w:val="0"/>
          <w:sz w:val="20"/>
          <w:szCs w:val="20"/>
        </w:rPr>
        <w:t xml:space="preserve">%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2019-2020.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quan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bày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tỏ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niềm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tin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rằng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kinh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tế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Mỹ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đang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vững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cơ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sở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để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vay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không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ảnh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hưởng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tiêu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cực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đến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trưởng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kinh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tế.</w:t>
      </w:r>
      <w:proofErr w:type="spellEnd"/>
    </w:p>
    <w:p w:rsidR="0080595B" w:rsidRPr="0080595B" w:rsidRDefault="003C3FFB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80595B">
        <w:rPr>
          <w:rFonts w:ascii="Arial" w:hAnsi="Arial" w:cs="Arial"/>
          <w:b w:val="0"/>
          <w:sz w:val="20"/>
          <w:szCs w:val="20"/>
        </w:rPr>
        <w:t>Phát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biểu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</w:t>
      </w:r>
      <w:r w:rsidR="00884212" w:rsidRPr="0080595B">
        <w:rPr>
          <w:rFonts w:ascii="Arial" w:hAnsi="Arial" w:cs="Arial"/>
          <w:b w:val="0"/>
          <w:sz w:val="20"/>
          <w:szCs w:val="20"/>
        </w:rPr>
        <w:t>ại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buổi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họp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Chủ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tịch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Fed - Jerome H. Powell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cho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rằng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kinh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tế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Mỹ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liên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tục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vững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kể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từ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sau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khủng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hoảng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tài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chính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2008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đang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tiến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tới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tốc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độ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trưởng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bình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thường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cho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phép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rút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dần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chính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sách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tiền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tệ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nới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lỏng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biện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84212" w:rsidRPr="0080595B">
        <w:rPr>
          <w:rFonts w:ascii="Arial" w:hAnsi="Arial" w:cs="Arial"/>
          <w:b w:val="0"/>
          <w:sz w:val="20"/>
          <w:szCs w:val="20"/>
        </w:rPr>
        <w:t>pháp</w:t>
      </w:r>
      <w:proofErr w:type="spellEnd"/>
      <w:r w:rsidR="00884212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kích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thích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trưởng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kinh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tế.</w:t>
      </w:r>
    </w:p>
    <w:p w:rsidR="0080595B" w:rsidRPr="0080595B" w:rsidRDefault="00884212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80595B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cuộc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họp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này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quan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cũng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điều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chỉnh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nâng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dự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chính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sách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3</w:t>
      </w:r>
      <w:proofErr w:type="gramStart"/>
      <w:r w:rsidRPr="0080595B">
        <w:rPr>
          <w:rFonts w:ascii="Arial" w:hAnsi="Arial" w:cs="Arial"/>
          <w:b w:val="0"/>
          <w:sz w:val="20"/>
          <w:szCs w:val="20"/>
        </w:rPr>
        <w:t>,1</w:t>
      </w:r>
      <w:proofErr w:type="gramEnd"/>
      <w:r w:rsidRPr="0080595B">
        <w:rPr>
          <w:rFonts w:ascii="Arial" w:hAnsi="Arial" w:cs="Arial"/>
          <w:b w:val="0"/>
          <w:sz w:val="20"/>
          <w:szCs w:val="20"/>
        </w:rPr>
        <w:t xml:space="preserve">%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cuối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2019,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cao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hơn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so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dự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tháng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3/2018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2,9%.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Dự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này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phản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ánh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kỳ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vọng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của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quan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về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động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của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chương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trình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cắt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thuế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quy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mô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lớn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kế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hoạch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chi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tiêu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ngân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sách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liên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bang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2018.</w:t>
      </w:r>
    </w:p>
    <w:p w:rsidR="0080595B" w:rsidRPr="0080595B" w:rsidRDefault="00CD5DAC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80595B">
        <w:rPr>
          <w:rFonts w:ascii="Arial" w:hAnsi="Arial" w:cs="Arial"/>
          <w:b w:val="0"/>
          <w:sz w:val="20"/>
          <w:szCs w:val="20"/>
        </w:rPr>
        <w:t>Động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thái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được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kỳ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vọng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sẽ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gây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động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đến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hoạt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động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kinh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tế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cụ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thể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sẽ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vay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tiêu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dùng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như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mua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sắm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proofErr w:type="gramStart"/>
      <w:r w:rsidR="00FA1405" w:rsidRPr="0080595B">
        <w:rPr>
          <w:rFonts w:ascii="Arial" w:hAnsi="Arial" w:cs="Arial"/>
          <w:b w:val="0"/>
          <w:sz w:val="20"/>
          <w:szCs w:val="20"/>
        </w:rPr>
        <w:t>xe</w:t>
      </w:r>
      <w:proofErr w:type="spellEnd"/>
      <w:proofErr w:type="gram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hơi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cho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vay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cầm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cố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để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mua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nhà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cho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vay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qua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thẻ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tín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dụng</w:t>
      </w:r>
      <w:proofErr w:type="spellEnd"/>
      <w:r w:rsidR="00D15A71" w:rsidRPr="0080595B">
        <w:rPr>
          <w:rFonts w:ascii="Arial" w:hAnsi="Arial" w:cs="Arial"/>
          <w:b w:val="0"/>
          <w:sz w:val="20"/>
          <w:szCs w:val="20"/>
        </w:rPr>
        <w:t xml:space="preserve">.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Nó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cũng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góp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phần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nâng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lãi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tiền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gửi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dân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cư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tầng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lớp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giàu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có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sau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nhiều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trầm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lắng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thậm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chí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ở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âm.</w:t>
      </w:r>
      <w:proofErr w:type="spellEnd"/>
    </w:p>
    <w:p w:rsidR="0080595B" w:rsidRPr="0080595B" w:rsidRDefault="00884212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80595B">
        <w:rPr>
          <w:rFonts w:ascii="Arial" w:hAnsi="Arial" w:cs="Arial"/>
          <w:b w:val="0"/>
          <w:sz w:val="20"/>
          <w:szCs w:val="20"/>
        </w:rPr>
        <w:t>Sau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thông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của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thị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trường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chứng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khoán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Mỹ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nhiều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nước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thế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giới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có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dấu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hiệu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nhẹ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.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Phố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Wall,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chỉ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số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công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nghiệp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Dow Jones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đóng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cửa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phiên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giao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dịch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ngày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13/6 ở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25.201,2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điểm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119,53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điểm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(0,47%) so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phiên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giao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dịch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trước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;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chỉ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số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công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nghệ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Nasdaq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8,09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điểm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(0,11%)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7.695,7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điểm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;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chỉ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số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S&amp;P 500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11,22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điểm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(0,4%)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2.775,63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điểm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.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Lợi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trái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phiếu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Mỹ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kỳ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hạn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10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chốt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ở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2,976%,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nhẹ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so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lợi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2,947%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trước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ra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thông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.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Tuy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nhiên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lợi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này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vẫn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thấp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hơn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tỷ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</w:t>
      </w:r>
      <w:r w:rsidR="0080595B" w:rsidRPr="0080595B">
        <w:rPr>
          <w:rFonts w:ascii="Arial" w:hAnsi="Arial" w:cs="Arial"/>
          <w:b w:val="0"/>
          <w:sz w:val="20"/>
          <w:szCs w:val="20"/>
        </w:rPr>
        <w:t>ệ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3,113%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ngày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17/5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vừa</w:t>
      </w:r>
      <w:proofErr w:type="spellEnd"/>
      <w:r w:rsidR="0080595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0595B" w:rsidRPr="0080595B">
        <w:rPr>
          <w:rFonts w:ascii="Arial" w:hAnsi="Arial" w:cs="Arial"/>
          <w:b w:val="0"/>
          <w:sz w:val="20"/>
          <w:szCs w:val="20"/>
        </w:rPr>
        <w:t>qua.</w:t>
      </w:r>
    </w:p>
    <w:p w:rsidR="0080595B" w:rsidRPr="0080595B" w:rsidRDefault="00FA1405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80595B">
        <w:rPr>
          <w:rFonts w:ascii="Arial" w:hAnsi="Arial" w:cs="Arial"/>
          <w:b w:val="0"/>
          <w:sz w:val="20"/>
          <w:szCs w:val="20"/>
        </w:rPr>
        <w:t>Chỉ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số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dollar index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0</w:t>
      </w:r>
      <w:proofErr w:type="gramStart"/>
      <w:r w:rsidRPr="0080595B">
        <w:rPr>
          <w:rFonts w:ascii="Arial" w:hAnsi="Arial" w:cs="Arial"/>
          <w:b w:val="0"/>
          <w:sz w:val="20"/>
          <w:szCs w:val="20"/>
        </w:rPr>
        <w:t>,06</w:t>
      </w:r>
      <w:proofErr w:type="gram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điểm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87,08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điểm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USD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mất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giá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so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những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đồng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tiền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chủ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chốt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khác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.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đó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đồng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euro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giao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dịch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ở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mức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1,1801 USD,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nhẹ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so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tỷ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giá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1,1725 USD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trước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Fed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ra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thông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báo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nhưng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vẫn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thấp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hơn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tỷ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giá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1,1840 USD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đạt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được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trong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phiên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giao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dịch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ngày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07/6/2018;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bảng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Anh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0,0012 USD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1,3389 USD. </w:t>
      </w:r>
      <w:r w:rsidR="003C3FFB" w:rsidRPr="0080595B">
        <w:rPr>
          <w:rFonts w:ascii="Arial" w:hAnsi="Arial" w:cs="Arial"/>
          <w:b w:val="0"/>
          <w:sz w:val="20"/>
          <w:szCs w:val="20"/>
        </w:rPr>
        <w:t xml:space="preserve">So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yên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Nhật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, USD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cũng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xuống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110</w:t>
      </w:r>
      <w:proofErr w:type="gramStart"/>
      <w:r w:rsidRPr="0080595B">
        <w:rPr>
          <w:rFonts w:ascii="Arial" w:hAnsi="Arial" w:cs="Arial"/>
          <w:b w:val="0"/>
          <w:sz w:val="20"/>
          <w:szCs w:val="20"/>
        </w:rPr>
        <w:t>,19</w:t>
      </w:r>
      <w:proofErr w:type="gram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yên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.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sàn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giao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dịch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 New York,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g</w:t>
      </w:r>
      <w:r w:rsidRPr="0080595B">
        <w:rPr>
          <w:rFonts w:ascii="Arial" w:hAnsi="Arial" w:cs="Arial"/>
          <w:b w:val="0"/>
          <w:sz w:val="20"/>
          <w:szCs w:val="20"/>
        </w:rPr>
        <w:t>iá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giao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ngay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3,6</w:t>
      </w:r>
      <w:r w:rsidR="003C3FFB" w:rsidRPr="0080595B">
        <w:rPr>
          <w:rFonts w:ascii="Arial" w:hAnsi="Arial" w:cs="Arial"/>
          <w:b w:val="0"/>
          <w:sz w:val="20"/>
          <w:szCs w:val="20"/>
        </w:rPr>
        <w:t>0</w:t>
      </w:r>
      <w:r w:rsidRPr="0080595B">
        <w:rPr>
          <w:rFonts w:ascii="Arial" w:hAnsi="Arial" w:cs="Arial"/>
          <w:b w:val="0"/>
          <w:sz w:val="20"/>
          <w:szCs w:val="20"/>
        </w:rPr>
        <w:t xml:space="preserve"> USD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1.298,8</w:t>
      </w:r>
      <w:r w:rsidR="003C3FFB" w:rsidRPr="0080595B">
        <w:rPr>
          <w:rFonts w:ascii="Arial" w:hAnsi="Arial" w:cs="Arial"/>
          <w:b w:val="0"/>
          <w:sz w:val="20"/>
          <w:szCs w:val="20"/>
        </w:rPr>
        <w:t>0</w:t>
      </w:r>
      <w:r w:rsidRPr="0080595B">
        <w:rPr>
          <w:rFonts w:ascii="Arial" w:hAnsi="Arial" w:cs="Arial"/>
          <w:b w:val="0"/>
          <w:sz w:val="20"/>
          <w:szCs w:val="20"/>
        </w:rPr>
        <w:t xml:space="preserve"> USD/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oz</w:t>
      </w:r>
      <w:proofErr w:type="spellEnd"/>
      <w:r w:rsidR="003C3FFB" w:rsidRPr="0080595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3C3FFB" w:rsidRPr="0080595B">
        <w:rPr>
          <w:rFonts w:ascii="Arial" w:hAnsi="Arial" w:cs="Arial"/>
          <w:b w:val="0"/>
          <w:sz w:val="20"/>
          <w:szCs w:val="20"/>
        </w:rPr>
        <w:t>g</w:t>
      </w:r>
      <w:r w:rsidRPr="0080595B">
        <w:rPr>
          <w:rFonts w:ascii="Arial" w:hAnsi="Arial" w:cs="Arial"/>
          <w:b w:val="0"/>
          <w:sz w:val="20"/>
          <w:szCs w:val="20"/>
        </w:rPr>
        <w:t>iá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vàng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giao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tháng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8</w:t>
      </w:r>
      <w:r w:rsidR="003C3FFB" w:rsidRPr="0080595B">
        <w:rPr>
          <w:rFonts w:ascii="Arial" w:hAnsi="Arial" w:cs="Arial"/>
          <w:b w:val="0"/>
          <w:sz w:val="20"/>
          <w:szCs w:val="20"/>
        </w:rPr>
        <w:t>/2018</w:t>
      </w:r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2,6</w:t>
      </w:r>
      <w:r w:rsidR="003C3FFB" w:rsidRPr="0080595B">
        <w:rPr>
          <w:rFonts w:ascii="Arial" w:hAnsi="Arial" w:cs="Arial"/>
          <w:b w:val="0"/>
          <w:sz w:val="20"/>
          <w:szCs w:val="20"/>
        </w:rPr>
        <w:t>0</w:t>
      </w:r>
      <w:r w:rsidRPr="0080595B">
        <w:rPr>
          <w:rFonts w:ascii="Arial" w:hAnsi="Arial" w:cs="Arial"/>
          <w:b w:val="0"/>
          <w:sz w:val="20"/>
          <w:szCs w:val="20"/>
        </w:rPr>
        <w:t xml:space="preserve"> USD (0,2%)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1.302,8</w:t>
      </w:r>
      <w:r w:rsidR="003C3FFB" w:rsidRPr="0080595B">
        <w:rPr>
          <w:rFonts w:ascii="Arial" w:hAnsi="Arial" w:cs="Arial"/>
          <w:b w:val="0"/>
          <w:sz w:val="20"/>
          <w:szCs w:val="20"/>
        </w:rPr>
        <w:t>0</w:t>
      </w:r>
      <w:r w:rsidRPr="0080595B">
        <w:rPr>
          <w:rFonts w:ascii="Arial" w:hAnsi="Arial" w:cs="Arial"/>
          <w:b w:val="0"/>
          <w:sz w:val="20"/>
          <w:szCs w:val="20"/>
        </w:rPr>
        <w:t xml:space="preserve"> USD/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oz.</w:t>
      </w:r>
      <w:proofErr w:type="spellEnd"/>
    </w:p>
    <w:p w:rsidR="0080595B" w:rsidRPr="0080595B" w:rsidRDefault="00D15A71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80595B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châu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Á,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chỉ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số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MSCI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châu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Á -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Thái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Bình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Dương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(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không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kể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Nhật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Bản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)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0,5%,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chỉ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số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nikkei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225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Nhật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A1405" w:rsidRPr="0080595B">
        <w:rPr>
          <w:rFonts w:ascii="Arial" w:hAnsi="Arial" w:cs="Arial"/>
          <w:b w:val="0"/>
          <w:sz w:val="20"/>
          <w:szCs w:val="20"/>
        </w:rPr>
        <w:t>Bản</w:t>
      </w:r>
      <w:proofErr w:type="spellEnd"/>
      <w:r w:rsidR="00FA1405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0,4%,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chỉ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số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KOSPI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Hàn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Quốc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1,2%,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chỉ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sz w:val="20"/>
          <w:szCs w:val="20"/>
        </w:rPr>
        <w:t>số</w:t>
      </w:r>
      <w:proofErr w:type="spellEnd"/>
      <w:r w:rsidRPr="0080595B">
        <w:rPr>
          <w:rFonts w:ascii="Arial" w:hAnsi="Arial" w:cs="Arial"/>
          <w:b w:val="0"/>
          <w:sz w:val="20"/>
          <w:szCs w:val="20"/>
        </w:rPr>
        <w:t xml:space="preserve"> Ha</w:t>
      </w:r>
      <w:r w:rsidR="00BF13EE" w:rsidRPr="0080595B">
        <w:rPr>
          <w:rFonts w:ascii="Arial" w:hAnsi="Arial" w:cs="Arial"/>
          <w:b w:val="0"/>
          <w:sz w:val="20"/>
          <w:szCs w:val="20"/>
        </w:rPr>
        <w:t xml:space="preserve">ng Seng </w:t>
      </w:r>
      <w:proofErr w:type="spellStart"/>
      <w:r w:rsidR="00BF13EE" w:rsidRPr="0080595B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="00BF13EE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BF13EE" w:rsidRPr="0080595B">
        <w:rPr>
          <w:rFonts w:ascii="Arial" w:hAnsi="Arial" w:cs="Arial"/>
          <w:b w:val="0"/>
          <w:sz w:val="20"/>
          <w:szCs w:val="20"/>
        </w:rPr>
        <w:t>Hồng</w:t>
      </w:r>
      <w:proofErr w:type="spellEnd"/>
      <w:r w:rsidR="00BF13EE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BF13EE" w:rsidRPr="0080595B">
        <w:rPr>
          <w:rFonts w:ascii="Arial" w:hAnsi="Arial" w:cs="Arial"/>
          <w:b w:val="0"/>
          <w:sz w:val="20"/>
          <w:szCs w:val="20"/>
        </w:rPr>
        <w:t>Kông</w:t>
      </w:r>
      <w:proofErr w:type="spellEnd"/>
      <w:r w:rsidR="00BF13EE" w:rsidRPr="0080595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BF13EE" w:rsidRPr="0080595B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="00BF13EE" w:rsidRPr="0080595B">
        <w:rPr>
          <w:rFonts w:ascii="Arial" w:hAnsi="Arial" w:cs="Arial"/>
          <w:b w:val="0"/>
          <w:sz w:val="20"/>
          <w:szCs w:val="20"/>
        </w:rPr>
        <w:t xml:space="preserve"> 0,2%.</w:t>
      </w:r>
    </w:p>
    <w:p w:rsidR="0080595B" w:rsidRPr="0080595B" w:rsidRDefault="00BF13EE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i/>
          <w:sz w:val="20"/>
          <w:szCs w:val="20"/>
        </w:rPr>
      </w:pPr>
      <w:proofErr w:type="spellStart"/>
      <w:r w:rsidRPr="0080595B">
        <w:rPr>
          <w:rFonts w:ascii="Arial" w:hAnsi="Arial" w:cs="Arial"/>
          <w:b w:val="0"/>
          <w:i/>
          <w:sz w:val="20"/>
          <w:szCs w:val="20"/>
        </w:rPr>
        <w:t>Hoàng</w:t>
      </w:r>
      <w:proofErr w:type="spellEnd"/>
      <w:r w:rsidRPr="0080595B">
        <w:rPr>
          <w:rFonts w:ascii="Arial" w:hAnsi="Arial" w:cs="Arial"/>
          <w:b w:val="0"/>
          <w:i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i/>
          <w:sz w:val="20"/>
          <w:szCs w:val="20"/>
        </w:rPr>
        <w:t>Thế</w:t>
      </w:r>
      <w:proofErr w:type="spellEnd"/>
      <w:r w:rsidRPr="0080595B">
        <w:rPr>
          <w:rFonts w:ascii="Arial" w:hAnsi="Arial" w:cs="Arial"/>
          <w:b w:val="0"/>
          <w:i/>
          <w:sz w:val="20"/>
          <w:szCs w:val="20"/>
        </w:rPr>
        <w:t xml:space="preserve"> </w:t>
      </w:r>
      <w:proofErr w:type="spellStart"/>
      <w:r w:rsidRPr="0080595B">
        <w:rPr>
          <w:rFonts w:ascii="Arial" w:hAnsi="Arial" w:cs="Arial"/>
          <w:b w:val="0"/>
          <w:i/>
          <w:sz w:val="20"/>
          <w:szCs w:val="20"/>
        </w:rPr>
        <w:t>Thỏa</w:t>
      </w:r>
      <w:proofErr w:type="spellEnd"/>
    </w:p>
    <w:p w:rsidR="00FA1405" w:rsidRPr="0080595B" w:rsidRDefault="00FA1405" w:rsidP="0080595B">
      <w:pPr>
        <w:pStyle w:val="Heading1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80595B">
        <w:rPr>
          <w:rFonts w:ascii="Arial" w:hAnsi="Arial" w:cs="Arial"/>
          <w:b w:val="0"/>
          <w:i/>
          <w:sz w:val="20"/>
          <w:szCs w:val="20"/>
        </w:rPr>
        <w:t>Nguồn</w:t>
      </w:r>
      <w:proofErr w:type="spellEnd"/>
      <w:r w:rsidRPr="0080595B">
        <w:rPr>
          <w:rFonts w:ascii="Arial" w:hAnsi="Arial" w:cs="Arial"/>
          <w:b w:val="0"/>
          <w:i/>
          <w:sz w:val="20"/>
          <w:szCs w:val="20"/>
        </w:rPr>
        <w:t>: Fed, NY. Times, Reuters, US today, WS. Journal.</w:t>
      </w:r>
    </w:p>
    <w:sectPr w:rsidR="00FA1405" w:rsidRPr="0080595B" w:rsidSect="0080595B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5FF" w:rsidRDefault="007C55FF" w:rsidP="003C3FFB">
      <w:pPr>
        <w:spacing w:after="0" w:line="240" w:lineRule="auto"/>
      </w:pPr>
      <w:r>
        <w:separator/>
      </w:r>
    </w:p>
  </w:endnote>
  <w:endnote w:type="continuationSeparator" w:id="0">
    <w:p w:rsidR="007C55FF" w:rsidRDefault="007C55FF" w:rsidP="003C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61151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3FFB" w:rsidRDefault="003C3F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E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3FFB" w:rsidRDefault="003C3F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5FF" w:rsidRDefault="007C55FF" w:rsidP="003C3FFB">
      <w:pPr>
        <w:spacing w:after="0" w:line="240" w:lineRule="auto"/>
      </w:pPr>
      <w:r>
        <w:separator/>
      </w:r>
    </w:p>
  </w:footnote>
  <w:footnote w:type="continuationSeparator" w:id="0">
    <w:p w:rsidR="007C55FF" w:rsidRDefault="007C55FF" w:rsidP="003C3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53B7"/>
    <w:multiLevelType w:val="hybridMultilevel"/>
    <w:tmpl w:val="B8FC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D64DD"/>
    <w:multiLevelType w:val="multilevel"/>
    <w:tmpl w:val="6C0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836F2"/>
    <w:multiLevelType w:val="multilevel"/>
    <w:tmpl w:val="3B5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B09BF"/>
    <w:multiLevelType w:val="multilevel"/>
    <w:tmpl w:val="112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6F"/>
    <w:rsid w:val="00122F4A"/>
    <w:rsid w:val="001547AF"/>
    <w:rsid w:val="001940BF"/>
    <w:rsid w:val="0025604C"/>
    <w:rsid w:val="00386104"/>
    <w:rsid w:val="00395A48"/>
    <w:rsid w:val="003C3FFB"/>
    <w:rsid w:val="00405BC8"/>
    <w:rsid w:val="004218EF"/>
    <w:rsid w:val="004552DC"/>
    <w:rsid w:val="004C6AAC"/>
    <w:rsid w:val="0051799B"/>
    <w:rsid w:val="005B6518"/>
    <w:rsid w:val="00627C9C"/>
    <w:rsid w:val="007C55FF"/>
    <w:rsid w:val="0080595B"/>
    <w:rsid w:val="008374A7"/>
    <w:rsid w:val="00871CD7"/>
    <w:rsid w:val="008735AD"/>
    <w:rsid w:val="00884212"/>
    <w:rsid w:val="00A4553D"/>
    <w:rsid w:val="00AA5846"/>
    <w:rsid w:val="00BC7517"/>
    <w:rsid w:val="00BF13EE"/>
    <w:rsid w:val="00C8344B"/>
    <w:rsid w:val="00CD5DAC"/>
    <w:rsid w:val="00D15A71"/>
    <w:rsid w:val="00D4426F"/>
    <w:rsid w:val="00DE7A5F"/>
    <w:rsid w:val="00E36EC7"/>
    <w:rsid w:val="00E63079"/>
    <w:rsid w:val="00F210D8"/>
    <w:rsid w:val="00F24269"/>
    <w:rsid w:val="00FA1405"/>
    <w:rsid w:val="00FB1C11"/>
    <w:rsid w:val="00FB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EEE4A-DF88-485C-A46D-0DE156A6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4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A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3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74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74A7"/>
    <w:rPr>
      <w:color w:val="0000FF"/>
      <w:u w:val="single"/>
    </w:rPr>
  </w:style>
  <w:style w:type="paragraph" w:customStyle="1" w:styleId="reading-time39cog">
    <w:name w:val="reading-time_39cog"/>
    <w:basedOn w:val="Normal"/>
    <w:rsid w:val="0083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A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sj-summary">
    <w:name w:val="wsj-summary"/>
    <w:basedOn w:val="Normal"/>
    <w:rsid w:val="0039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cer">
    <w:name w:val="spacer"/>
    <w:basedOn w:val="DefaultParagraphFont"/>
    <w:rsid w:val="00395A48"/>
  </w:style>
  <w:style w:type="paragraph" w:customStyle="1" w:styleId="css-1i0edl6">
    <w:name w:val="css-1i0edl6"/>
    <w:basedOn w:val="Normal"/>
    <w:rsid w:val="0040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peakable">
    <w:name w:val="speakable"/>
    <w:basedOn w:val="Normal"/>
    <w:rsid w:val="00E6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akable-p-1">
    <w:name w:val="speakable-p-1"/>
    <w:basedOn w:val="Normal"/>
    <w:rsid w:val="00E6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akable-p-2">
    <w:name w:val="speakable-p-2"/>
    <w:basedOn w:val="Normal"/>
    <w:rsid w:val="00E6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text">
    <w:name w:val="p-text"/>
    <w:basedOn w:val="Normal"/>
    <w:rsid w:val="00E6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-desc">
    <w:name w:val="video-desc"/>
    <w:basedOn w:val="Normal"/>
    <w:rsid w:val="00E6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">
    <w:name w:val="credit"/>
    <w:basedOn w:val="DefaultParagraphFont"/>
    <w:rsid w:val="00E63079"/>
  </w:style>
  <w:style w:type="character" w:customStyle="1" w:styleId="inline-share-count">
    <w:name w:val="inline-share-count"/>
    <w:basedOn w:val="DefaultParagraphFont"/>
    <w:rsid w:val="00E63079"/>
  </w:style>
  <w:style w:type="character" w:customStyle="1" w:styleId="inline-share-btn-label">
    <w:name w:val="inline-share-btn-label"/>
    <w:basedOn w:val="DefaultParagraphFont"/>
    <w:rsid w:val="00E63079"/>
  </w:style>
  <w:style w:type="paragraph" w:styleId="Header">
    <w:name w:val="header"/>
    <w:basedOn w:val="Normal"/>
    <w:link w:val="HeaderChar"/>
    <w:uiPriority w:val="99"/>
    <w:unhideWhenUsed/>
    <w:rsid w:val="003C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FFB"/>
  </w:style>
  <w:style w:type="paragraph" w:styleId="Footer">
    <w:name w:val="footer"/>
    <w:basedOn w:val="Normal"/>
    <w:link w:val="FooterChar"/>
    <w:uiPriority w:val="99"/>
    <w:unhideWhenUsed/>
    <w:rsid w:val="003C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FFB"/>
  </w:style>
  <w:style w:type="paragraph" w:styleId="BalloonText">
    <w:name w:val="Balloon Text"/>
    <w:basedOn w:val="Normal"/>
    <w:link w:val="BalloonTextChar"/>
    <w:uiPriority w:val="99"/>
    <w:semiHidden/>
    <w:unhideWhenUsed/>
    <w:rsid w:val="00BC7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94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4704">
                              <w:marLeft w:val="0"/>
                              <w:marRight w:val="191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1236">
                          <w:marLeft w:val="0"/>
                          <w:marRight w:val="19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50183">
                              <w:marLeft w:val="1465"/>
                              <w:marRight w:val="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BEB"/>
                                    <w:right w:val="none" w:sz="0" w:space="0" w:color="auto"/>
                                  </w:divBdr>
                                  <w:divsChild>
                                    <w:div w:id="57968144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14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8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8777">
                  <w:marLeft w:val="0"/>
                  <w:marRight w:val="19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4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38602">
                              <w:marLeft w:val="0"/>
                              <w:marRight w:val="191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6563">
                          <w:marLeft w:val="0"/>
                          <w:marRight w:val="19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61262">
                              <w:marLeft w:val="1465"/>
                              <w:marRight w:val="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5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BEB"/>
                                    <w:right w:val="none" w:sz="0" w:space="0" w:color="auto"/>
                                  </w:divBdr>
                                  <w:divsChild>
                                    <w:div w:id="57196515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7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2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62">
                  <w:marLeft w:val="0"/>
                  <w:marRight w:val="19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8470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2099">
                              <w:marLeft w:val="9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4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8990">
                          <w:marLeft w:val="90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4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009B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2</cp:revision>
  <cp:lastPrinted>2018-06-15T01:05:00Z</cp:lastPrinted>
  <dcterms:created xsi:type="dcterms:W3CDTF">2018-06-15T02:25:00Z</dcterms:created>
  <dcterms:modified xsi:type="dcterms:W3CDTF">2018-06-15T02:25:00Z</dcterms:modified>
</cp:coreProperties>
</file>