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32" w:rsidRPr="001B505A" w:rsidRDefault="00AC0432" w:rsidP="001B505A">
      <w:pPr>
        <w:widowControl w:val="0"/>
        <w:tabs>
          <w:tab w:val="left" w:pos="993"/>
        </w:tabs>
        <w:spacing w:before="120" w:after="120"/>
        <w:ind w:firstLine="567"/>
        <w:jc w:val="both"/>
        <w:rPr>
          <w:rFonts w:ascii="Arial" w:hAnsi="Arial" w:cs="Arial"/>
          <w:b/>
          <w:color w:val="000000" w:themeColor="text1"/>
          <w:sz w:val="26"/>
          <w:szCs w:val="26"/>
        </w:rPr>
      </w:pPr>
      <w:r w:rsidRPr="001B505A">
        <w:rPr>
          <w:rFonts w:ascii="Arial" w:hAnsi="Arial" w:cs="Arial"/>
          <w:b/>
          <w:color w:val="000000" w:themeColor="text1"/>
          <w:sz w:val="26"/>
          <w:szCs w:val="26"/>
        </w:rPr>
        <w:t>Xử lý các tổ chức tham gia bảo hiểm tiền gửi có vấn đề</w:t>
      </w:r>
    </w:p>
    <w:p w:rsidR="0053591C" w:rsidRPr="001B505A" w:rsidRDefault="0053591C" w:rsidP="001B505A">
      <w:pPr>
        <w:pStyle w:val="ListParagraph"/>
        <w:widowControl w:val="0"/>
        <w:numPr>
          <w:ilvl w:val="0"/>
          <w:numId w:val="3"/>
        </w:numPr>
        <w:tabs>
          <w:tab w:val="left" w:pos="993"/>
        </w:tabs>
        <w:spacing w:before="120" w:after="120"/>
        <w:ind w:left="0" w:firstLine="567"/>
        <w:contextualSpacing w:val="0"/>
        <w:jc w:val="both"/>
        <w:rPr>
          <w:rFonts w:ascii="Arial" w:hAnsi="Arial" w:cs="Arial"/>
          <w:color w:val="000000" w:themeColor="text1"/>
          <w:sz w:val="26"/>
          <w:szCs w:val="26"/>
        </w:rPr>
      </w:pPr>
      <w:r w:rsidRPr="001B505A">
        <w:rPr>
          <w:rFonts w:ascii="Arial" w:hAnsi="Arial" w:cs="Arial"/>
          <w:color w:val="000000" w:themeColor="text1"/>
          <w:sz w:val="26"/>
          <w:szCs w:val="26"/>
        </w:rPr>
        <w:t>Chi trả bảo hiểm tiền gửi</w:t>
      </w:r>
    </w:p>
    <w:p w:rsidR="002E0067" w:rsidRPr="001B505A" w:rsidRDefault="00516137" w:rsidP="001B505A">
      <w:pPr>
        <w:widowControl w:val="0"/>
        <w:tabs>
          <w:tab w:val="left" w:pos="993"/>
        </w:tabs>
        <w:spacing w:before="120" w:after="120"/>
        <w:ind w:firstLine="567"/>
        <w:jc w:val="both"/>
        <w:rPr>
          <w:rFonts w:ascii="Arial" w:hAnsi="Arial" w:cs="Arial"/>
          <w:color w:val="000000" w:themeColor="text1"/>
          <w:sz w:val="26"/>
          <w:szCs w:val="26"/>
        </w:rPr>
      </w:pPr>
      <w:r w:rsidRPr="001B505A">
        <w:rPr>
          <w:rFonts w:ascii="Arial" w:hAnsi="Arial" w:cs="Arial"/>
          <w:color w:val="000000" w:themeColor="text1"/>
          <w:sz w:val="26"/>
          <w:szCs w:val="26"/>
        </w:rPr>
        <w:t>Hiện nay h</w:t>
      </w:r>
      <w:r w:rsidR="0053591C" w:rsidRPr="001B505A">
        <w:rPr>
          <w:rFonts w:ascii="Arial" w:hAnsi="Arial" w:cs="Arial"/>
          <w:color w:val="000000" w:themeColor="text1"/>
          <w:sz w:val="26"/>
          <w:szCs w:val="26"/>
        </w:rPr>
        <w:t>ạn mức chi trả bảo hiểm của DICJ cho người gửi tiền là:</w:t>
      </w:r>
      <w:r w:rsidRPr="001B505A">
        <w:rPr>
          <w:rFonts w:ascii="Arial" w:hAnsi="Arial" w:cs="Arial"/>
          <w:color w:val="000000" w:themeColor="text1"/>
          <w:sz w:val="26"/>
          <w:szCs w:val="26"/>
        </w:rPr>
        <w:t xml:space="preserve"> </w:t>
      </w:r>
      <w:r w:rsidR="0053591C" w:rsidRPr="001B505A">
        <w:rPr>
          <w:rFonts w:ascii="Arial" w:hAnsi="Arial" w:cs="Arial"/>
          <w:color w:val="000000" w:themeColor="text1"/>
          <w:sz w:val="26"/>
          <w:szCs w:val="26"/>
        </w:rPr>
        <w:t xml:space="preserve">(i) toàn bộ số tiền gửi được bảo hiểm với loại tiền gửi thanh toán hoặc vãng lai; (ii) là tối đa 10 triệu Yên với gốc và lãi cộng dồn của các loại tiền gửi thông thường, tiền gửi có kỳ hạn và các loại công cụ huy động khác. </w:t>
      </w:r>
    </w:p>
    <w:p w:rsidR="0053591C" w:rsidRPr="001B505A" w:rsidRDefault="0053591C" w:rsidP="001B505A">
      <w:pPr>
        <w:widowControl w:val="0"/>
        <w:tabs>
          <w:tab w:val="left" w:pos="993"/>
        </w:tabs>
        <w:spacing w:before="120" w:after="120"/>
        <w:ind w:firstLine="567"/>
        <w:jc w:val="both"/>
        <w:rPr>
          <w:rFonts w:ascii="Arial" w:hAnsi="Arial" w:cs="Arial"/>
          <w:color w:val="000000" w:themeColor="text1"/>
          <w:sz w:val="26"/>
          <w:szCs w:val="26"/>
        </w:rPr>
      </w:pPr>
      <w:r w:rsidRPr="001B505A">
        <w:rPr>
          <w:rFonts w:ascii="Arial" w:hAnsi="Arial" w:cs="Arial"/>
          <w:color w:val="000000" w:themeColor="text1"/>
          <w:sz w:val="26"/>
          <w:szCs w:val="26"/>
        </w:rPr>
        <w:t>Khi một dịch vụ kinh doanh được chuyển, ví dụ từ một tổ chức tài chính đổ vỡ sang một tổ chức tài chính tiếp nhận, người gửi tiền có thể được nhận lại tiền gửi được bảo hiểm tại tổ chức tài chính tiếp nhận nếu có quy định, sau khi DICJ xác định khối lượng tiền gửi được bảo hiểm cho mỗi người gửi tiền thông qua việc tập hợp lại toàn bộ các khoản tiền gửi mà người gửi tiền đó đứ</w:t>
      </w:r>
      <w:r w:rsidR="002E0067" w:rsidRPr="001B505A">
        <w:rPr>
          <w:rFonts w:ascii="Arial" w:hAnsi="Arial" w:cs="Arial"/>
          <w:color w:val="000000" w:themeColor="text1"/>
          <w:sz w:val="26"/>
          <w:szCs w:val="26"/>
        </w:rPr>
        <w:t>ng tên.</w:t>
      </w:r>
    </w:p>
    <w:p w:rsidR="0053591C" w:rsidRPr="001B505A" w:rsidRDefault="0053591C" w:rsidP="001B505A">
      <w:pPr>
        <w:widowControl w:val="0"/>
        <w:tabs>
          <w:tab w:val="left" w:pos="993"/>
        </w:tabs>
        <w:spacing w:before="120" w:after="120"/>
        <w:ind w:firstLine="567"/>
        <w:jc w:val="both"/>
        <w:rPr>
          <w:rFonts w:ascii="Arial" w:hAnsi="Arial" w:cs="Arial"/>
          <w:color w:val="000000" w:themeColor="text1"/>
          <w:sz w:val="26"/>
          <w:szCs w:val="26"/>
        </w:rPr>
      </w:pPr>
      <w:r w:rsidRPr="001B505A">
        <w:rPr>
          <w:rFonts w:ascii="Arial" w:hAnsi="Arial" w:cs="Arial"/>
          <w:color w:val="000000" w:themeColor="text1"/>
          <w:sz w:val="26"/>
          <w:szCs w:val="26"/>
        </w:rPr>
        <w:t>Nếu dự đoán được rằng các khoản chi trả tiền gửi sẽ không được thanh toán trong một khoản thời gian ngắn, biện pháp chi trả một phần sẽ được áp dụng để trang trải những chi phí cuộc sống hàng ngày và các chi phí khác cho người gửi tiền tại các tổ chức tài chính bị đổ vỡ.</w:t>
      </w:r>
    </w:p>
    <w:p w:rsidR="00416793" w:rsidRPr="001B505A" w:rsidRDefault="00416793" w:rsidP="001B505A">
      <w:pPr>
        <w:pStyle w:val="4"/>
        <w:numPr>
          <w:ilvl w:val="0"/>
          <w:numId w:val="3"/>
        </w:numPr>
        <w:tabs>
          <w:tab w:val="left" w:pos="993"/>
        </w:tabs>
        <w:spacing w:before="120" w:after="120" w:line="276" w:lineRule="auto"/>
        <w:rPr>
          <w:rFonts w:ascii="Arial" w:hAnsi="Arial" w:cs="Arial"/>
          <w:i w:val="0"/>
          <w:color w:val="000000" w:themeColor="text1"/>
          <w:sz w:val="26"/>
          <w:szCs w:val="26"/>
        </w:rPr>
      </w:pPr>
      <w:bookmarkStart w:id="0" w:name="_Toc520805675"/>
      <w:bookmarkStart w:id="1" w:name="_Toc520805858"/>
      <w:r w:rsidRPr="001B505A">
        <w:rPr>
          <w:rFonts w:ascii="Arial" w:hAnsi="Arial" w:cs="Arial"/>
          <w:i w:val="0"/>
          <w:color w:val="000000" w:themeColor="text1"/>
          <w:sz w:val="26"/>
          <w:szCs w:val="26"/>
        </w:rPr>
        <w:t>Hỗ trợ tài chính</w:t>
      </w:r>
      <w:bookmarkEnd w:id="0"/>
      <w:bookmarkEnd w:id="1"/>
    </w:p>
    <w:p w:rsidR="00297C94" w:rsidRPr="001B505A" w:rsidRDefault="00416793" w:rsidP="001B505A">
      <w:pPr>
        <w:widowControl w:val="0"/>
        <w:tabs>
          <w:tab w:val="left" w:pos="993"/>
        </w:tabs>
        <w:spacing w:before="120" w:after="120"/>
        <w:ind w:firstLine="567"/>
        <w:jc w:val="both"/>
        <w:rPr>
          <w:rFonts w:ascii="Arial" w:hAnsi="Arial" w:cs="Arial"/>
          <w:color w:val="000000" w:themeColor="text1"/>
          <w:sz w:val="26"/>
          <w:szCs w:val="26"/>
        </w:rPr>
      </w:pPr>
      <w:r w:rsidRPr="001B505A">
        <w:rPr>
          <w:rFonts w:ascii="Arial" w:hAnsi="Arial" w:cs="Arial"/>
          <w:color w:val="000000" w:themeColor="text1"/>
          <w:sz w:val="26"/>
          <w:szCs w:val="26"/>
        </w:rPr>
        <w:t>Khi một tổ chức tài chính bị đổ vỡ, DICJ có thể hỗ trợ tài chính cho tổ chức tài chính tiếp nhận và/hoặc công ty sở hữu ngân hàng nào mua lại tài sản và nhận nợ của tổ chức đổ vỡ hoặc sáp nhập với tổ chức đó nhằm trang trải các chi phí giao dịch. Hỗ trợ tài chính có thể dưới dạng cấp tiền, cho vay hoặc gửi tiền vào quỹ, mua tài sản, đảm bảo hoặc tiếp nhận nợ, mua cổ phiếu ưu đãi hoặc chia sẻ lỗ.</w:t>
      </w:r>
      <w:r w:rsidR="006E55FC" w:rsidRPr="001B505A">
        <w:rPr>
          <w:rFonts w:ascii="Arial" w:hAnsi="Arial" w:cs="Arial"/>
          <w:color w:val="000000" w:themeColor="text1"/>
          <w:sz w:val="26"/>
          <w:szCs w:val="26"/>
        </w:rPr>
        <w:t xml:space="preserve"> </w:t>
      </w:r>
      <w:r w:rsidRPr="001B505A">
        <w:rPr>
          <w:rFonts w:ascii="Arial" w:hAnsi="Arial" w:cs="Arial"/>
          <w:color w:val="000000" w:themeColor="text1"/>
          <w:sz w:val="26"/>
          <w:szCs w:val="26"/>
        </w:rPr>
        <w:t xml:space="preserve">Tuy nhiên, lượng tiền hỗ trợ bị giới hạn trong mức chi phí giả thiết cho việc chi trả BHTG nếu ngân hàng đó đổ vỡ. </w:t>
      </w:r>
    </w:p>
    <w:p w:rsidR="00416793" w:rsidRPr="001B505A" w:rsidRDefault="00416793" w:rsidP="001B505A">
      <w:pPr>
        <w:widowControl w:val="0"/>
        <w:tabs>
          <w:tab w:val="left" w:pos="993"/>
        </w:tabs>
        <w:spacing w:before="120" w:after="120"/>
        <w:ind w:firstLine="567"/>
        <w:jc w:val="both"/>
        <w:rPr>
          <w:rFonts w:ascii="Arial" w:hAnsi="Arial" w:cs="Arial"/>
          <w:color w:val="000000" w:themeColor="text1"/>
          <w:sz w:val="26"/>
          <w:szCs w:val="26"/>
        </w:rPr>
      </w:pPr>
      <w:r w:rsidRPr="001B505A">
        <w:rPr>
          <w:rFonts w:ascii="Arial" w:hAnsi="Arial" w:cs="Arial"/>
          <w:color w:val="000000" w:themeColor="text1"/>
          <w:sz w:val="26"/>
          <w:szCs w:val="26"/>
        </w:rPr>
        <w:t xml:space="preserve">Trong trường hợp chuyển giao một phần kinh doanh của tổ chức tài chính đổ vỡ, DICJ có thể </w:t>
      </w:r>
      <w:r w:rsidR="005B4E7A" w:rsidRPr="001B505A">
        <w:rPr>
          <w:rFonts w:ascii="Arial" w:hAnsi="Arial" w:cs="Arial"/>
          <w:color w:val="000000" w:themeColor="text1"/>
          <w:sz w:val="26"/>
          <w:szCs w:val="26"/>
        </w:rPr>
        <w:t xml:space="preserve">cung </w:t>
      </w:r>
      <w:r w:rsidRPr="001B505A">
        <w:rPr>
          <w:rFonts w:ascii="Arial" w:hAnsi="Arial" w:cs="Arial"/>
          <w:color w:val="000000" w:themeColor="text1"/>
          <w:sz w:val="26"/>
          <w:szCs w:val="26"/>
        </w:rPr>
        <w:t xml:space="preserve">cấp hỗ trợ tài chính cho các tổ chức tài chính bị đổ vỡ để cho họ có thể đảm bảo sự công bằng giữa những người cho vay. Hỗ trợ tài chính bổ sung có thể được cấp, nếu cần, cho việc đăng ký từ những tổ chức này. Khi tiếp nhận, tổ chức tài chính và/hoặc công ty sở hữu ngân hàng yêu cầu DICJ mua cổ phiếu ưu đãi hoặc các loại cổ phiếu khác của họ, họ phải nộp bản kế hoạch kinh doanh để đảm bảo tính lành mạnh về tài chính của các tổ chức. </w:t>
      </w:r>
    </w:p>
    <w:p w:rsidR="00416793" w:rsidRPr="001B505A" w:rsidRDefault="00416793" w:rsidP="001B505A">
      <w:pPr>
        <w:widowControl w:val="0"/>
        <w:tabs>
          <w:tab w:val="left" w:pos="993"/>
        </w:tabs>
        <w:spacing w:before="120" w:after="120"/>
        <w:ind w:firstLine="567"/>
        <w:jc w:val="both"/>
        <w:rPr>
          <w:rFonts w:ascii="Arial" w:hAnsi="Arial" w:cs="Arial"/>
          <w:sz w:val="26"/>
          <w:szCs w:val="26"/>
        </w:rPr>
      </w:pPr>
      <w:r w:rsidRPr="001B505A">
        <w:rPr>
          <w:rFonts w:ascii="Arial" w:hAnsi="Arial" w:cs="Arial"/>
          <w:color w:val="000000" w:themeColor="text1"/>
          <w:sz w:val="26"/>
          <w:szCs w:val="26"/>
        </w:rPr>
        <w:t xml:space="preserve">Từ năm tài chính 1992 tới năm tài chính 2017, hỗ trợ tài chính đã được cấp cho 182 trường hợp với số tiền lên đến 25.46 trillion yên, trong đó đã cấp khoảng 19,03 tỷ Yên và giá trị tài sản được mua lên đến 6,421 tỷ. </w:t>
      </w:r>
    </w:p>
    <w:p w:rsidR="00416793" w:rsidRPr="001B505A" w:rsidRDefault="00416793" w:rsidP="001B505A">
      <w:pPr>
        <w:pStyle w:val="4"/>
        <w:numPr>
          <w:ilvl w:val="0"/>
          <w:numId w:val="3"/>
        </w:numPr>
        <w:tabs>
          <w:tab w:val="left" w:pos="993"/>
        </w:tabs>
        <w:spacing w:before="120" w:after="120" w:line="276" w:lineRule="auto"/>
        <w:ind w:left="0" w:firstLine="567"/>
        <w:rPr>
          <w:rFonts w:ascii="Arial" w:hAnsi="Arial" w:cs="Arial"/>
          <w:i w:val="0"/>
          <w:sz w:val="26"/>
          <w:szCs w:val="26"/>
        </w:rPr>
      </w:pPr>
      <w:bookmarkStart w:id="2" w:name="_Toc520805677"/>
      <w:bookmarkStart w:id="3" w:name="_Toc520805860"/>
      <w:r w:rsidRPr="001B505A">
        <w:rPr>
          <w:rFonts w:ascii="Arial" w:hAnsi="Arial" w:cs="Arial"/>
          <w:i w:val="0"/>
          <w:sz w:val="26"/>
          <w:szCs w:val="26"/>
        </w:rPr>
        <w:t>Thu mua các khoản nợ xấu, nợ khó đòi</w:t>
      </w:r>
      <w:bookmarkEnd w:id="2"/>
      <w:bookmarkEnd w:id="3"/>
    </w:p>
    <w:p w:rsidR="00416793" w:rsidRPr="001B505A" w:rsidRDefault="0095561B" w:rsidP="001B505A">
      <w:pPr>
        <w:widowControl w:val="0"/>
        <w:tabs>
          <w:tab w:val="left" w:pos="993"/>
        </w:tabs>
        <w:spacing w:before="120" w:after="120"/>
        <w:ind w:firstLine="567"/>
        <w:jc w:val="both"/>
        <w:rPr>
          <w:rFonts w:ascii="Arial" w:hAnsi="Arial" w:cs="Arial"/>
          <w:color w:val="000000" w:themeColor="text1"/>
          <w:sz w:val="26"/>
          <w:szCs w:val="26"/>
        </w:rPr>
      </w:pPr>
      <w:r w:rsidRPr="001B505A">
        <w:rPr>
          <w:rFonts w:ascii="Arial" w:hAnsi="Arial" w:cs="Arial"/>
          <w:color w:val="000000" w:themeColor="text1"/>
          <w:spacing w:val="-2"/>
          <w:sz w:val="26"/>
          <w:szCs w:val="26"/>
        </w:rPr>
        <w:t xml:space="preserve">Công ty xử lý và thu hồi nợ </w:t>
      </w:r>
      <w:r w:rsidRPr="001B505A">
        <w:rPr>
          <w:rFonts w:ascii="Arial" w:hAnsi="Arial" w:cs="Arial"/>
          <w:color w:val="000000" w:themeColor="text1"/>
          <w:spacing w:val="-2"/>
          <w:sz w:val="26"/>
          <w:szCs w:val="26"/>
          <w:lang w:val="de-DE"/>
        </w:rPr>
        <w:t>(</w:t>
      </w:r>
      <w:r w:rsidR="00416793" w:rsidRPr="001B505A">
        <w:rPr>
          <w:rFonts w:ascii="Arial" w:hAnsi="Arial" w:cs="Arial"/>
          <w:color w:val="000000" w:themeColor="text1"/>
          <w:sz w:val="26"/>
          <w:szCs w:val="26"/>
        </w:rPr>
        <w:t>RCC</w:t>
      </w:r>
      <w:r w:rsidRPr="001B505A">
        <w:rPr>
          <w:rFonts w:ascii="Arial" w:hAnsi="Arial" w:cs="Arial"/>
          <w:color w:val="000000" w:themeColor="text1"/>
          <w:sz w:val="26"/>
          <w:szCs w:val="26"/>
          <w:lang w:val="de-DE"/>
        </w:rPr>
        <w:t>)</w:t>
      </w:r>
      <w:r w:rsidR="00416793" w:rsidRPr="001B505A">
        <w:rPr>
          <w:rFonts w:ascii="Arial" w:hAnsi="Arial" w:cs="Arial"/>
          <w:color w:val="000000" w:themeColor="text1"/>
          <w:sz w:val="26"/>
          <w:szCs w:val="26"/>
        </w:rPr>
        <w:t xml:space="preserve"> </w:t>
      </w:r>
      <w:r w:rsidR="00A23161" w:rsidRPr="001B505A">
        <w:rPr>
          <w:rFonts w:ascii="Arial" w:hAnsi="Arial" w:cs="Arial"/>
          <w:color w:val="000000" w:themeColor="text1"/>
          <w:spacing w:val="-2"/>
          <w:sz w:val="26"/>
          <w:szCs w:val="26"/>
        </w:rPr>
        <w:t xml:space="preserve">trực thuộc DICJ </w:t>
      </w:r>
      <w:r w:rsidR="00416793" w:rsidRPr="001B505A">
        <w:rPr>
          <w:rFonts w:ascii="Arial" w:hAnsi="Arial" w:cs="Arial"/>
          <w:color w:val="000000" w:themeColor="text1"/>
          <w:sz w:val="26"/>
          <w:szCs w:val="26"/>
        </w:rPr>
        <w:t xml:space="preserve">sẽ chịu trách nhiệm thu mua các khoản nợ xấu của các tổ chức bị phá sản theo Luật BHTG. </w:t>
      </w:r>
    </w:p>
    <w:p w:rsidR="00416793" w:rsidRPr="001B505A" w:rsidRDefault="00416793" w:rsidP="001B505A">
      <w:pPr>
        <w:widowControl w:val="0"/>
        <w:tabs>
          <w:tab w:val="left" w:pos="993"/>
        </w:tabs>
        <w:spacing w:before="120" w:after="120"/>
        <w:ind w:firstLine="567"/>
        <w:jc w:val="both"/>
        <w:rPr>
          <w:rFonts w:ascii="Arial" w:hAnsi="Arial" w:cs="Arial"/>
          <w:color w:val="000000" w:themeColor="text1"/>
          <w:spacing w:val="-2"/>
          <w:sz w:val="26"/>
          <w:szCs w:val="26"/>
        </w:rPr>
      </w:pPr>
      <w:r w:rsidRPr="001B505A">
        <w:rPr>
          <w:rFonts w:ascii="Arial" w:hAnsi="Arial" w:cs="Arial"/>
          <w:color w:val="000000" w:themeColor="text1"/>
          <w:spacing w:val="-2"/>
          <w:sz w:val="26"/>
          <w:szCs w:val="26"/>
        </w:rPr>
        <w:lastRenderedPageBreak/>
        <w:t>Tài sản xấu được chuyển giao sang RCC để thu hồi. Các biện pháp được RCC thực hiện bao gồm: thu hồi nợ, xử lý tận thu nhằm giảm thấp thiệt hại của DICJ và góp phần xử lý nhanh các tổ chức tín dụng bị khủng hoảng. Bên cạnh các biện pháp thu hồi nợ thông thường, RCC còn nỗ lực đa dạng hoá các phương thức thu hồi nợ và tối đa hoá mức thu hồi bằng các biện pháp như: lập kế hoạch khôi phục kinh doanh cho các tổ chức gặp khó khăn, bán nợ và chứng khoán hoá các khoản nợ</w:t>
      </w:r>
      <w:r w:rsidR="006F1A5B" w:rsidRPr="001B505A">
        <w:rPr>
          <w:rFonts w:ascii="Arial" w:hAnsi="Arial" w:cs="Arial"/>
          <w:color w:val="000000" w:themeColor="text1"/>
          <w:spacing w:val="-2"/>
          <w:sz w:val="26"/>
          <w:szCs w:val="26"/>
        </w:rPr>
        <w:t>,</w:t>
      </w:r>
      <w:r w:rsidRPr="001B505A">
        <w:rPr>
          <w:rFonts w:ascii="Arial" w:hAnsi="Arial" w:cs="Arial"/>
          <w:color w:val="000000" w:themeColor="text1"/>
          <w:spacing w:val="-2"/>
          <w:sz w:val="26"/>
          <w:szCs w:val="26"/>
        </w:rPr>
        <w:t xml:space="preserve">… </w:t>
      </w:r>
    </w:p>
    <w:p w:rsidR="00416793" w:rsidRPr="001B505A" w:rsidRDefault="00416793" w:rsidP="001B505A">
      <w:pPr>
        <w:widowControl w:val="0"/>
        <w:tabs>
          <w:tab w:val="left" w:pos="993"/>
        </w:tabs>
        <w:spacing w:before="120" w:after="120"/>
        <w:ind w:firstLine="567"/>
        <w:jc w:val="both"/>
        <w:rPr>
          <w:rFonts w:ascii="Arial" w:hAnsi="Arial" w:cs="Arial"/>
          <w:sz w:val="26"/>
          <w:szCs w:val="26"/>
        </w:rPr>
      </w:pPr>
      <w:r w:rsidRPr="001B505A">
        <w:rPr>
          <w:rFonts w:ascii="Arial" w:hAnsi="Arial" w:cs="Arial"/>
          <w:color w:val="000000" w:themeColor="text1"/>
          <w:sz w:val="26"/>
          <w:szCs w:val="26"/>
        </w:rPr>
        <w:t xml:space="preserve">RCC xử lý các khoản nợ xấu bằng cách xác định tình trạng của các tổ chức có nguy cơ phá sản, tư vấn và lên kế hoạch chi trả cho các tổ chức này dựa trên sự tín nhiệm. Sau khi thu mua nợ xấu, tổ chức tài chính bị phá sản sẽ </w:t>
      </w:r>
      <w:r w:rsidR="00197C7B" w:rsidRPr="001B505A">
        <w:rPr>
          <w:rFonts w:ascii="Arial" w:hAnsi="Arial" w:cs="Arial"/>
          <w:color w:val="000000" w:themeColor="text1"/>
          <w:sz w:val="26"/>
          <w:szCs w:val="26"/>
        </w:rPr>
        <w:t>nhận</w:t>
      </w:r>
      <w:r w:rsidRPr="001B505A">
        <w:rPr>
          <w:rFonts w:ascii="Arial" w:hAnsi="Arial" w:cs="Arial"/>
          <w:color w:val="000000" w:themeColor="text1"/>
          <w:sz w:val="26"/>
          <w:szCs w:val="26"/>
        </w:rPr>
        <w:t xml:space="preserve"> được một khoản tiền từ RCC nhằm cứu vớt hoạt động kinh doanh của mình. DICJ sẽ tiến hành cho vay hoặc đảm bảo các khoản nợ mà RCC đã thực hiện thu mua. Từ năm tài chính 1996 đế</w:t>
      </w:r>
      <w:r w:rsidR="00DC302B" w:rsidRPr="001B505A">
        <w:rPr>
          <w:rFonts w:ascii="Arial" w:hAnsi="Arial" w:cs="Arial"/>
          <w:color w:val="000000" w:themeColor="text1"/>
          <w:sz w:val="26"/>
          <w:szCs w:val="26"/>
        </w:rPr>
        <w:t>n hết năm 2017</w:t>
      </w:r>
      <w:r w:rsidRPr="001B505A">
        <w:rPr>
          <w:rFonts w:ascii="Arial" w:hAnsi="Arial" w:cs="Arial"/>
          <w:color w:val="000000" w:themeColor="text1"/>
          <w:sz w:val="26"/>
          <w:szCs w:val="26"/>
        </w:rPr>
        <w:t xml:space="preserve">, RCC đã tiến hành thu mua 10.098 tỷ Yên các khoản nợ xấu. </w:t>
      </w:r>
    </w:p>
    <w:p w:rsidR="00416793" w:rsidRPr="001B505A" w:rsidRDefault="00416793" w:rsidP="001B505A">
      <w:pPr>
        <w:widowControl w:val="0"/>
        <w:tabs>
          <w:tab w:val="left" w:pos="993"/>
        </w:tabs>
        <w:spacing w:before="120" w:after="120"/>
        <w:ind w:firstLine="567"/>
        <w:jc w:val="both"/>
        <w:rPr>
          <w:rFonts w:ascii="Arial" w:hAnsi="Arial" w:cs="Arial"/>
          <w:color w:val="000000" w:themeColor="text1"/>
          <w:sz w:val="26"/>
          <w:szCs w:val="26"/>
        </w:rPr>
      </w:pPr>
      <w:r w:rsidRPr="001B505A">
        <w:rPr>
          <w:rFonts w:ascii="Arial" w:hAnsi="Arial" w:cs="Arial"/>
          <w:color w:val="000000" w:themeColor="text1"/>
          <w:sz w:val="26"/>
          <w:szCs w:val="26"/>
        </w:rPr>
        <w:t xml:space="preserve">Ngoài ra, các khoản nợ dân sự và hình sự của các nhà quản lý của các tổ chức tài chính bị phá sản </w:t>
      </w:r>
      <w:r w:rsidR="00197C7B" w:rsidRPr="001B505A">
        <w:rPr>
          <w:rFonts w:ascii="Arial" w:hAnsi="Arial" w:cs="Arial"/>
          <w:color w:val="000000" w:themeColor="text1"/>
          <w:sz w:val="26"/>
          <w:szCs w:val="26"/>
        </w:rPr>
        <w:t xml:space="preserve">cũng </w:t>
      </w:r>
      <w:r w:rsidRPr="001B505A">
        <w:rPr>
          <w:rFonts w:ascii="Arial" w:hAnsi="Arial" w:cs="Arial"/>
          <w:color w:val="000000" w:themeColor="text1"/>
          <w:sz w:val="26"/>
          <w:szCs w:val="26"/>
        </w:rPr>
        <w:t xml:space="preserve">được RCC tiến hành thu mua. Nếu quá trình thu hồi các khoản nợ dân sự gặp khó khăn bởi các chủ tài sản gây cản trợ hoặc muốn che giấu tài sản, RCC cùng với DICJ sẽ lập bản khiếu nại tố cáo các cá nhân này. Riêng giai đoạn từ năm tài chính 1997 cho đến </w:t>
      </w:r>
      <w:r w:rsidR="00197C7B" w:rsidRPr="001B505A">
        <w:rPr>
          <w:rFonts w:ascii="Arial" w:hAnsi="Arial" w:cs="Arial"/>
          <w:color w:val="000000" w:themeColor="text1"/>
          <w:sz w:val="26"/>
          <w:szCs w:val="26"/>
        </w:rPr>
        <w:t xml:space="preserve">hết </w:t>
      </w:r>
      <w:r w:rsidR="005F0886" w:rsidRPr="001B505A">
        <w:rPr>
          <w:rFonts w:ascii="Arial" w:hAnsi="Arial" w:cs="Arial"/>
          <w:color w:val="000000" w:themeColor="text1"/>
          <w:sz w:val="26"/>
          <w:szCs w:val="26"/>
        </w:rPr>
        <w:t>quý I</w:t>
      </w:r>
      <w:r w:rsidRPr="001B505A">
        <w:rPr>
          <w:rFonts w:ascii="Arial" w:hAnsi="Arial" w:cs="Arial"/>
          <w:color w:val="000000" w:themeColor="text1"/>
          <w:sz w:val="26"/>
          <w:szCs w:val="26"/>
        </w:rPr>
        <w:t xml:space="preserve">/2018, có 127 trường hợp bồi thường dân sự với tổng số tiền là 132,64 tỷ Yên đã được tiến hành xử lý, đồng thời thực hiện quyền quy trách nhiệm cho 708 cá nhân đã có những hành động bất hợp pháp. </w:t>
      </w:r>
    </w:p>
    <w:p w:rsidR="00B22DC1" w:rsidRPr="001B505A" w:rsidRDefault="00B22DC1" w:rsidP="001B505A">
      <w:pPr>
        <w:pStyle w:val="4"/>
        <w:numPr>
          <w:ilvl w:val="0"/>
          <w:numId w:val="3"/>
        </w:numPr>
        <w:tabs>
          <w:tab w:val="left" w:pos="993"/>
        </w:tabs>
        <w:spacing w:before="120" w:after="120" w:line="276" w:lineRule="auto"/>
        <w:ind w:left="0" w:firstLine="567"/>
        <w:rPr>
          <w:rFonts w:ascii="Arial" w:hAnsi="Arial" w:cs="Arial"/>
          <w:i w:val="0"/>
          <w:sz w:val="26"/>
          <w:szCs w:val="26"/>
        </w:rPr>
      </w:pPr>
      <w:bookmarkStart w:id="4" w:name="_Toc520805676"/>
      <w:bookmarkStart w:id="5" w:name="_Toc520805859"/>
      <w:r w:rsidRPr="001B505A">
        <w:rPr>
          <w:rFonts w:ascii="Arial" w:hAnsi="Arial" w:cs="Arial"/>
          <w:i w:val="0"/>
          <w:sz w:val="26"/>
          <w:szCs w:val="26"/>
        </w:rPr>
        <w:t>Ngân hàng bắc cầu</w:t>
      </w:r>
      <w:bookmarkEnd w:id="4"/>
      <w:bookmarkEnd w:id="5"/>
    </w:p>
    <w:p w:rsidR="00B22DC1" w:rsidRPr="001B505A" w:rsidRDefault="00861DA1" w:rsidP="001B505A">
      <w:pPr>
        <w:widowControl w:val="0"/>
        <w:tabs>
          <w:tab w:val="left" w:pos="993"/>
        </w:tabs>
        <w:spacing w:before="120" w:after="120"/>
        <w:ind w:firstLine="567"/>
        <w:jc w:val="both"/>
        <w:rPr>
          <w:rFonts w:ascii="Arial" w:hAnsi="Arial" w:cs="Arial"/>
          <w:color w:val="000000" w:themeColor="text1"/>
          <w:sz w:val="26"/>
          <w:szCs w:val="26"/>
        </w:rPr>
      </w:pPr>
      <w:r w:rsidRPr="001B505A">
        <w:rPr>
          <w:rFonts w:ascii="Arial" w:hAnsi="Arial" w:cs="Arial"/>
          <w:color w:val="000000" w:themeColor="text1"/>
          <w:sz w:val="26"/>
          <w:szCs w:val="26"/>
        </w:rPr>
        <w:t xml:space="preserve">Theo Luật bảo hiểm tiền gửi Nhật Bản, DICJ đã thành lập Ngân hàng </w:t>
      </w:r>
      <w:r w:rsidRPr="001B505A">
        <w:rPr>
          <w:rFonts w:ascii="Arial" w:hAnsi="Arial" w:cs="Arial"/>
          <w:color w:val="000000" w:themeColor="text1"/>
          <w:sz w:val="26"/>
          <w:szCs w:val="26"/>
          <w:lang w:val="de-DE"/>
        </w:rPr>
        <w:t xml:space="preserve">bắc </w:t>
      </w:r>
      <w:r w:rsidRPr="001B505A">
        <w:rPr>
          <w:rFonts w:ascii="Arial" w:hAnsi="Arial" w:cs="Arial"/>
          <w:color w:val="000000" w:themeColor="text1"/>
          <w:sz w:val="26"/>
          <w:szCs w:val="26"/>
        </w:rPr>
        <w:t>cầu Nhật Bản</w:t>
      </w:r>
      <w:r w:rsidRPr="001B505A">
        <w:rPr>
          <w:rFonts w:ascii="Arial" w:hAnsi="Arial" w:cs="Arial"/>
          <w:color w:val="000000" w:themeColor="text1"/>
          <w:sz w:val="26"/>
          <w:szCs w:val="26"/>
          <w:lang w:val="de-DE"/>
        </w:rPr>
        <w:t>,</w:t>
      </w:r>
      <w:r w:rsidRPr="001B505A">
        <w:rPr>
          <w:rFonts w:ascii="Arial" w:hAnsi="Arial" w:cs="Arial"/>
          <w:color w:val="000000" w:themeColor="text1"/>
          <w:sz w:val="26"/>
          <w:szCs w:val="26"/>
        </w:rPr>
        <w:t xml:space="preserve"> là một công ty con của DICJ</w:t>
      </w:r>
      <w:r w:rsidRPr="001B505A">
        <w:rPr>
          <w:rFonts w:ascii="Arial" w:hAnsi="Arial" w:cs="Arial"/>
          <w:color w:val="000000" w:themeColor="text1"/>
          <w:sz w:val="26"/>
          <w:szCs w:val="26"/>
          <w:lang w:val="de-DE"/>
        </w:rPr>
        <w:t>,</w:t>
      </w:r>
      <w:r w:rsidRPr="001B505A">
        <w:rPr>
          <w:rFonts w:ascii="Arial" w:hAnsi="Arial" w:cs="Arial"/>
          <w:color w:val="000000" w:themeColor="text1"/>
          <w:sz w:val="26"/>
          <w:szCs w:val="26"/>
        </w:rPr>
        <w:t xml:space="preserve"> vào tháng 3</w:t>
      </w:r>
      <w:r w:rsidRPr="001B505A">
        <w:rPr>
          <w:rFonts w:ascii="Arial" w:hAnsi="Arial" w:cs="Arial"/>
          <w:color w:val="000000" w:themeColor="text1"/>
          <w:sz w:val="26"/>
          <w:szCs w:val="26"/>
          <w:lang w:val="de-DE"/>
        </w:rPr>
        <w:t>/</w:t>
      </w:r>
      <w:r w:rsidRPr="001B505A">
        <w:rPr>
          <w:rFonts w:ascii="Arial" w:hAnsi="Arial" w:cs="Arial"/>
          <w:color w:val="000000" w:themeColor="text1"/>
          <w:sz w:val="26"/>
          <w:szCs w:val="26"/>
        </w:rPr>
        <w:t xml:space="preserve"> 2002</w:t>
      </w:r>
      <w:r w:rsidRPr="001B505A">
        <w:rPr>
          <w:rFonts w:ascii="Arial" w:hAnsi="Arial" w:cs="Arial"/>
          <w:color w:val="000000" w:themeColor="text1"/>
          <w:sz w:val="26"/>
          <w:szCs w:val="26"/>
          <w:lang w:val="de-DE"/>
        </w:rPr>
        <w:t>. Đây</w:t>
      </w:r>
      <w:r w:rsidRPr="001B505A">
        <w:rPr>
          <w:rFonts w:ascii="Arial" w:hAnsi="Arial" w:cs="Arial"/>
          <w:color w:val="000000" w:themeColor="text1"/>
          <w:sz w:val="26"/>
          <w:szCs w:val="26"/>
        </w:rPr>
        <w:t xml:space="preserve"> là ngân hàng </w:t>
      </w:r>
      <w:r w:rsidRPr="001B505A">
        <w:rPr>
          <w:rFonts w:ascii="Arial" w:hAnsi="Arial" w:cs="Arial"/>
          <w:color w:val="000000" w:themeColor="text1"/>
          <w:sz w:val="26"/>
          <w:szCs w:val="26"/>
          <w:lang w:val="de-DE"/>
        </w:rPr>
        <w:t xml:space="preserve">bắc </w:t>
      </w:r>
      <w:r w:rsidRPr="001B505A">
        <w:rPr>
          <w:rFonts w:ascii="Arial" w:hAnsi="Arial" w:cs="Arial"/>
          <w:color w:val="000000" w:themeColor="text1"/>
          <w:sz w:val="26"/>
          <w:szCs w:val="26"/>
        </w:rPr>
        <w:t xml:space="preserve">cầu đầu tiên ở Nhật Bản với vốn tự có </w:t>
      </w:r>
      <w:r w:rsidRPr="001B505A">
        <w:rPr>
          <w:rFonts w:ascii="Arial" w:hAnsi="Arial" w:cs="Arial"/>
          <w:color w:val="000000" w:themeColor="text1"/>
          <w:sz w:val="26"/>
          <w:szCs w:val="26"/>
          <w:lang w:val="de-DE"/>
        </w:rPr>
        <w:t>là</w:t>
      </w:r>
      <w:r w:rsidRPr="001B505A">
        <w:rPr>
          <w:rFonts w:ascii="Arial" w:hAnsi="Arial" w:cs="Arial"/>
          <w:color w:val="000000" w:themeColor="text1"/>
          <w:sz w:val="26"/>
          <w:szCs w:val="26"/>
        </w:rPr>
        <w:t xml:space="preserve"> 2.050 triệu </w:t>
      </w:r>
      <w:r w:rsidRPr="001B505A">
        <w:rPr>
          <w:rFonts w:ascii="Arial" w:hAnsi="Arial" w:cs="Arial"/>
          <w:color w:val="000000" w:themeColor="text1"/>
          <w:sz w:val="26"/>
          <w:szCs w:val="26"/>
          <w:lang w:val="de-DE"/>
        </w:rPr>
        <w:t>Yên.</w:t>
      </w:r>
      <w:r w:rsidR="00B22DC1" w:rsidRPr="001B505A">
        <w:rPr>
          <w:rFonts w:ascii="Arial" w:hAnsi="Arial" w:cs="Arial"/>
          <w:color w:val="000000" w:themeColor="text1"/>
          <w:sz w:val="26"/>
          <w:szCs w:val="26"/>
        </w:rPr>
        <w:t xml:space="preserve"> </w:t>
      </w:r>
      <w:r w:rsidRPr="001B505A">
        <w:rPr>
          <w:rFonts w:ascii="Arial" w:hAnsi="Arial" w:cs="Arial"/>
          <w:color w:val="000000" w:themeColor="text1"/>
          <w:sz w:val="26"/>
          <w:szCs w:val="26"/>
        </w:rPr>
        <w:t xml:space="preserve">Ngân hàng </w:t>
      </w:r>
      <w:r w:rsidR="00B22DC1" w:rsidRPr="001B505A">
        <w:rPr>
          <w:rFonts w:ascii="Arial" w:hAnsi="Arial" w:cs="Arial"/>
          <w:color w:val="000000" w:themeColor="text1"/>
          <w:sz w:val="26"/>
          <w:szCs w:val="26"/>
        </w:rPr>
        <w:t>này tiếp nhận việc kinh doanh của tổ chức tài chính bị đổ vỡ dưới sự quản lý nhằm duy trì hoạt động của họ cho đến khi một đối tác tư nhân khác có thể được xác định và việc chuyển giao kinh doanh được hoàn thành.</w:t>
      </w:r>
    </w:p>
    <w:p w:rsidR="00B22DC1" w:rsidRPr="001B505A" w:rsidRDefault="00B22DC1" w:rsidP="001B505A">
      <w:pPr>
        <w:widowControl w:val="0"/>
        <w:tabs>
          <w:tab w:val="left" w:pos="993"/>
        </w:tabs>
        <w:spacing w:before="120" w:after="120"/>
        <w:ind w:firstLine="567"/>
        <w:jc w:val="both"/>
        <w:rPr>
          <w:rFonts w:ascii="Arial" w:hAnsi="Arial" w:cs="Arial"/>
          <w:color w:val="000000" w:themeColor="text1"/>
          <w:sz w:val="26"/>
          <w:szCs w:val="26"/>
        </w:rPr>
      </w:pPr>
      <w:r w:rsidRPr="001B505A">
        <w:rPr>
          <w:rFonts w:ascii="Arial" w:hAnsi="Arial" w:cs="Arial"/>
          <w:color w:val="000000" w:themeColor="text1"/>
          <w:sz w:val="26"/>
          <w:szCs w:val="26"/>
        </w:rPr>
        <w:t xml:space="preserve">Trên nguyên tắc, một ngân hàng bắc cầu hoàn thành việc chuyển giao kinh doanh của tổ chức tài chính bị đổ vỡ trong vòng 2 năm kể từ khi chỉ thị quản lý được ban hành cho tổ chức tài chính bị đổ vỡ mà hoạt động kinh doanh của họ được ngân hàng bắc cầu tiếp nhận. Việc chuyển giao kinh doanh có thể hoàn thành thông qua sáp nhập ngân hàng bắc cầu, chuyển giao phần lớn việc kinh doanh, chuyển giao cổ phần, giải tán thông qua xử lý tại một cuộc đại hội cổ đông, hoặc bằng những cách khác. </w:t>
      </w:r>
      <w:r w:rsidR="00861DA1" w:rsidRPr="001B505A">
        <w:rPr>
          <w:rFonts w:ascii="Arial" w:hAnsi="Arial" w:cs="Arial"/>
          <w:color w:val="000000" w:themeColor="text1"/>
          <w:sz w:val="26"/>
          <w:szCs w:val="26"/>
        </w:rPr>
        <w:t xml:space="preserve">Trường hợp </w:t>
      </w:r>
      <w:r w:rsidRPr="001B505A">
        <w:rPr>
          <w:rFonts w:ascii="Arial" w:hAnsi="Arial" w:cs="Arial"/>
          <w:color w:val="000000" w:themeColor="text1"/>
          <w:sz w:val="26"/>
          <w:szCs w:val="26"/>
        </w:rPr>
        <w:t xml:space="preserve">không thể hoàn thành việc chuyển giao trong vòng 2 năm do những </w:t>
      </w:r>
      <w:r w:rsidR="00861DA1" w:rsidRPr="001B505A">
        <w:rPr>
          <w:rFonts w:ascii="Arial" w:hAnsi="Arial" w:cs="Arial"/>
          <w:color w:val="000000" w:themeColor="text1"/>
          <w:sz w:val="26"/>
          <w:szCs w:val="26"/>
        </w:rPr>
        <w:t>nguyên nhân</w:t>
      </w:r>
      <w:r w:rsidRPr="001B505A">
        <w:rPr>
          <w:rFonts w:ascii="Arial" w:hAnsi="Arial" w:cs="Arial"/>
          <w:color w:val="000000" w:themeColor="text1"/>
          <w:sz w:val="26"/>
          <w:szCs w:val="26"/>
        </w:rPr>
        <w:t xml:space="preserve"> bất khả kháng, thời hạn chuyển giao kinh doanh sẽ được gia hạn thêm 1 năm. DICJ cũng có thể cho vay hoặc bảo đảm việc vay nợ của ngân hàng bắc cầu, và đền bù khoản tổn thất phát sinh khi thực hiện hoạt động, như trong quy </w:t>
      </w:r>
      <w:r w:rsidRPr="001B505A">
        <w:rPr>
          <w:rFonts w:ascii="Arial" w:hAnsi="Arial" w:cs="Arial"/>
          <w:color w:val="000000" w:themeColor="text1"/>
          <w:sz w:val="26"/>
          <w:szCs w:val="26"/>
        </w:rPr>
        <w:lastRenderedPageBreak/>
        <w:t xml:space="preserve">định tại Chỉ thị của nội các. </w:t>
      </w:r>
    </w:p>
    <w:p w:rsidR="00411FE2" w:rsidRPr="001B505A" w:rsidRDefault="00411FE2" w:rsidP="001B505A">
      <w:pPr>
        <w:widowControl w:val="0"/>
        <w:tabs>
          <w:tab w:val="left" w:pos="993"/>
        </w:tabs>
        <w:spacing w:before="120" w:after="120"/>
        <w:ind w:firstLine="567"/>
        <w:jc w:val="both"/>
        <w:rPr>
          <w:rFonts w:ascii="Arial" w:hAnsi="Arial" w:cs="Arial"/>
          <w:b/>
          <w:color w:val="000000" w:themeColor="text1"/>
          <w:spacing w:val="-2"/>
          <w:sz w:val="26"/>
          <w:szCs w:val="26"/>
        </w:rPr>
      </w:pPr>
      <w:r w:rsidRPr="001B505A">
        <w:rPr>
          <w:rFonts w:ascii="Arial" w:hAnsi="Arial" w:cs="Arial"/>
          <w:b/>
          <w:color w:val="000000" w:themeColor="text1"/>
          <w:spacing w:val="-2"/>
          <w:sz w:val="26"/>
          <w:szCs w:val="26"/>
        </w:rPr>
        <w:t>Bài học kinh nghiệm</w:t>
      </w:r>
    </w:p>
    <w:p w:rsidR="0038298F" w:rsidRPr="001B505A" w:rsidRDefault="00C96B89" w:rsidP="001B505A">
      <w:pPr>
        <w:widowControl w:val="0"/>
        <w:tabs>
          <w:tab w:val="left" w:pos="993"/>
        </w:tabs>
        <w:spacing w:before="120" w:after="120"/>
        <w:ind w:firstLine="567"/>
        <w:jc w:val="both"/>
        <w:rPr>
          <w:rFonts w:ascii="Arial" w:hAnsi="Arial" w:cs="Arial"/>
          <w:color w:val="000000" w:themeColor="text1"/>
          <w:spacing w:val="-2"/>
          <w:sz w:val="26"/>
          <w:szCs w:val="26"/>
        </w:rPr>
      </w:pPr>
      <w:r w:rsidRPr="001B505A">
        <w:rPr>
          <w:rFonts w:ascii="Arial" w:hAnsi="Arial" w:cs="Arial"/>
          <w:color w:val="000000" w:themeColor="text1"/>
          <w:spacing w:val="-2"/>
          <w:sz w:val="26"/>
          <w:szCs w:val="26"/>
        </w:rPr>
        <w:t xml:space="preserve">Từ </w:t>
      </w:r>
      <w:r w:rsidR="00652AB4" w:rsidRPr="001B505A">
        <w:rPr>
          <w:rFonts w:ascii="Arial" w:hAnsi="Arial" w:cs="Arial"/>
          <w:color w:val="000000" w:themeColor="text1"/>
          <w:spacing w:val="-2"/>
          <w:sz w:val="26"/>
          <w:szCs w:val="26"/>
        </w:rPr>
        <w:t>kinh nghiệm</w:t>
      </w:r>
      <w:r w:rsidR="0038298F" w:rsidRPr="001B505A">
        <w:rPr>
          <w:rFonts w:ascii="Arial" w:hAnsi="Arial" w:cs="Arial"/>
          <w:color w:val="000000" w:themeColor="text1"/>
          <w:spacing w:val="-2"/>
          <w:sz w:val="26"/>
          <w:szCs w:val="26"/>
        </w:rPr>
        <w:t xml:space="preserve"> </w:t>
      </w:r>
      <w:r w:rsidR="008E485E" w:rsidRPr="001B505A">
        <w:rPr>
          <w:rFonts w:ascii="Arial" w:hAnsi="Arial" w:cs="Arial"/>
          <w:color w:val="000000" w:themeColor="text1"/>
          <w:spacing w:val="-2"/>
          <w:sz w:val="26"/>
          <w:szCs w:val="26"/>
        </w:rPr>
        <w:t>x</w:t>
      </w:r>
      <w:r w:rsidR="0038298F" w:rsidRPr="001B505A">
        <w:rPr>
          <w:rFonts w:ascii="Arial" w:hAnsi="Arial" w:cs="Arial"/>
          <w:color w:val="000000" w:themeColor="text1"/>
          <w:spacing w:val="-2"/>
          <w:sz w:val="26"/>
          <w:szCs w:val="26"/>
        </w:rPr>
        <w:t>ử lý của</w:t>
      </w:r>
      <w:r w:rsidR="00652AB4" w:rsidRPr="001B505A">
        <w:rPr>
          <w:rFonts w:ascii="Arial" w:hAnsi="Arial" w:cs="Arial"/>
          <w:color w:val="000000" w:themeColor="text1"/>
          <w:spacing w:val="-2"/>
          <w:sz w:val="26"/>
          <w:szCs w:val="26"/>
        </w:rPr>
        <w:t xml:space="preserve"> BHTG Nhật bả</w:t>
      </w:r>
      <w:r w:rsidR="0038298F" w:rsidRPr="001B505A">
        <w:rPr>
          <w:rFonts w:ascii="Arial" w:hAnsi="Arial" w:cs="Arial"/>
          <w:color w:val="000000" w:themeColor="text1"/>
          <w:spacing w:val="-2"/>
          <w:sz w:val="26"/>
          <w:szCs w:val="26"/>
        </w:rPr>
        <w:t>n</w:t>
      </w:r>
      <w:r w:rsidR="008E485E" w:rsidRPr="001B505A">
        <w:rPr>
          <w:rFonts w:ascii="Arial" w:hAnsi="Arial" w:cs="Arial"/>
          <w:color w:val="000000" w:themeColor="text1"/>
          <w:spacing w:val="-2"/>
          <w:sz w:val="26"/>
          <w:szCs w:val="26"/>
        </w:rPr>
        <w:t>,</w:t>
      </w:r>
      <w:r w:rsidR="0038298F" w:rsidRPr="001B505A">
        <w:rPr>
          <w:rFonts w:ascii="Arial" w:hAnsi="Arial" w:cs="Arial"/>
          <w:color w:val="000000" w:themeColor="text1"/>
          <w:spacing w:val="-2"/>
          <w:sz w:val="26"/>
          <w:szCs w:val="26"/>
        </w:rPr>
        <w:t xml:space="preserve"> có thể </w:t>
      </w:r>
      <w:r w:rsidRPr="001B505A">
        <w:rPr>
          <w:rFonts w:ascii="Arial" w:hAnsi="Arial" w:cs="Arial"/>
          <w:color w:val="000000" w:themeColor="text1"/>
          <w:spacing w:val="-2"/>
          <w:sz w:val="26"/>
          <w:szCs w:val="26"/>
        </w:rPr>
        <w:t xml:space="preserve">rút ra bài học cho Việt Nam trong xử lý </w:t>
      </w:r>
      <w:r w:rsidR="0088349C" w:rsidRPr="001B505A">
        <w:rPr>
          <w:rFonts w:ascii="Arial" w:hAnsi="Arial" w:cs="Arial"/>
          <w:color w:val="000000" w:themeColor="text1"/>
          <w:spacing w:val="-2"/>
          <w:sz w:val="26"/>
          <w:szCs w:val="26"/>
        </w:rPr>
        <w:t xml:space="preserve">hiệu quả </w:t>
      </w:r>
      <w:r w:rsidRPr="001B505A">
        <w:rPr>
          <w:rFonts w:ascii="Arial" w:hAnsi="Arial" w:cs="Arial"/>
          <w:color w:val="000000" w:themeColor="text1"/>
          <w:spacing w:val="-2"/>
          <w:sz w:val="26"/>
          <w:szCs w:val="26"/>
        </w:rPr>
        <w:t xml:space="preserve">tổ chức có vấn đề như sau: </w:t>
      </w:r>
    </w:p>
    <w:p w:rsidR="008E485E" w:rsidRPr="001B505A" w:rsidRDefault="008E485E" w:rsidP="001B505A">
      <w:pPr>
        <w:widowControl w:val="0"/>
        <w:tabs>
          <w:tab w:val="left" w:pos="993"/>
        </w:tabs>
        <w:spacing w:before="120" w:after="120"/>
        <w:ind w:firstLine="567"/>
        <w:jc w:val="both"/>
        <w:rPr>
          <w:rFonts w:ascii="Arial" w:hAnsi="Arial" w:cs="Arial"/>
          <w:color w:val="000000" w:themeColor="text1"/>
          <w:spacing w:val="-2"/>
          <w:sz w:val="26"/>
          <w:szCs w:val="26"/>
        </w:rPr>
      </w:pPr>
      <w:r w:rsidRPr="001B505A">
        <w:rPr>
          <w:rFonts w:ascii="Arial" w:hAnsi="Arial" w:cs="Arial"/>
          <w:color w:val="000000" w:themeColor="text1"/>
          <w:sz w:val="26"/>
          <w:szCs w:val="26"/>
        </w:rPr>
        <w:t>Để thực hiện được vai trò</w:t>
      </w:r>
      <w:r w:rsidR="00B22B6A" w:rsidRPr="001B505A">
        <w:rPr>
          <w:rFonts w:ascii="Arial" w:hAnsi="Arial" w:cs="Arial"/>
          <w:color w:val="000000" w:themeColor="text1"/>
          <w:sz w:val="26"/>
          <w:szCs w:val="26"/>
        </w:rPr>
        <w:t xml:space="preserve"> của mình trong quá trình xử lý, </w:t>
      </w:r>
      <w:r w:rsidRPr="001B505A">
        <w:rPr>
          <w:rFonts w:ascii="Arial" w:hAnsi="Arial" w:cs="Arial"/>
          <w:color w:val="000000" w:themeColor="text1"/>
          <w:sz w:val="26"/>
          <w:szCs w:val="26"/>
        </w:rPr>
        <w:t>DICJ đã được giao những quyền hạn tiếp nhận xử lý cần thiết và có sự phân định chức năng nhiệm vụ rõ ràng giữa các thành viên tham gia Mạng an toàn tài chính Nhật Bản trong việc xử lý ngân hàng.</w:t>
      </w:r>
    </w:p>
    <w:p w:rsidR="00652AB4" w:rsidRPr="001B505A" w:rsidRDefault="00652AB4" w:rsidP="001B505A">
      <w:pPr>
        <w:widowControl w:val="0"/>
        <w:tabs>
          <w:tab w:val="left" w:pos="993"/>
        </w:tabs>
        <w:spacing w:before="120" w:after="120"/>
        <w:ind w:firstLine="567"/>
        <w:jc w:val="both"/>
        <w:rPr>
          <w:rFonts w:ascii="Arial" w:hAnsi="Arial" w:cs="Arial"/>
          <w:color w:val="000000" w:themeColor="text1"/>
          <w:spacing w:val="-2"/>
          <w:sz w:val="26"/>
          <w:szCs w:val="26"/>
        </w:rPr>
      </w:pPr>
      <w:r w:rsidRPr="001B505A">
        <w:rPr>
          <w:rFonts w:ascii="Arial" w:hAnsi="Arial" w:cs="Arial"/>
          <w:color w:val="000000" w:themeColor="text1"/>
          <w:spacing w:val="-2"/>
          <w:sz w:val="26"/>
          <w:szCs w:val="26"/>
        </w:rPr>
        <w:t xml:space="preserve">Tại Nhật Bản, hai công ty con là RCC và ngân hàng </w:t>
      </w:r>
      <w:r w:rsidR="00861DA1" w:rsidRPr="001B505A">
        <w:rPr>
          <w:rFonts w:ascii="Arial" w:hAnsi="Arial" w:cs="Arial"/>
          <w:color w:val="000000" w:themeColor="text1"/>
          <w:spacing w:val="-2"/>
          <w:sz w:val="26"/>
          <w:szCs w:val="26"/>
        </w:rPr>
        <w:t>b</w:t>
      </w:r>
      <w:r w:rsidRPr="001B505A">
        <w:rPr>
          <w:rFonts w:ascii="Arial" w:hAnsi="Arial" w:cs="Arial"/>
          <w:color w:val="000000" w:themeColor="text1"/>
          <w:spacing w:val="-2"/>
          <w:sz w:val="26"/>
          <w:szCs w:val="26"/>
        </w:rPr>
        <w:t xml:space="preserve">ắc </w:t>
      </w:r>
      <w:r w:rsidR="00861DA1" w:rsidRPr="001B505A">
        <w:rPr>
          <w:rFonts w:ascii="Arial" w:hAnsi="Arial" w:cs="Arial"/>
          <w:color w:val="000000" w:themeColor="text1"/>
          <w:spacing w:val="-2"/>
          <w:sz w:val="26"/>
          <w:szCs w:val="26"/>
        </w:rPr>
        <w:t>c</w:t>
      </w:r>
      <w:r w:rsidRPr="001B505A">
        <w:rPr>
          <w:rFonts w:ascii="Arial" w:hAnsi="Arial" w:cs="Arial"/>
          <w:color w:val="000000" w:themeColor="text1"/>
          <w:spacing w:val="-2"/>
          <w:sz w:val="26"/>
          <w:szCs w:val="26"/>
        </w:rPr>
        <w:t>ầu đã được thành lập để chuyên xử lý các khoản nợ xấu, khoản nợ không thanh lý cũng như đưa ra các biện pháp hỗ trợ tài chính để ngân hàng có dấu hiệu bất ổn có thể khôi phục và hoạt động trở lại bình thường hoặc thực hiện ngay biện pháp thu mua hoặc sáp nhập nhằm tránh những hậu quả hệ lụy gây mất lòng tin từ phía người dân cũng như ảnh hưởng đến toàn bộ hệ thống.</w:t>
      </w:r>
    </w:p>
    <w:p w:rsidR="006F1A5B" w:rsidRPr="001B505A" w:rsidRDefault="006F1A5B" w:rsidP="001B505A">
      <w:pPr>
        <w:widowControl w:val="0"/>
        <w:tabs>
          <w:tab w:val="left" w:pos="993"/>
        </w:tabs>
        <w:spacing w:before="120" w:after="120"/>
        <w:ind w:firstLine="567"/>
        <w:jc w:val="both"/>
        <w:rPr>
          <w:rFonts w:ascii="Arial" w:hAnsi="Arial" w:cs="Arial"/>
          <w:color w:val="000000" w:themeColor="text1"/>
          <w:sz w:val="26"/>
          <w:szCs w:val="26"/>
        </w:rPr>
      </w:pPr>
      <w:r w:rsidRPr="001B505A">
        <w:rPr>
          <w:rFonts w:ascii="Arial" w:hAnsi="Arial" w:cs="Arial"/>
          <w:color w:val="000000" w:themeColor="text1"/>
          <w:sz w:val="26"/>
          <w:szCs w:val="26"/>
        </w:rPr>
        <w:t>Tất cả các khoản nợ xấu đó sẽ giúp cho các TCTD có thêm các khoản tài chính để đối phó, vượt qua thời kỳ khó khăn trong kinh doanh. Công tác thu mua và xử lý các khoản nợ xấu thường rất khó thực hiện, hoặc gây mất thời gian trong quá trình thực hiện. Việc thành lập một công ty con – RCC chuyên giải quyết và xử lý các tổ chức tài chính bị đổ bể là một cách làm khôn ngoan, giúp giảm bớt các chi phí về thời gian và tiền bạc trong hoạt động bảo hiểm tiền gửi tại Nhật Bản.</w:t>
      </w:r>
    </w:p>
    <w:p w:rsidR="00A66E48" w:rsidRPr="001B505A" w:rsidRDefault="00A66E48" w:rsidP="001B505A">
      <w:pPr>
        <w:tabs>
          <w:tab w:val="left" w:pos="993"/>
        </w:tabs>
        <w:spacing w:before="120" w:after="120"/>
        <w:jc w:val="both"/>
        <w:rPr>
          <w:rFonts w:ascii="Arial" w:hAnsi="Arial" w:cs="Arial"/>
          <w:b/>
          <w:i/>
          <w:color w:val="000000" w:themeColor="text1"/>
          <w:sz w:val="26"/>
          <w:szCs w:val="26"/>
        </w:rPr>
      </w:pPr>
      <w:r w:rsidRPr="001B505A">
        <w:rPr>
          <w:rFonts w:ascii="Arial" w:hAnsi="Arial" w:cs="Arial"/>
          <w:b/>
          <w:i/>
          <w:color w:val="000000" w:themeColor="text1"/>
          <w:sz w:val="26"/>
          <w:szCs w:val="26"/>
        </w:rPr>
        <w:t>Lê Thị Hồng Hạnh - Chi nhánh BHTGVN tại TP. Hà Nội</w:t>
      </w:r>
    </w:p>
    <w:p w:rsidR="000B010A" w:rsidRPr="001B505A" w:rsidRDefault="00FE105C" w:rsidP="001B505A">
      <w:pPr>
        <w:widowControl w:val="0"/>
        <w:tabs>
          <w:tab w:val="left" w:pos="900"/>
          <w:tab w:val="left" w:pos="993"/>
          <w:tab w:val="left" w:pos="1080"/>
        </w:tabs>
        <w:spacing w:before="120" w:after="120"/>
        <w:jc w:val="both"/>
        <w:rPr>
          <w:rFonts w:ascii="Arial" w:hAnsi="Arial" w:cs="Arial"/>
          <w:b/>
          <w:color w:val="000000" w:themeColor="text1"/>
          <w:sz w:val="26"/>
          <w:szCs w:val="26"/>
        </w:rPr>
      </w:pPr>
      <w:r w:rsidRPr="001B505A">
        <w:rPr>
          <w:rFonts w:ascii="Arial" w:hAnsi="Arial" w:cs="Arial"/>
          <w:b/>
          <w:color w:val="000000" w:themeColor="text1"/>
          <w:sz w:val="26"/>
          <w:szCs w:val="26"/>
        </w:rPr>
        <w:t>Tài liệu tham khảo</w:t>
      </w:r>
    </w:p>
    <w:p w:rsidR="00BD4FB6" w:rsidRPr="001B505A" w:rsidRDefault="001B505A" w:rsidP="001B505A">
      <w:pPr>
        <w:tabs>
          <w:tab w:val="left" w:pos="851"/>
        </w:tabs>
        <w:spacing w:before="120" w:after="120"/>
        <w:rPr>
          <w:rFonts w:ascii="Arial" w:hAnsi="Arial" w:cs="Arial"/>
          <w:szCs w:val="26"/>
          <w:lang w:val="en-US"/>
        </w:rPr>
      </w:pPr>
      <w:r>
        <w:rPr>
          <w:rFonts w:ascii="Arial" w:hAnsi="Arial" w:cs="Arial"/>
          <w:color w:val="000000" w:themeColor="text1"/>
          <w:szCs w:val="26"/>
          <w:lang w:val="en-US" w:eastAsia="vi-VN"/>
        </w:rPr>
        <w:t xml:space="preserve">1. </w:t>
      </w:r>
      <w:r w:rsidR="00496E28" w:rsidRPr="001B505A">
        <w:rPr>
          <w:rFonts w:ascii="Arial" w:hAnsi="Arial" w:cs="Arial"/>
          <w:color w:val="000000" w:themeColor="text1"/>
          <w:szCs w:val="26"/>
          <w:lang w:eastAsia="vi-VN"/>
        </w:rPr>
        <w:t>DICJ</w:t>
      </w:r>
      <w:r w:rsidR="003D3DAF" w:rsidRPr="001B505A">
        <w:rPr>
          <w:rFonts w:ascii="Arial" w:hAnsi="Arial" w:cs="Arial"/>
          <w:color w:val="000000" w:themeColor="text1"/>
          <w:szCs w:val="26"/>
          <w:lang w:val="en-US" w:eastAsia="vi-VN"/>
        </w:rPr>
        <w:t xml:space="preserve">, </w:t>
      </w:r>
      <w:r w:rsidR="00496E28" w:rsidRPr="001B505A">
        <w:rPr>
          <w:rFonts w:ascii="Arial" w:hAnsi="Arial" w:cs="Arial"/>
          <w:color w:val="000000" w:themeColor="text1"/>
          <w:szCs w:val="26"/>
          <w:lang w:eastAsia="vi-VN"/>
        </w:rPr>
        <w:t>2007, Annual Report 2006, April 2006 – March 2007</w:t>
      </w:r>
    </w:p>
    <w:p w:rsidR="005B4E7A" w:rsidRPr="001B505A" w:rsidRDefault="001B505A" w:rsidP="001B505A">
      <w:pPr>
        <w:widowControl w:val="0"/>
        <w:tabs>
          <w:tab w:val="left" w:pos="851"/>
        </w:tabs>
        <w:spacing w:before="120" w:after="120"/>
        <w:rPr>
          <w:rFonts w:ascii="Arial" w:hAnsi="Arial" w:cs="Arial"/>
          <w:szCs w:val="26"/>
        </w:rPr>
      </w:pPr>
      <w:r>
        <w:rPr>
          <w:rFonts w:ascii="Arial" w:hAnsi="Arial" w:cs="Arial"/>
          <w:kern w:val="36"/>
          <w:szCs w:val="26"/>
          <w:lang w:val="en-US"/>
        </w:rPr>
        <w:t xml:space="preserve">2. </w:t>
      </w:r>
      <w:r w:rsidR="00496E28" w:rsidRPr="001B505A">
        <w:rPr>
          <w:rFonts w:ascii="Arial" w:hAnsi="Arial" w:cs="Arial"/>
          <w:kern w:val="36"/>
          <w:szCs w:val="26"/>
        </w:rPr>
        <w:t xml:space="preserve">DICJ, </w:t>
      </w:r>
      <w:r w:rsidR="00496E28" w:rsidRPr="001B505A">
        <w:rPr>
          <w:rFonts w:ascii="Arial" w:hAnsi="Arial" w:cs="Arial"/>
          <w:szCs w:val="26"/>
        </w:rPr>
        <w:t xml:space="preserve">2017, </w:t>
      </w:r>
      <w:r w:rsidR="00496E28" w:rsidRPr="001B505A">
        <w:rPr>
          <w:rFonts w:ascii="Arial" w:hAnsi="Arial" w:cs="Arial"/>
          <w:kern w:val="36"/>
          <w:szCs w:val="26"/>
        </w:rPr>
        <w:t>Financial Assistance,</w:t>
      </w:r>
      <w:r w:rsidR="005B4E7A" w:rsidRPr="001B505A">
        <w:rPr>
          <w:rFonts w:ascii="Arial" w:hAnsi="Arial" w:cs="Arial"/>
          <w:kern w:val="36"/>
          <w:szCs w:val="26"/>
          <w:lang w:val="en-US"/>
        </w:rPr>
        <w:t xml:space="preserve"> </w:t>
      </w:r>
      <w:hyperlink r:id="rId8" w:history="1">
        <w:r w:rsidR="00496E28" w:rsidRPr="001B505A">
          <w:rPr>
            <w:rFonts w:ascii="Arial" w:hAnsi="Arial" w:cs="Arial"/>
            <w:color w:val="000000" w:themeColor="text1"/>
            <w:szCs w:val="26"/>
            <w:lang w:eastAsia="vi-VN"/>
          </w:rPr>
          <w:t>https://www.dic.go.jp/english/e_katsudo/page_000210.html</w:t>
        </w:r>
      </w:hyperlink>
      <w:r w:rsidR="005B4E7A" w:rsidRPr="001B505A">
        <w:rPr>
          <w:rFonts w:ascii="Arial" w:hAnsi="Arial" w:cs="Arial"/>
          <w:sz w:val="20"/>
          <w:lang w:val="en-US"/>
        </w:rPr>
        <w:t>.</w:t>
      </w:r>
    </w:p>
    <w:p w:rsidR="00433BE7" w:rsidRPr="001B505A" w:rsidRDefault="001B505A" w:rsidP="001B505A">
      <w:pPr>
        <w:widowControl w:val="0"/>
        <w:tabs>
          <w:tab w:val="left" w:pos="851"/>
        </w:tabs>
        <w:spacing w:before="120" w:after="120"/>
        <w:rPr>
          <w:rFonts w:ascii="Arial" w:hAnsi="Arial" w:cs="Arial"/>
          <w:color w:val="000000" w:themeColor="text1"/>
          <w:szCs w:val="26"/>
          <w:lang w:eastAsia="vi-VN"/>
        </w:rPr>
      </w:pPr>
      <w:r>
        <w:rPr>
          <w:rFonts w:ascii="Arial" w:hAnsi="Arial" w:cs="Arial"/>
          <w:szCs w:val="26"/>
          <w:lang w:val="en-US" w:eastAsia="vi-VN"/>
        </w:rPr>
        <w:t xml:space="preserve">3. </w:t>
      </w:r>
      <w:r w:rsidR="00433BE7" w:rsidRPr="001B505A">
        <w:rPr>
          <w:rFonts w:ascii="Arial" w:hAnsi="Arial" w:cs="Arial"/>
          <w:szCs w:val="26"/>
          <w:lang w:eastAsia="vi-VN"/>
        </w:rPr>
        <w:t xml:space="preserve">DICJ, Resolution of Failed Financial Institutions, </w:t>
      </w:r>
      <w:hyperlink r:id="rId9" w:history="1">
        <w:r w:rsidR="00433BE7" w:rsidRPr="001B505A">
          <w:rPr>
            <w:rStyle w:val="Hyperlink"/>
            <w:rFonts w:ascii="Arial" w:hAnsi="Arial" w:cs="Arial"/>
            <w:szCs w:val="26"/>
            <w:lang w:eastAsia="vi-VN"/>
          </w:rPr>
          <w:t>https://www.dic.go.jp/english/e_katsudo/page_000268.html</w:t>
        </w:r>
      </w:hyperlink>
      <w:r w:rsidR="003D3DAF" w:rsidRPr="001B505A">
        <w:rPr>
          <w:rFonts w:ascii="Arial" w:hAnsi="Arial" w:cs="Arial"/>
          <w:szCs w:val="26"/>
          <w:lang w:val="en-US" w:eastAsia="vi-VN"/>
        </w:rPr>
        <w:t>.</w:t>
      </w:r>
    </w:p>
    <w:p w:rsidR="003D3DAF" w:rsidRPr="001B505A" w:rsidRDefault="001B505A" w:rsidP="001B505A">
      <w:pPr>
        <w:widowControl w:val="0"/>
        <w:tabs>
          <w:tab w:val="left" w:pos="851"/>
        </w:tabs>
        <w:spacing w:before="120" w:after="120"/>
        <w:rPr>
          <w:rFonts w:ascii="Arial" w:hAnsi="Arial" w:cs="Arial"/>
          <w:szCs w:val="26"/>
          <w:lang w:eastAsia="vi-VN"/>
        </w:rPr>
      </w:pPr>
      <w:r>
        <w:rPr>
          <w:rFonts w:ascii="Arial" w:hAnsi="Arial" w:cs="Arial"/>
          <w:szCs w:val="26"/>
          <w:lang w:val="en-US" w:eastAsia="vi-VN"/>
        </w:rPr>
        <w:t xml:space="preserve">5. </w:t>
      </w:r>
      <w:r w:rsidR="00FC3B9E" w:rsidRPr="001B505A">
        <w:rPr>
          <w:rFonts w:ascii="Arial" w:hAnsi="Arial" w:cs="Arial"/>
          <w:szCs w:val="26"/>
          <w:lang w:eastAsia="vi-VN"/>
        </w:rPr>
        <w:t xml:space="preserve">DICJ, 2014, Completion of liquidation of the Bridge Bank of Japan, </w:t>
      </w:r>
      <w:hyperlink r:id="rId10" w:history="1">
        <w:r w:rsidR="00FC3B9E" w:rsidRPr="001B505A">
          <w:rPr>
            <w:rFonts w:ascii="Arial" w:hAnsi="Arial" w:cs="Arial"/>
            <w:szCs w:val="26"/>
          </w:rPr>
          <w:t>https://www.dic.go.jp/english/e_katsudo/page_000270.html</w:t>
        </w:r>
      </w:hyperlink>
      <w:r w:rsidR="003D3DAF" w:rsidRPr="001B505A">
        <w:rPr>
          <w:rFonts w:ascii="Arial" w:hAnsi="Arial" w:cs="Arial"/>
          <w:szCs w:val="26"/>
          <w:lang w:val="en-US" w:eastAsia="vi-VN"/>
        </w:rPr>
        <w:t>.</w:t>
      </w:r>
      <w:r w:rsidR="00FC3B9E" w:rsidRPr="001B505A">
        <w:rPr>
          <w:rFonts w:ascii="Arial" w:hAnsi="Arial" w:cs="Arial"/>
          <w:szCs w:val="26"/>
          <w:lang w:eastAsia="vi-VN"/>
        </w:rPr>
        <w:t xml:space="preserve"> </w:t>
      </w:r>
    </w:p>
    <w:p w:rsidR="004741B7" w:rsidRPr="001B505A" w:rsidRDefault="001B505A" w:rsidP="001B505A">
      <w:pPr>
        <w:widowControl w:val="0"/>
        <w:tabs>
          <w:tab w:val="left" w:pos="851"/>
        </w:tabs>
        <w:spacing w:before="120" w:after="120"/>
        <w:rPr>
          <w:rFonts w:ascii="Arial" w:hAnsi="Arial" w:cs="Arial"/>
          <w:szCs w:val="26"/>
          <w:lang w:eastAsia="vi-VN"/>
        </w:rPr>
      </w:pPr>
      <w:r>
        <w:rPr>
          <w:rFonts w:ascii="Arial" w:hAnsi="Arial" w:cs="Arial"/>
          <w:lang w:val="en-US"/>
        </w:rPr>
        <w:t xml:space="preserve">6. </w:t>
      </w:r>
      <w:hyperlink r:id="rId11" w:history="1">
        <w:r w:rsidR="004741B7" w:rsidRPr="001B505A">
          <w:rPr>
            <w:rFonts w:ascii="Arial" w:hAnsi="Arial" w:cs="Arial"/>
            <w:szCs w:val="26"/>
          </w:rPr>
          <w:t>DICJ, Pursuit of Civil Liability via Litigation, https://www.dic.go.jp/english/e_katsudo/page_000415.html</w:t>
        </w:r>
      </w:hyperlink>
      <w:r w:rsidR="004741B7" w:rsidRPr="001B505A">
        <w:rPr>
          <w:rFonts w:ascii="Arial" w:hAnsi="Arial" w:cs="Arial"/>
          <w:szCs w:val="26"/>
          <w:lang w:eastAsia="vi-VN"/>
        </w:rPr>
        <w:t xml:space="preserve">. </w:t>
      </w:r>
    </w:p>
    <w:p w:rsidR="004741B7" w:rsidRPr="001B505A" w:rsidRDefault="001B505A" w:rsidP="001B505A">
      <w:pPr>
        <w:widowControl w:val="0"/>
        <w:tabs>
          <w:tab w:val="left" w:pos="851"/>
        </w:tabs>
        <w:spacing w:before="120" w:after="120"/>
        <w:rPr>
          <w:rFonts w:ascii="Arial" w:hAnsi="Arial" w:cs="Arial"/>
          <w:sz w:val="26"/>
          <w:szCs w:val="26"/>
          <w:lang w:eastAsia="vi-VN"/>
        </w:rPr>
      </w:pPr>
      <w:r>
        <w:rPr>
          <w:rFonts w:ascii="Arial" w:hAnsi="Arial" w:cs="Arial"/>
          <w:szCs w:val="26"/>
          <w:lang w:val="en-US" w:eastAsia="vi-VN"/>
        </w:rPr>
        <w:t xml:space="preserve">7. </w:t>
      </w:r>
      <w:r w:rsidR="004741B7" w:rsidRPr="001B505A">
        <w:rPr>
          <w:rFonts w:ascii="Arial" w:hAnsi="Arial" w:cs="Arial"/>
          <w:szCs w:val="26"/>
          <w:lang w:eastAsia="vi-VN"/>
        </w:rPr>
        <w:t>DICJ</w:t>
      </w:r>
      <w:r w:rsidR="004741B7" w:rsidRPr="001B505A">
        <w:rPr>
          <w:rFonts w:ascii="Arial" w:hAnsi="Arial" w:cs="Arial"/>
          <w:color w:val="000000" w:themeColor="text1"/>
          <w:szCs w:val="26"/>
          <w:lang w:eastAsia="vi-VN"/>
        </w:rPr>
        <w:t>, Collection Performance of the RCC,</w:t>
      </w:r>
      <w:r w:rsidR="004741B7" w:rsidRPr="001B505A">
        <w:rPr>
          <w:rFonts w:ascii="Arial" w:hAnsi="Arial" w:cs="Arial"/>
          <w:kern w:val="36"/>
          <w:szCs w:val="26"/>
        </w:rPr>
        <w:t xml:space="preserve"> </w:t>
      </w:r>
      <w:hyperlink r:id="rId12" w:history="1">
        <w:r w:rsidR="004741B7" w:rsidRPr="001B505A">
          <w:rPr>
            <w:rStyle w:val="Hyperlink"/>
            <w:rFonts w:ascii="Arial" w:hAnsi="Arial" w:cs="Arial"/>
            <w:szCs w:val="26"/>
            <w:lang w:eastAsia="vi-VN"/>
          </w:rPr>
          <w:t>https://www.dic.go.jp/english/e_katsudo/page_000413.html</w:t>
        </w:r>
      </w:hyperlink>
      <w:r w:rsidR="003D3DAF" w:rsidRPr="001B505A">
        <w:rPr>
          <w:rFonts w:ascii="Arial" w:hAnsi="Arial" w:cs="Arial"/>
          <w:szCs w:val="26"/>
          <w:lang w:val="en-US" w:eastAsia="vi-VN"/>
        </w:rPr>
        <w:t>.</w:t>
      </w:r>
    </w:p>
    <w:p w:rsidR="00DF4AD2" w:rsidRPr="001B505A" w:rsidRDefault="00DF4AD2" w:rsidP="001B505A">
      <w:pPr>
        <w:tabs>
          <w:tab w:val="left" w:pos="993"/>
        </w:tabs>
        <w:spacing w:before="120" w:after="120"/>
        <w:ind w:firstLine="567"/>
        <w:rPr>
          <w:rFonts w:ascii="Arial" w:hAnsi="Arial" w:cs="Arial"/>
          <w:sz w:val="26"/>
          <w:szCs w:val="26"/>
        </w:rPr>
      </w:pPr>
    </w:p>
    <w:sectPr w:rsidR="00DF4AD2" w:rsidRPr="001B505A" w:rsidSect="00297C94">
      <w:footerReference w:type="default" r:id="rId13"/>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B4D" w:rsidRDefault="00082B4D" w:rsidP="002F0B31">
      <w:pPr>
        <w:spacing w:after="0" w:line="240" w:lineRule="auto"/>
      </w:pPr>
      <w:r>
        <w:separator/>
      </w:r>
    </w:p>
  </w:endnote>
  <w:endnote w:type="continuationSeparator" w:id="0">
    <w:p w:rsidR="00082B4D" w:rsidRDefault="00082B4D" w:rsidP="002F0B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3180"/>
      <w:docPartObj>
        <w:docPartGallery w:val="Page Numbers (Bottom of Page)"/>
        <w:docPartUnique/>
      </w:docPartObj>
    </w:sdtPr>
    <w:sdtContent>
      <w:p w:rsidR="002F0B31" w:rsidRDefault="00AD5CD9">
        <w:pPr>
          <w:pStyle w:val="Footer"/>
          <w:jc w:val="center"/>
        </w:pPr>
        <w:r w:rsidRPr="00861DA1">
          <w:rPr>
            <w:rFonts w:ascii="Times New Roman" w:hAnsi="Times New Roman" w:cs="Times New Roman"/>
            <w:sz w:val="24"/>
            <w:szCs w:val="24"/>
          </w:rPr>
          <w:fldChar w:fldCharType="begin"/>
        </w:r>
        <w:r w:rsidR="00212C8D" w:rsidRPr="00861DA1">
          <w:rPr>
            <w:rFonts w:ascii="Times New Roman" w:hAnsi="Times New Roman" w:cs="Times New Roman"/>
            <w:sz w:val="24"/>
            <w:szCs w:val="24"/>
          </w:rPr>
          <w:instrText xml:space="preserve"> PAGE   \* MERGEFORMAT </w:instrText>
        </w:r>
        <w:r w:rsidRPr="00861DA1">
          <w:rPr>
            <w:rFonts w:ascii="Times New Roman" w:hAnsi="Times New Roman" w:cs="Times New Roman"/>
            <w:sz w:val="24"/>
            <w:szCs w:val="24"/>
          </w:rPr>
          <w:fldChar w:fldCharType="separate"/>
        </w:r>
        <w:r w:rsidR="000E5216">
          <w:rPr>
            <w:rFonts w:ascii="Times New Roman" w:hAnsi="Times New Roman" w:cs="Times New Roman"/>
            <w:noProof/>
            <w:sz w:val="24"/>
            <w:szCs w:val="24"/>
          </w:rPr>
          <w:t>3</w:t>
        </w:r>
        <w:r w:rsidRPr="00861DA1">
          <w:rPr>
            <w:rFonts w:ascii="Times New Roman" w:hAnsi="Times New Roman" w:cs="Times New Roman"/>
            <w:sz w:val="24"/>
            <w:szCs w:val="24"/>
          </w:rPr>
          <w:fldChar w:fldCharType="end"/>
        </w:r>
      </w:p>
    </w:sdtContent>
  </w:sdt>
  <w:p w:rsidR="002F0B31" w:rsidRDefault="002F0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B4D" w:rsidRDefault="00082B4D" w:rsidP="002F0B31">
      <w:pPr>
        <w:spacing w:after="0" w:line="240" w:lineRule="auto"/>
      </w:pPr>
      <w:r>
        <w:separator/>
      </w:r>
    </w:p>
  </w:footnote>
  <w:footnote w:type="continuationSeparator" w:id="0">
    <w:p w:rsidR="00082B4D" w:rsidRDefault="00082B4D" w:rsidP="002F0B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B0B23"/>
    <w:multiLevelType w:val="multilevel"/>
    <w:tmpl w:val="EF2C2AC4"/>
    <w:lvl w:ilvl="0">
      <w:start w:val="1"/>
      <w:numFmt w:val="decimal"/>
      <w:lvlText w:val="%1"/>
      <w:lvlJc w:val="left"/>
      <w:pPr>
        <w:ind w:left="405" w:hanging="405"/>
      </w:pPr>
      <w:rPr>
        <w:rFonts w:hint="default"/>
      </w:rPr>
    </w:lvl>
    <w:lvl w:ilvl="1">
      <w:start w:val="1"/>
      <w:numFmt w:val="decimal"/>
      <w:lvlText w:val="%1.%2"/>
      <w:lvlJc w:val="left"/>
      <w:pPr>
        <w:ind w:left="600" w:hanging="405"/>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1">
    <w:nsid w:val="2A0B3049"/>
    <w:multiLevelType w:val="hybridMultilevel"/>
    <w:tmpl w:val="4C5CD6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E3D1D81"/>
    <w:multiLevelType w:val="hybridMultilevel"/>
    <w:tmpl w:val="AB0C9F68"/>
    <w:lvl w:ilvl="0" w:tplc="7D5A4244">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71238B"/>
    <w:multiLevelType w:val="hybridMultilevel"/>
    <w:tmpl w:val="27B81204"/>
    <w:lvl w:ilvl="0" w:tplc="BF0A56E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533907E9"/>
    <w:multiLevelType w:val="hybridMultilevel"/>
    <w:tmpl w:val="FD5093B4"/>
    <w:lvl w:ilvl="0" w:tplc="042A000F">
      <w:start w:val="1"/>
      <w:numFmt w:val="decimal"/>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D0A6D37"/>
    <w:multiLevelType w:val="hybridMultilevel"/>
    <w:tmpl w:val="3F843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BD4FB6"/>
    <w:rsid w:val="00005914"/>
    <w:rsid w:val="000300E3"/>
    <w:rsid w:val="00053048"/>
    <w:rsid w:val="00070C0E"/>
    <w:rsid w:val="00082B4D"/>
    <w:rsid w:val="000943E8"/>
    <w:rsid w:val="000B010A"/>
    <w:rsid w:val="000D4D6F"/>
    <w:rsid w:val="000E5216"/>
    <w:rsid w:val="00123857"/>
    <w:rsid w:val="0012520E"/>
    <w:rsid w:val="00197C7B"/>
    <w:rsid w:val="001B505A"/>
    <w:rsid w:val="001C5A58"/>
    <w:rsid w:val="00212C8D"/>
    <w:rsid w:val="00247E0C"/>
    <w:rsid w:val="00264BB9"/>
    <w:rsid w:val="00297C94"/>
    <w:rsid w:val="002B1D9C"/>
    <w:rsid w:val="002B288D"/>
    <w:rsid w:val="002E0067"/>
    <w:rsid w:val="002F0B31"/>
    <w:rsid w:val="002F7ECC"/>
    <w:rsid w:val="0030316A"/>
    <w:rsid w:val="00317CF8"/>
    <w:rsid w:val="0038298F"/>
    <w:rsid w:val="00390BE0"/>
    <w:rsid w:val="00390C7C"/>
    <w:rsid w:val="003B7B76"/>
    <w:rsid w:val="003C5B07"/>
    <w:rsid w:val="003D3DAF"/>
    <w:rsid w:val="003E18A7"/>
    <w:rsid w:val="003F78E7"/>
    <w:rsid w:val="00411FE2"/>
    <w:rsid w:val="00416793"/>
    <w:rsid w:val="00433BE7"/>
    <w:rsid w:val="00445471"/>
    <w:rsid w:val="00447BC6"/>
    <w:rsid w:val="0045792C"/>
    <w:rsid w:val="004741B7"/>
    <w:rsid w:val="00474719"/>
    <w:rsid w:val="00496E28"/>
    <w:rsid w:val="004D2565"/>
    <w:rsid w:val="004E2498"/>
    <w:rsid w:val="00516137"/>
    <w:rsid w:val="0053591C"/>
    <w:rsid w:val="005441F3"/>
    <w:rsid w:val="005B4E7A"/>
    <w:rsid w:val="005D675C"/>
    <w:rsid w:val="005E1A1D"/>
    <w:rsid w:val="005F0886"/>
    <w:rsid w:val="006133EB"/>
    <w:rsid w:val="00652AB4"/>
    <w:rsid w:val="00670204"/>
    <w:rsid w:val="00687259"/>
    <w:rsid w:val="006C199F"/>
    <w:rsid w:val="006C432C"/>
    <w:rsid w:val="006E55FC"/>
    <w:rsid w:val="006F1A5B"/>
    <w:rsid w:val="007166AD"/>
    <w:rsid w:val="007349CD"/>
    <w:rsid w:val="00786F71"/>
    <w:rsid w:val="007F1D26"/>
    <w:rsid w:val="007F7E34"/>
    <w:rsid w:val="008160FD"/>
    <w:rsid w:val="008246C7"/>
    <w:rsid w:val="00861DA1"/>
    <w:rsid w:val="008677C3"/>
    <w:rsid w:val="0088349C"/>
    <w:rsid w:val="008B7FD8"/>
    <w:rsid w:val="008E485E"/>
    <w:rsid w:val="00942E0B"/>
    <w:rsid w:val="0095561B"/>
    <w:rsid w:val="009959B1"/>
    <w:rsid w:val="009E1004"/>
    <w:rsid w:val="009E1854"/>
    <w:rsid w:val="009E5407"/>
    <w:rsid w:val="00A23161"/>
    <w:rsid w:val="00A66B40"/>
    <w:rsid w:val="00A66E48"/>
    <w:rsid w:val="00AC0432"/>
    <w:rsid w:val="00AD5CD9"/>
    <w:rsid w:val="00AE268E"/>
    <w:rsid w:val="00B03B66"/>
    <w:rsid w:val="00B22B6A"/>
    <w:rsid w:val="00B22DC1"/>
    <w:rsid w:val="00B75C84"/>
    <w:rsid w:val="00B94204"/>
    <w:rsid w:val="00BC6406"/>
    <w:rsid w:val="00BD4FB6"/>
    <w:rsid w:val="00C33CD6"/>
    <w:rsid w:val="00C34984"/>
    <w:rsid w:val="00C65F1D"/>
    <w:rsid w:val="00C96B89"/>
    <w:rsid w:val="00CB7AE1"/>
    <w:rsid w:val="00CC7276"/>
    <w:rsid w:val="00D17D88"/>
    <w:rsid w:val="00D34B04"/>
    <w:rsid w:val="00D8612B"/>
    <w:rsid w:val="00DC302B"/>
    <w:rsid w:val="00DE4B2D"/>
    <w:rsid w:val="00DF4AD2"/>
    <w:rsid w:val="00EA5899"/>
    <w:rsid w:val="00F14984"/>
    <w:rsid w:val="00F166CA"/>
    <w:rsid w:val="00FC3B9E"/>
    <w:rsid w:val="00FE105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C7"/>
  </w:style>
  <w:style w:type="paragraph" w:styleId="Heading1">
    <w:name w:val="heading 1"/>
    <w:basedOn w:val="Normal"/>
    <w:next w:val="Normal"/>
    <w:link w:val="Heading1Char"/>
    <w:uiPriority w:val="9"/>
    <w:qFormat/>
    <w:rsid w:val="0041679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433B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91C"/>
    <w:pPr>
      <w:ind w:left="720"/>
      <w:contextualSpacing/>
    </w:pPr>
  </w:style>
  <w:style w:type="character" w:customStyle="1" w:styleId="Heading1Char">
    <w:name w:val="Heading 1 Char"/>
    <w:basedOn w:val="DefaultParagraphFont"/>
    <w:link w:val="Heading1"/>
    <w:uiPriority w:val="9"/>
    <w:rsid w:val="00416793"/>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416793"/>
    <w:rPr>
      <w:color w:val="0000FF" w:themeColor="hyperlink"/>
      <w:u w:val="single"/>
    </w:rPr>
  </w:style>
  <w:style w:type="paragraph" w:customStyle="1" w:styleId="4">
    <w:name w:val="4"/>
    <w:basedOn w:val="Normal"/>
    <w:qFormat/>
    <w:rsid w:val="00416793"/>
    <w:pPr>
      <w:widowControl w:val="0"/>
      <w:spacing w:after="0" w:line="360" w:lineRule="auto"/>
      <w:jc w:val="both"/>
    </w:pPr>
    <w:rPr>
      <w:rFonts w:ascii="Times New Roman" w:eastAsia="Times New Roman" w:hAnsi="Times New Roman" w:cs="Times New Roman"/>
      <w:i/>
      <w:spacing w:val="-4"/>
      <w:sz w:val="28"/>
      <w:szCs w:val="28"/>
      <w:lang w:val="de-DE"/>
    </w:rPr>
  </w:style>
  <w:style w:type="paragraph" w:customStyle="1" w:styleId="sodo">
    <w:name w:val="sodo"/>
    <w:basedOn w:val="Normal"/>
    <w:qFormat/>
    <w:rsid w:val="00416793"/>
    <w:pPr>
      <w:widowControl w:val="0"/>
      <w:spacing w:after="0" w:line="360" w:lineRule="auto"/>
      <w:jc w:val="center"/>
    </w:pPr>
    <w:rPr>
      <w:rFonts w:ascii="Times New Roman" w:eastAsia="Times New Roman" w:hAnsi="Times New Roman" w:cs="Times New Roman"/>
      <w:b/>
      <w:iCs/>
      <w:sz w:val="28"/>
      <w:szCs w:val="28"/>
      <w:lang w:val="en-US"/>
    </w:rPr>
  </w:style>
  <w:style w:type="paragraph" w:customStyle="1" w:styleId="bang">
    <w:name w:val="bang"/>
    <w:basedOn w:val="Normal"/>
    <w:qFormat/>
    <w:rsid w:val="00416793"/>
    <w:pPr>
      <w:widowControl w:val="0"/>
      <w:spacing w:after="0" w:line="360" w:lineRule="auto"/>
      <w:jc w:val="center"/>
    </w:pPr>
    <w:rPr>
      <w:rFonts w:ascii="Times New Roman" w:eastAsia="Times New Roman" w:hAnsi="Times New Roman" w:cs="Times New Roman"/>
      <w:b/>
      <w:sz w:val="28"/>
      <w:szCs w:val="28"/>
      <w:lang w:val="en-US"/>
    </w:rPr>
  </w:style>
  <w:style w:type="paragraph" w:styleId="Header">
    <w:name w:val="header"/>
    <w:basedOn w:val="Normal"/>
    <w:link w:val="HeaderChar"/>
    <w:uiPriority w:val="99"/>
    <w:semiHidden/>
    <w:unhideWhenUsed/>
    <w:rsid w:val="002F0B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0B31"/>
  </w:style>
  <w:style w:type="paragraph" w:styleId="Footer">
    <w:name w:val="footer"/>
    <w:basedOn w:val="Normal"/>
    <w:link w:val="FooterChar"/>
    <w:uiPriority w:val="99"/>
    <w:unhideWhenUsed/>
    <w:rsid w:val="002F0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B31"/>
  </w:style>
  <w:style w:type="character" w:styleId="FollowedHyperlink">
    <w:name w:val="FollowedHyperlink"/>
    <w:basedOn w:val="DefaultParagraphFont"/>
    <w:uiPriority w:val="99"/>
    <w:semiHidden/>
    <w:unhideWhenUsed/>
    <w:rsid w:val="0030316A"/>
    <w:rPr>
      <w:color w:val="800080" w:themeColor="followedHyperlink"/>
      <w:u w:val="single"/>
    </w:rPr>
  </w:style>
  <w:style w:type="character" w:customStyle="1" w:styleId="Heading2Char">
    <w:name w:val="Heading 2 Char"/>
    <w:basedOn w:val="DefaultParagraphFont"/>
    <w:link w:val="Heading2"/>
    <w:uiPriority w:val="9"/>
    <w:rsid w:val="00433BE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c.go.jp/english/e_katsudo/page_000210.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c.go.jp/english/e_katsudo/page_00041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thi-hong.hanh\Downloads\DICJ,%20Pursuit%20of%20Civil%20Liability%20via%20Litigation,%20https:\www.dic.go.jp\english\e_katsudo\page_00041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ic.go.jp/english/e_katsudo/page_000270.html" TargetMode="External"/><Relationship Id="rId4" Type="http://schemas.openxmlformats.org/officeDocument/2006/relationships/settings" Target="settings.xml"/><Relationship Id="rId9" Type="http://schemas.openxmlformats.org/officeDocument/2006/relationships/hyperlink" Target="https://www.dic.go.jp/english/e_katsudo/page_000268.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65C11-BD47-464E-B193-FFA5BE18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le-thi-hong.hanh</dc:creator>
  <cp:lastModifiedBy>huong.vumai</cp:lastModifiedBy>
  <cp:revision>5</cp:revision>
  <dcterms:created xsi:type="dcterms:W3CDTF">2018-08-09T07:08:00Z</dcterms:created>
  <dcterms:modified xsi:type="dcterms:W3CDTF">2018-08-09T07:12:00Z</dcterms:modified>
</cp:coreProperties>
</file>