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02" w:rsidRPr="00783D6A" w:rsidRDefault="003F61D0" w:rsidP="00783D6A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proofErr w:type="spellStart"/>
      <w:r w:rsidRPr="00783D6A">
        <w:rPr>
          <w:rFonts w:ascii="Arial" w:hAnsi="Arial" w:cs="Arial"/>
          <w:b w:val="0"/>
          <w:sz w:val="20"/>
          <w:szCs w:val="20"/>
        </w:rPr>
        <w:t>Cụ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thể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>:</w:t>
      </w:r>
      <w:r w:rsid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</w:t>
      </w:r>
      <w:r w:rsidR="00ED6E02" w:rsidRPr="00783D6A">
        <w:rPr>
          <w:rFonts w:ascii="Arial" w:hAnsi="Arial" w:cs="Arial"/>
          <w:b w:val="0"/>
          <w:sz w:val="20"/>
          <w:szCs w:val="20"/>
        </w:rPr>
        <w:t>ín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ngân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hàng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xuyên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biên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giới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130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USD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29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nghìn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USD,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nhưng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2% so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cùng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r w:rsidR="00937C25" w:rsidRPr="00783D6A">
        <w:rPr>
          <w:rFonts w:ascii="Arial" w:hAnsi="Arial" w:cs="Arial"/>
          <w:b w:val="0"/>
          <w:sz w:val="20"/>
          <w:szCs w:val="20"/>
        </w:rPr>
        <w:t xml:space="preserve">-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không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thay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đổi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ba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quý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gần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đây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đó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ngân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hàng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dành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định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chế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tài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chính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phi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ngân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hàng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ghi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nhận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kết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quả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nhất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như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quỹ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đầu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tư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tổ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đặc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biệt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tổng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cộng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7% so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cùng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="00ED6E02" w:rsidRPr="00783D6A">
        <w:rPr>
          <w:rFonts w:ascii="Arial" w:hAnsi="Arial" w:cs="Arial"/>
          <w:b w:val="0"/>
          <w:sz w:val="20"/>
          <w:szCs w:val="20"/>
        </w:rPr>
        <w:t xml:space="preserve">. </w:t>
      </w:r>
    </w:p>
    <w:p w:rsidR="00ED6E02" w:rsidRPr="00783D6A" w:rsidRDefault="00ED6E02" w:rsidP="00783D6A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  <w:proofErr w:type="spellStart"/>
      <w:r w:rsidRPr="00783D6A">
        <w:rPr>
          <w:rFonts w:ascii="Arial" w:hAnsi="Arial" w:cs="Arial"/>
          <w:b w:val="0"/>
          <w:sz w:val="20"/>
          <w:szCs w:val="20"/>
        </w:rPr>
        <w:t>Dữ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liệu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thống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kê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thấy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quốc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ghi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nhận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khác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biệt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giữa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quốc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gia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vùng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lãnh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thổ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đó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>,</w:t>
      </w:r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từ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37C25" w:rsidRPr="00783D6A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="00937C25" w:rsidRPr="00783D6A">
        <w:rPr>
          <w:rFonts w:ascii="Arial" w:hAnsi="Arial" w:cs="Arial"/>
          <w:b w:val="0"/>
          <w:sz w:val="20"/>
          <w:szCs w:val="20"/>
        </w:rPr>
        <w:t xml:space="preserve"> </w:t>
      </w:r>
      <w:r w:rsidRPr="00783D6A">
        <w:rPr>
          <w:rFonts w:ascii="Arial" w:hAnsi="Arial" w:cs="Arial"/>
          <w:b w:val="0"/>
          <w:sz w:val="20"/>
          <w:szCs w:val="20"/>
        </w:rPr>
        <w:t xml:space="preserve">6%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I/2018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khoảng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0%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II/2018.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Nhật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Bản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trung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tâm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hải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ngoại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ghi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nhận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khá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lần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lượt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9%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8%.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Trái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lại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dành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khách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khu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vực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euro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-1%. Sau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7%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I/2018,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dòng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nước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đang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triển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mới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nổi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(EMDEs)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II/2018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5%,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thấp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kỷ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lục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9%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b w:val="0"/>
          <w:sz w:val="20"/>
          <w:szCs w:val="20"/>
        </w:rPr>
        <w:t xml:space="preserve"> 2017. </w:t>
      </w:r>
    </w:p>
    <w:p w:rsidR="00ED6E02" w:rsidRPr="00783D6A" w:rsidRDefault="00ED6E02" w:rsidP="00783D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hAnsi="Arial" w:cs="Arial"/>
          <w:sz w:val="20"/>
          <w:szCs w:val="20"/>
        </w:rPr>
        <w:t>Giữa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vực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kinh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tế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cũng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ghi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xu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hướng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biệt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đáng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kể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về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cầu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. 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ngân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chế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vay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vốn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xuống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khoảng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0</w:t>
      </w:r>
      <w:proofErr w:type="gramStart"/>
      <w:r w:rsidRPr="00783D6A">
        <w:rPr>
          <w:rFonts w:ascii="Arial" w:hAnsi="Arial" w:cs="Arial"/>
          <w:sz w:val="20"/>
          <w:szCs w:val="20"/>
        </w:rPr>
        <w:t>,5</w:t>
      </w:r>
      <w:proofErr w:type="gramEnd"/>
      <w:r w:rsidRPr="00783D6A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dành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khách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thuộc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định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chế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tài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chính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783D6A">
        <w:rPr>
          <w:rFonts w:ascii="Arial" w:hAnsi="Arial" w:cs="Arial"/>
          <w:sz w:val="20"/>
          <w:szCs w:val="20"/>
        </w:rPr>
        <w:t>ngân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gần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3%.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dành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định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chế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tài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chính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783D6A">
        <w:rPr>
          <w:rFonts w:ascii="Arial" w:hAnsi="Arial" w:cs="Arial"/>
          <w:sz w:val="20"/>
          <w:szCs w:val="20"/>
        </w:rPr>
        <w:t>ngân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hAnsi="Arial" w:cs="Arial"/>
          <w:sz w:val="20"/>
          <w:szCs w:val="20"/>
        </w:rPr>
        <w:t>như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quỹ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đầu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tư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và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tổ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đặc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biệt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83D6A">
        <w:rPr>
          <w:rFonts w:ascii="Arial" w:hAnsi="Arial" w:cs="Arial"/>
          <w:sz w:val="20"/>
          <w:szCs w:val="20"/>
        </w:rPr>
        <w:t>tiếp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tục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mở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rộng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nhanh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chóng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7% - </w:t>
      </w:r>
      <w:proofErr w:type="spellStart"/>
      <w:r w:rsidRPr="00783D6A">
        <w:rPr>
          <w:rFonts w:ascii="Arial" w:hAnsi="Arial" w:cs="Arial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trưởng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trung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bình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kể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từ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giữa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2016. </w:t>
      </w:r>
    </w:p>
    <w:p w:rsidR="00ED6E02" w:rsidRPr="00783D6A" w:rsidRDefault="00ED6E02" w:rsidP="00783D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hAnsi="Arial" w:cs="Arial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II/2018, </w:t>
      </w:r>
      <w:proofErr w:type="spellStart"/>
      <w:r w:rsidRPr="00783D6A">
        <w:rPr>
          <w:rFonts w:ascii="Arial" w:hAnsi="Arial" w:cs="Arial"/>
          <w:sz w:val="20"/>
          <w:szCs w:val="20"/>
        </w:rPr>
        <w:t>dòng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EMDE</w:t>
      </w:r>
      <w:r w:rsidR="003F61D0" w:rsidRPr="00783D6A">
        <w:rPr>
          <w:rFonts w:ascii="Arial" w:hAnsi="Arial" w:cs="Arial"/>
          <w:sz w:val="20"/>
          <w:szCs w:val="20"/>
        </w:rPr>
        <w:t>s</w:t>
      </w:r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hAnsi="Arial" w:cs="Arial"/>
          <w:sz w:val="20"/>
          <w:szCs w:val="20"/>
        </w:rPr>
        <w:t>ghi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suy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đầu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tiên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kể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từ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2016, 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xuống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trưởng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dưới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5% 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thấp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7%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783D6A">
        <w:rPr>
          <w:rFonts w:ascii="Arial" w:hAnsi="Arial" w:cs="Arial"/>
          <w:sz w:val="20"/>
          <w:szCs w:val="20"/>
        </w:rPr>
        <w:t>Nguyên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nhân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chủ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yếu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là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thấp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tại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một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số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83D6A">
        <w:rPr>
          <w:rFonts w:ascii="Arial" w:hAnsi="Arial" w:cs="Arial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Brazil 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hAnsi="Arial" w:cs="Arial"/>
          <w:sz w:val="20"/>
          <w:szCs w:val="20"/>
        </w:rPr>
        <w:t>xóa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tan </w:t>
      </w:r>
      <w:proofErr w:type="spellStart"/>
      <w:r w:rsidRPr="00783D6A">
        <w:rPr>
          <w:rFonts w:ascii="Arial" w:hAnsi="Arial" w:cs="Arial"/>
          <w:sz w:val="20"/>
          <w:szCs w:val="20"/>
        </w:rPr>
        <w:t>thành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trưởng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quý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83D6A">
        <w:rPr>
          <w:rFonts w:ascii="Arial" w:hAnsi="Arial" w:cs="Arial"/>
          <w:sz w:val="20"/>
          <w:szCs w:val="20"/>
        </w:rPr>
        <w:t>Tiếp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đến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là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Ấn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Độ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13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USD), </w:t>
      </w:r>
      <w:proofErr w:type="spellStart"/>
      <w:r w:rsidRPr="00783D6A">
        <w:rPr>
          <w:rFonts w:ascii="Arial" w:hAnsi="Arial" w:cs="Arial"/>
          <w:sz w:val="20"/>
          <w:szCs w:val="20"/>
        </w:rPr>
        <w:t>Mêhicô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USD), Ba </w:t>
      </w:r>
      <w:proofErr w:type="gramStart"/>
      <w:r w:rsidRPr="00783D6A">
        <w:rPr>
          <w:rFonts w:ascii="Arial" w:hAnsi="Arial" w:cs="Arial"/>
          <w:sz w:val="20"/>
          <w:szCs w:val="20"/>
        </w:rPr>
        <w:t>Lan</w:t>
      </w:r>
      <w:proofErr w:type="gramEnd"/>
      <w:r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USD), </w:t>
      </w:r>
      <w:proofErr w:type="spellStart"/>
      <w:r w:rsidRPr="00783D6A">
        <w:rPr>
          <w:rFonts w:ascii="Arial" w:hAnsi="Arial" w:cs="Arial"/>
          <w:sz w:val="20"/>
          <w:szCs w:val="20"/>
        </w:rPr>
        <w:t>Thổ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Nhĩ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hAnsi="Arial" w:cs="Arial"/>
          <w:sz w:val="20"/>
          <w:szCs w:val="20"/>
        </w:rPr>
        <w:t>giảm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USD). </w:t>
      </w:r>
      <w:proofErr w:type="spellStart"/>
      <w:r w:rsidRPr="00783D6A">
        <w:rPr>
          <w:rFonts w:ascii="Arial" w:hAnsi="Arial" w:cs="Arial"/>
          <w:sz w:val="20"/>
          <w:szCs w:val="20"/>
        </w:rPr>
        <w:t>Trái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lại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tăng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tại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Đài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Bắc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(11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tỷ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USD),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Cộng</w:t>
      </w:r>
      <w:proofErr w:type="spellEnd"/>
      <w:r w:rsidR="003F61D0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hAnsi="Arial" w:cs="Arial"/>
          <w:sz w:val="20"/>
          <w:szCs w:val="20"/>
        </w:rPr>
        <w:t>hòa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Séc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(7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USD), Argentina (1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USD).</w:t>
      </w:r>
    </w:p>
    <w:p w:rsidR="00ED6E02" w:rsidRPr="00783D6A" w:rsidRDefault="00ED6E02" w:rsidP="00783D6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II/2018,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EMDE</w:t>
      </w:r>
      <w:r w:rsidR="003F61D0" w:rsidRPr="00783D6A">
        <w:rPr>
          <w:rFonts w:ascii="Arial" w:eastAsia="Times New Roman" w:hAnsi="Arial" w:cs="Arial"/>
          <w:sz w:val="20"/>
          <w:szCs w:val="20"/>
        </w:rPr>
        <w:t>s</w:t>
      </w:r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4</w:t>
      </w:r>
      <w:proofErr w:type="gramStart"/>
      <w:r w:rsidRPr="00783D6A">
        <w:rPr>
          <w:rFonts w:ascii="Arial" w:eastAsia="Times New Roman" w:hAnsi="Arial" w:cs="Arial"/>
          <w:sz w:val="20"/>
          <w:szCs w:val="20"/>
        </w:rPr>
        <w:t>,9</w:t>
      </w:r>
      <w:proofErr w:type="gram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nghìn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rủi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ro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khá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nhánh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ngoài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đang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EMDE</w:t>
      </w:r>
      <w:r w:rsidR="003F61D0" w:rsidRPr="00783D6A">
        <w:rPr>
          <w:rFonts w:ascii="Arial" w:eastAsia="Times New Roman" w:hAnsi="Arial" w:cs="Arial"/>
          <w:sz w:val="20"/>
          <w:szCs w:val="20"/>
        </w:rPr>
        <w:t>s</w:t>
      </w:r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2,8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nghìn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còn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khách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2,1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nghìn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USD.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Đáng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chú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ý,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ngoài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thông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qua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ba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tín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sung: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C</w:t>
      </w:r>
      <w:r w:rsidRPr="00783D6A">
        <w:rPr>
          <w:rFonts w:ascii="Arial" w:eastAsia="Times New Roman" w:hAnsi="Arial" w:cs="Arial"/>
          <w:sz w:val="20"/>
          <w:szCs w:val="20"/>
        </w:rPr>
        <w:t>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phái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sinh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122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II/2018),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phòng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rủi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ro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bán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sản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EMDE</w:t>
      </w:r>
      <w:r w:rsidR="003F61D0" w:rsidRPr="00783D6A">
        <w:rPr>
          <w:rFonts w:ascii="Arial" w:eastAsia="Times New Roman" w:hAnsi="Arial" w:cs="Arial"/>
          <w:sz w:val="20"/>
          <w:szCs w:val="20"/>
        </w:rPr>
        <w:t>s</w:t>
      </w:r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lãnh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634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nhóm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khách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trú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582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USD.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FF696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dòng</w:t>
      </w:r>
      <w:proofErr w:type="spellEnd"/>
      <w:r w:rsidR="00FF696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tín</w:t>
      </w:r>
      <w:proofErr w:type="spellEnd"/>
      <w:r w:rsidR="00FF696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="00FF696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FF696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6960"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EMDE</w:t>
      </w:r>
      <w:r w:rsidR="003F61D0" w:rsidRPr="00783D6A">
        <w:rPr>
          <w:rFonts w:ascii="Arial" w:eastAsia="Times New Roman" w:hAnsi="Arial" w:cs="Arial"/>
          <w:sz w:val="20"/>
          <w:szCs w:val="20"/>
        </w:rPr>
        <w:t>s</w:t>
      </w:r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cuố</w:t>
      </w:r>
      <w:r w:rsidR="003F61D0" w:rsidRPr="00783D6A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6/2018,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Vương</w:t>
      </w:r>
      <w:proofErr w:type="spellEnd"/>
      <w:r w:rsidR="003F61D0"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F61D0" w:rsidRPr="00783D6A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Anh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nợ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730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(718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USD),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Tây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Ban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Nha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(605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USD), CH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(494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USD).</w:t>
      </w:r>
    </w:p>
    <w:p w:rsidR="00DB28DF" w:rsidRPr="00783D6A" w:rsidRDefault="00ED6E02" w:rsidP="00783D6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vay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, BIS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783D6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số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thanh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khoản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proofErr w:type="gram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theo</w:t>
      </w:r>
      <w:proofErr w:type="spellEnd"/>
      <w:proofErr w:type="gram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các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loại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tiền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tệ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chủ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chốt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.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Cụ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thể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là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,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tín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dụng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USD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dành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cho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khách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ngoài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khu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vực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ngân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hàng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bên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ngoài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nước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Mỹ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tăng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nhanh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,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đạt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11,5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nghìn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tỷ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USD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vào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cuối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tháng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6/2018,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tăng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6% so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với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cùng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kỳ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năm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trước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.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Yếu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tố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cơ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bản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hỗ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trợ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tín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dụng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USD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tăng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cao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chủ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yếu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bắt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nguồn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từ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hoạt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động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cho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vay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phát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hành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chứng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>khoán</w:t>
      </w:r>
      <w:proofErr w:type="spellEnd"/>
      <w:r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với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mức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tăng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8</w:t>
      </w:r>
      <w:proofErr w:type="gram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,5</w:t>
      </w:r>
      <w:proofErr w:type="gram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% (so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với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cùng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kỳ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năm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trước</w:t>
      </w:r>
      <w:proofErr w:type="spellEnd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) </w:t>
      </w:r>
      <w:proofErr w:type="spellStart"/>
      <w:r w:rsidR="00F52ADB" w:rsidRPr="00783D6A">
        <w:rPr>
          <w:rFonts w:ascii="Arial" w:eastAsia="Times New Roman" w:hAnsi="Arial" w:cs="Arial"/>
          <w:bCs/>
          <w:kern w:val="36"/>
          <w:sz w:val="20"/>
          <w:szCs w:val="20"/>
        </w:rPr>
        <w:t>lên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6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nghìn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tỷ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USD</w:t>
      </w:r>
      <w:r w:rsidR="00DB28DF" w:rsidRPr="00783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Trong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khi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đó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tín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dụng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ngân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hàng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tăng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2</w:t>
      </w:r>
      <w:proofErr w:type="gramStart"/>
      <w:r w:rsidR="00DB28DF" w:rsidRPr="00783D6A">
        <w:rPr>
          <w:rFonts w:ascii="Arial" w:hAnsi="Arial" w:cs="Arial"/>
          <w:sz w:val="20"/>
          <w:szCs w:val="20"/>
        </w:rPr>
        <w:t>,5</w:t>
      </w:r>
      <w:proofErr w:type="gramEnd"/>
      <w:r w:rsidR="00DB28DF" w:rsidRPr="00783D6A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lên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5,5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nghìn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tỷ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USD.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Đáng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chú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ý, USD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tiếp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tục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chiếm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tỷ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trọng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áp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đảo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trong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hoạt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động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cho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vay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phát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hành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chứng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khoán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với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mức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tăng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trưởng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48%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vào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cuối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năm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2015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lên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52%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vào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cuối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tháng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6/2018. </w:t>
      </w:r>
    </w:p>
    <w:p w:rsidR="00DB28DF" w:rsidRPr="00783D6A" w:rsidRDefault="00A72745" w:rsidP="00783D6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hAnsi="Arial" w:cs="Arial"/>
          <w:sz w:val="20"/>
          <w:szCs w:val="20"/>
        </w:rPr>
        <w:t>Thống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kê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nêu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rõ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k</w:t>
      </w:r>
      <w:r w:rsidR="00DB28DF" w:rsidRPr="00783D6A">
        <w:rPr>
          <w:rFonts w:ascii="Arial" w:hAnsi="Arial" w:cs="Arial"/>
          <w:sz w:val="20"/>
          <w:szCs w:val="20"/>
        </w:rPr>
        <w:t>ết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quả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ước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lượng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tín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dụng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này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không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bao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gồm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vay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vốn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thông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nghiệp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vụ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hoán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đổi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ngoại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hối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hoặc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giao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dịch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kỳ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hạn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về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ngoại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hối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nghiệp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vụ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tạo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ra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các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nghĩa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vụ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tương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tự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nợ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vay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Phương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thức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vay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vốn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này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cũng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có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quy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mô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tương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tự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hoặc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cao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hơn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vớ</w:t>
      </w:r>
      <w:r w:rsidRPr="00783D6A">
        <w:rPr>
          <w:rFonts w:ascii="Arial" w:hAnsi="Arial" w:cs="Arial"/>
          <w:sz w:val="20"/>
          <w:szCs w:val="20"/>
        </w:rPr>
        <w:t>i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tín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dụng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ngân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hàng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và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vay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phát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hành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chứng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hAnsi="Arial" w:cs="Arial"/>
          <w:sz w:val="20"/>
          <w:szCs w:val="20"/>
        </w:rPr>
        <w:t>khoán</w:t>
      </w:r>
      <w:proofErr w:type="spellEnd"/>
      <w:r w:rsidR="00DB28DF" w:rsidRPr="00783D6A">
        <w:rPr>
          <w:rFonts w:ascii="Arial" w:hAnsi="Arial" w:cs="Arial"/>
          <w:sz w:val="20"/>
          <w:szCs w:val="20"/>
        </w:rPr>
        <w:t xml:space="preserve">. </w:t>
      </w:r>
    </w:p>
    <w:p w:rsidR="00DB28DF" w:rsidRPr="00783D6A" w:rsidRDefault="00DB28DF" w:rsidP="00783D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 USD,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t</w:t>
      </w:r>
      <w:r w:rsidR="00ED6E02" w:rsidRPr="00783D6A">
        <w:rPr>
          <w:rFonts w:ascii="Arial" w:hAnsi="Arial" w:cs="Arial"/>
          <w:bCs/>
          <w:kern w:val="36"/>
          <w:sz w:val="20"/>
          <w:szCs w:val="20"/>
        </w:rPr>
        <w:t>ín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dụng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Euro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dành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cho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khách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hàng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ngoài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khu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vực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ngân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hàng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bên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ngoài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khu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vực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euro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cũng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tăng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nhanh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,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đạt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3,1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nghìn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tỷ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Euro (3,7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tỷ</w:t>
      </w:r>
      <w:proofErr w:type="spellEnd"/>
      <w:r w:rsidR="00ED6E02" w:rsidRPr="00783D6A">
        <w:rPr>
          <w:rFonts w:ascii="Arial" w:hAnsi="Arial" w:cs="Arial"/>
          <w:bCs/>
          <w:kern w:val="36"/>
          <w:sz w:val="20"/>
          <w:szCs w:val="20"/>
        </w:rPr>
        <w:t xml:space="preserve"> USD), </w:t>
      </w:r>
      <w:proofErr w:type="spellStart"/>
      <w:r w:rsidR="00ED6E02" w:rsidRPr="00783D6A">
        <w:rPr>
          <w:rFonts w:ascii="Arial" w:hAnsi="Arial" w:cs="Arial"/>
          <w:bCs/>
          <w:kern w:val="36"/>
          <w:sz w:val="20"/>
          <w:szCs w:val="20"/>
        </w:rPr>
        <w:t>tăn</w:t>
      </w:r>
      <w:r w:rsidR="00F52ADB" w:rsidRPr="00783D6A">
        <w:rPr>
          <w:rFonts w:ascii="Arial" w:hAnsi="Arial" w:cs="Arial"/>
          <w:bCs/>
          <w:kern w:val="36"/>
          <w:sz w:val="20"/>
          <w:szCs w:val="20"/>
        </w:rPr>
        <w:t>g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 7% so </w:t>
      </w:r>
      <w:proofErr w:type="spellStart"/>
      <w:r w:rsidR="00F52ADB" w:rsidRPr="00783D6A">
        <w:rPr>
          <w:rFonts w:ascii="Arial" w:hAnsi="Arial" w:cs="Arial"/>
          <w:bCs/>
          <w:kern w:val="36"/>
          <w:sz w:val="20"/>
          <w:szCs w:val="20"/>
        </w:rPr>
        <w:t>với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bCs/>
          <w:kern w:val="36"/>
          <w:sz w:val="20"/>
          <w:szCs w:val="20"/>
        </w:rPr>
        <w:t>cùng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bCs/>
          <w:kern w:val="36"/>
          <w:sz w:val="20"/>
          <w:szCs w:val="20"/>
        </w:rPr>
        <w:t>kỳ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bCs/>
          <w:kern w:val="36"/>
          <w:sz w:val="20"/>
          <w:szCs w:val="20"/>
        </w:rPr>
        <w:t>năm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bCs/>
          <w:kern w:val="36"/>
          <w:sz w:val="20"/>
          <w:szCs w:val="20"/>
        </w:rPr>
        <w:t>trước</w:t>
      </w:r>
      <w:proofErr w:type="spellEnd"/>
      <w:r w:rsidR="00F52ADB" w:rsidRPr="00783D6A">
        <w:rPr>
          <w:rFonts w:ascii="Arial" w:hAnsi="Arial" w:cs="Arial"/>
          <w:bCs/>
          <w:kern w:val="36"/>
          <w:sz w:val="20"/>
          <w:szCs w:val="20"/>
        </w:rPr>
        <w:t xml:space="preserve">.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Trong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Cs/>
          <w:kern w:val="36"/>
          <w:sz w:val="20"/>
          <w:szCs w:val="20"/>
        </w:rPr>
        <w:t>đó</w:t>
      </w:r>
      <w:proofErr w:type="spellEnd"/>
      <w:r w:rsidRPr="00783D6A">
        <w:rPr>
          <w:rFonts w:ascii="Arial" w:hAnsi="Arial" w:cs="Arial"/>
          <w:bCs/>
          <w:kern w:val="36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ngân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8%, </w:t>
      </w:r>
      <w:proofErr w:type="spellStart"/>
      <w:r w:rsidRPr="00783D6A">
        <w:rPr>
          <w:rFonts w:ascii="Arial" w:hAnsi="Arial" w:cs="Arial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vay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chứng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khoán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6%.</w:t>
      </w:r>
    </w:p>
    <w:p w:rsidR="00ED6E02" w:rsidRPr="00783D6A" w:rsidRDefault="00937C25" w:rsidP="00783D6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sz w:val="20"/>
          <w:szCs w:val="20"/>
        </w:rPr>
      </w:pPr>
      <w:r w:rsidRPr="00783D6A">
        <w:rPr>
          <w:rFonts w:ascii="Arial" w:hAnsi="Arial" w:cs="Arial"/>
          <w:sz w:val="20"/>
          <w:szCs w:val="20"/>
        </w:rPr>
        <w:t xml:space="preserve">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>,</w:t>
      </w:r>
      <w:r w:rsidR="00DB28DF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proofErr w:type="spellStart"/>
      <w:r w:rsidR="00DB28DF" w:rsidRPr="00783D6A">
        <w:rPr>
          <w:rFonts w:ascii="Arial" w:eastAsia="Times New Roman" w:hAnsi="Arial" w:cs="Arial"/>
          <w:bCs/>
          <w:kern w:val="36"/>
          <w:sz w:val="20"/>
          <w:szCs w:val="20"/>
        </w:rPr>
        <w:t>t</w:t>
      </w:r>
      <w:r w:rsidR="00F52ADB" w:rsidRPr="00783D6A">
        <w:rPr>
          <w:rFonts w:ascii="Arial" w:hAnsi="Arial" w:cs="Arial"/>
          <w:sz w:val="20"/>
          <w:szCs w:val="20"/>
        </w:rPr>
        <w:t>ín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dụng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dành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cho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khách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hàng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ngân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hàng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tại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các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EMDE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7%</w:t>
      </w:r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lên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3,7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nghìn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tỷ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vào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cuối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tháng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6/2018,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chủ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yếu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là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cho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vay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thông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phát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hành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chứng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khoán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tăng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14% so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với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cùng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kỳ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năm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ADB"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="00F52ADB" w:rsidRPr="00783D6A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tháng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6/2018, </w:t>
      </w:r>
      <w:proofErr w:type="spellStart"/>
      <w:r w:rsidRPr="00783D6A">
        <w:rPr>
          <w:rFonts w:ascii="Arial" w:hAnsi="Arial" w:cs="Arial"/>
          <w:sz w:val="20"/>
          <w:szCs w:val="20"/>
        </w:rPr>
        <w:t>dư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vay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phát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hành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chứng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khoán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783D6A">
        <w:rPr>
          <w:rFonts w:ascii="Arial" w:hAnsi="Arial" w:cs="Arial"/>
          <w:sz w:val="20"/>
          <w:szCs w:val="20"/>
        </w:rPr>
        <w:t>tại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EMDE</w:t>
      </w:r>
      <w:r w:rsidR="003F61D0" w:rsidRPr="00783D6A">
        <w:rPr>
          <w:rFonts w:ascii="Arial" w:hAnsi="Arial" w:cs="Arial"/>
          <w:sz w:val="20"/>
          <w:szCs w:val="20"/>
        </w:rPr>
        <w:t>s</w:t>
      </w:r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44%, </w:t>
      </w:r>
      <w:proofErr w:type="spellStart"/>
      <w:r w:rsidRPr="00783D6A">
        <w:rPr>
          <w:rFonts w:ascii="Arial" w:hAnsi="Arial" w:cs="Arial"/>
          <w:sz w:val="20"/>
          <w:szCs w:val="20"/>
        </w:rPr>
        <w:t>cao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kết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quả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35%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2015.</w:t>
      </w:r>
      <w:r w:rsidR="00ED6E02" w:rsidRPr="00783D6A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</w:p>
    <w:p w:rsidR="00937C25" w:rsidRPr="00783D6A" w:rsidRDefault="00937C25" w:rsidP="00783D6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83D6A">
        <w:rPr>
          <w:rFonts w:ascii="Arial" w:hAnsi="Arial" w:cs="Arial"/>
          <w:sz w:val="20"/>
          <w:szCs w:val="20"/>
        </w:rPr>
        <w:t>Đến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tháng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6/2018, </w:t>
      </w:r>
      <w:proofErr w:type="spellStart"/>
      <w:r w:rsidRPr="00783D6A">
        <w:rPr>
          <w:rFonts w:ascii="Arial" w:hAnsi="Arial" w:cs="Arial"/>
          <w:sz w:val="20"/>
          <w:szCs w:val="20"/>
        </w:rPr>
        <w:t>dư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EMDE</w:t>
      </w:r>
      <w:r w:rsidR="003F61D0" w:rsidRPr="00783D6A">
        <w:rPr>
          <w:rFonts w:ascii="Arial" w:hAnsi="Arial" w:cs="Arial"/>
          <w:sz w:val="20"/>
          <w:szCs w:val="20"/>
        </w:rPr>
        <w:t>s</w:t>
      </w:r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đạt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661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Euro (711 </w:t>
      </w:r>
      <w:proofErr w:type="spellStart"/>
      <w:r w:rsidRPr="00783D6A">
        <w:rPr>
          <w:rFonts w:ascii="Arial" w:hAnsi="Arial" w:cs="Arial"/>
          <w:sz w:val="20"/>
          <w:szCs w:val="20"/>
        </w:rPr>
        <w:t>tỷ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USD),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11% 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cùng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kỳ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83D6A">
        <w:rPr>
          <w:rFonts w:ascii="Arial" w:hAnsi="Arial" w:cs="Arial"/>
          <w:sz w:val="20"/>
          <w:szCs w:val="20"/>
        </w:rPr>
        <w:t>Từ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cuối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năm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2014 </w:t>
      </w:r>
      <w:proofErr w:type="spellStart"/>
      <w:r w:rsidRPr="00783D6A">
        <w:rPr>
          <w:rFonts w:ascii="Arial" w:hAnsi="Arial" w:cs="Arial"/>
          <w:sz w:val="20"/>
          <w:szCs w:val="20"/>
        </w:rPr>
        <w:t>đến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dưới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dạng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783D6A">
        <w:rPr>
          <w:rFonts w:ascii="Arial" w:hAnsi="Arial" w:cs="Arial"/>
          <w:sz w:val="20"/>
          <w:szCs w:val="20"/>
        </w:rPr>
        <w:t>tăng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cao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hơn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783D6A">
        <w:rPr>
          <w:rFonts w:ascii="Arial" w:hAnsi="Arial" w:cs="Arial"/>
          <w:sz w:val="20"/>
          <w:szCs w:val="20"/>
        </w:rPr>
        <w:t>với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783D6A">
        <w:rPr>
          <w:rFonts w:ascii="Arial" w:hAnsi="Arial" w:cs="Arial"/>
          <w:sz w:val="20"/>
          <w:szCs w:val="20"/>
        </w:rPr>
        <w:t>nhất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là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tín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dụng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vào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nổi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châu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Á. </w:t>
      </w:r>
      <w:proofErr w:type="spellStart"/>
      <w:r w:rsidRPr="00783D6A">
        <w:rPr>
          <w:rFonts w:ascii="Arial" w:hAnsi="Arial" w:cs="Arial"/>
          <w:sz w:val="20"/>
          <w:szCs w:val="20"/>
        </w:rPr>
        <w:t>Tuy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nhiên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3D6A">
        <w:rPr>
          <w:rFonts w:ascii="Arial" w:hAnsi="Arial" w:cs="Arial"/>
          <w:sz w:val="20"/>
          <w:szCs w:val="20"/>
        </w:rPr>
        <w:t>trên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50% </w:t>
      </w:r>
      <w:proofErr w:type="spellStart"/>
      <w:r w:rsidRPr="00783D6A">
        <w:rPr>
          <w:rFonts w:ascii="Arial" w:hAnsi="Arial" w:cs="Arial"/>
          <w:sz w:val="20"/>
          <w:szCs w:val="20"/>
        </w:rPr>
        <w:t>dự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nợ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</w:t>
      </w:r>
      <w:r w:rsidR="003F61D0" w:rsidRPr="00783D6A">
        <w:rPr>
          <w:rFonts w:ascii="Arial" w:hAnsi="Arial" w:cs="Arial"/>
          <w:sz w:val="20"/>
          <w:szCs w:val="20"/>
        </w:rPr>
        <w:t>ậ</w:t>
      </w:r>
      <w:r w:rsidRPr="00783D6A">
        <w:rPr>
          <w:rFonts w:ascii="Arial" w:hAnsi="Arial" w:cs="Arial"/>
          <w:sz w:val="20"/>
          <w:szCs w:val="20"/>
        </w:rPr>
        <w:t>p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trung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tại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các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nước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mới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nổi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châu</w:t>
      </w:r>
      <w:proofErr w:type="spellEnd"/>
      <w:r w:rsidRPr="00783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sz w:val="20"/>
          <w:szCs w:val="20"/>
        </w:rPr>
        <w:t>Âu</w:t>
      </w:r>
      <w:proofErr w:type="spellEnd"/>
      <w:r w:rsidRPr="00783D6A">
        <w:rPr>
          <w:rFonts w:ascii="Arial" w:hAnsi="Arial" w:cs="Arial"/>
          <w:sz w:val="20"/>
          <w:szCs w:val="20"/>
        </w:rPr>
        <w:t>.</w:t>
      </w:r>
    </w:p>
    <w:p w:rsidR="003F61D0" w:rsidRPr="00783D6A" w:rsidRDefault="003F61D0" w:rsidP="00783D6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783D6A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783D6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783D6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83D6A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937C25" w:rsidRPr="00783D6A" w:rsidRDefault="00937C25" w:rsidP="00783D6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kern w:val="36"/>
          <w:sz w:val="20"/>
          <w:szCs w:val="20"/>
        </w:rPr>
      </w:pPr>
      <w:proofErr w:type="spellStart"/>
      <w:r w:rsidRPr="00783D6A">
        <w:rPr>
          <w:rFonts w:ascii="Arial" w:eastAsia="Times New Roman" w:hAnsi="Arial" w:cs="Arial"/>
          <w:bCs/>
          <w:i/>
          <w:kern w:val="36"/>
          <w:sz w:val="20"/>
          <w:szCs w:val="20"/>
        </w:rPr>
        <w:t>Nguồn</w:t>
      </w:r>
      <w:proofErr w:type="spellEnd"/>
      <w:r w:rsidRPr="00783D6A">
        <w:rPr>
          <w:rFonts w:ascii="Arial" w:eastAsia="Times New Roman" w:hAnsi="Arial" w:cs="Arial"/>
          <w:bCs/>
          <w:i/>
          <w:kern w:val="36"/>
          <w:sz w:val="20"/>
          <w:szCs w:val="20"/>
        </w:rPr>
        <w:t xml:space="preserve">: BIS </w:t>
      </w:r>
      <w:proofErr w:type="spellStart"/>
      <w:r w:rsidRPr="00783D6A">
        <w:rPr>
          <w:rFonts w:ascii="Arial" w:eastAsia="Times New Roman" w:hAnsi="Arial" w:cs="Arial"/>
          <w:bCs/>
          <w:i/>
          <w:kern w:val="36"/>
          <w:sz w:val="20"/>
          <w:szCs w:val="20"/>
        </w:rPr>
        <w:t>tháng</w:t>
      </w:r>
      <w:proofErr w:type="spellEnd"/>
      <w:r w:rsidRPr="00783D6A">
        <w:rPr>
          <w:rFonts w:ascii="Arial" w:eastAsia="Times New Roman" w:hAnsi="Arial" w:cs="Arial"/>
          <w:bCs/>
          <w:i/>
          <w:kern w:val="36"/>
          <w:sz w:val="20"/>
          <w:szCs w:val="20"/>
        </w:rPr>
        <w:t xml:space="preserve"> 10/2018</w:t>
      </w:r>
    </w:p>
    <w:sectPr w:rsidR="00937C25" w:rsidRPr="00783D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E4" w:rsidRDefault="00837BE4" w:rsidP="00ED6E02">
      <w:pPr>
        <w:spacing w:after="0" w:line="240" w:lineRule="auto"/>
      </w:pPr>
      <w:r>
        <w:separator/>
      </w:r>
    </w:p>
  </w:endnote>
  <w:endnote w:type="continuationSeparator" w:id="0">
    <w:p w:rsidR="00837BE4" w:rsidRDefault="00837BE4" w:rsidP="00ED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933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E02" w:rsidRDefault="00ED6E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3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6E02" w:rsidRDefault="00ED6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E4" w:rsidRDefault="00837BE4" w:rsidP="00ED6E02">
      <w:pPr>
        <w:spacing w:after="0" w:line="240" w:lineRule="auto"/>
      </w:pPr>
      <w:r>
        <w:separator/>
      </w:r>
    </w:p>
  </w:footnote>
  <w:footnote w:type="continuationSeparator" w:id="0">
    <w:p w:rsidR="00837BE4" w:rsidRDefault="00837BE4" w:rsidP="00ED6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268E9"/>
    <w:multiLevelType w:val="hybridMultilevel"/>
    <w:tmpl w:val="F0D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A7A1C"/>
    <w:multiLevelType w:val="multilevel"/>
    <w:tmpl w:val="C64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03F03"/>
    <w:multiLevelType w:val="multilevel"/>
    <w:tmpl w:val="217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A8"/>
    <w:rsid w:val="000C2670"/>
    <w:rsid w:val="001235E1"/>
    <w:rsid w:val="00231B1B"/>
    <w:rsid w:val="002625D9"/>
    <w:rsid w:val="003C2AE8"/>
    <w:rsid w:val="003F61D0"/>
    <w:rsid w:val="0048578E"/>
    <w:rsid w:val="004A27B8"/>
    <w:rsid w:val="004C7FEB"/>
    <w:rsid w:val="004D1ECE"/>
    <w:rsid w:val="00545A9A"/>
    <w:rsid w:val="00661611"/>
    <w:rsid w:val="00735231"/>
    <w:rsid w:val="00744EDB"/>
    <w:rsid w:val="00783D6A"/>
    <w:rsid w:val="007917A8"/>
    <w:rsid w:val="00837BE4"/>
    <w:rsid w:val="008A56BC"/>
    <w:rsid w:val="00937C25"/>
    <w:rsid w:val="00945F8A"/>
    <w:rsid w:val="00A15A2A"/>
    <w:rsid w:val="00A377C6"/>
    <w:rsid w:val="00A72745"/>
    <w:rsid w:val="00B9401E"/>
    <w:rsid w:val="00B961B8"/>
    <w:rsid w:val="00C747A7"/>
    <w:rsid w:val="00CE4BC7"/>
    <w:rsid w:val="00D813B4"/>
    <w:rsid w:val="00DA4614"/>
    <w:rsid w:val="00DB28DF"/>
    <w:rsid w:val="00DC52B5"/>
    <w:rsid w:val="00EC3093"/>
    <w:rsid w:val="00ED6E02"/>
    <w:rsid w:val="00F52ADB"/>
    <w:rsid w:val="00FA648C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222F9-D410-497C-AD6F-AA25CDB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1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7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A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45A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02"/>
  </w:style>
  <w:style w:type="paragraph" w:styleId="Footer">
    <w:name w:val="footer"/>
    <w:basedOn w:val="Normal"/>
    <w:link w:val="FooterChar"/>
    <w:uiPriority w:val="99"/>
    <w:unhideWhenUsed/>
    <w:rsid w:val="00ED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2018-11-01T01:44:00Z</dcterms:created>
  <dcterms:modified xsi:type="dcterms:W3CDTF">2018-11-01T01:45:00Z</dcterms:modified>
</cp:coreProperties>
</file>