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DB1" w:rsidRPr="00EC52EC" w:rsidRDefault="003023F5" w:rsidP="00EC52EC">
      <w:pPr>
        <w:spacing w:after="0" w:line="240" w:lineRule="auto"/>
        <w:jc w:val="both"/>
        <w:rPr>
          <w:rFonts w:ascii="Arial" w:hAnsi="Arial" w:cs="Arial"/>
          <w:sz w:val="20"/>
          <w:szCs w:val="20"/>
        </w:rPr>
      </w:pPr>
      <w:bookmarkStart w:id="0" w:name="_GoBack"/>
      <w:bookmarkEnd w:id="0"/>
      <w:r w:rsidRPr="00EC52EC">
        <w:rPr>
          <w:rFonts w:ascii="Arial" w:hAnsi="Arial" w:cs="Arial"/>
          <w:sz w:val="20"/>
          <w:szCs w:val="20"/>
        </w:rPr>
        <w:t>16 ngân hàng</w:t>
      </w:r>
      <w:r w:rsidRPr="00EC52EC">
        <w:rPr>
          <w:rFonts w:ascii="Arial" w:hAnsi="Arial" w:cs="Arial"/>
          <w:sz w:val="20"/>
          <w:szCs w:val="20"/>
        </w:rPr>
        <w:t xml:space="preserve"> </w:t>
      </w:r>
      <w:r w:rsidR="00211DB1" w:rsidRPr="00EC52EC">
        <w:rPr>
          <w:rFonts w:ascii="Arial" w:hAnsi="Arial" w:cs="Arial"/>
          <w:sz w:val="20"/>
          <w:szCs w:val="20"/>
        </w:rPr>
        <w:t>được Moody’s đánh giá đợt này bao gồm: Ngân hàng TMCP An Bình (ABBank); Ngân hàng TMCP Á Châu (ACB); Ngân hàng TMCP Phát triển Thành phố Hồ Chí Minh (HDBank); Ngân hàng TMCP Ngoại thương (Vietcombank); Ngân hàng TMCP Đầu tư và Phát triển (BIDV); Ngân hàng TMCP Bưu điện Liên Việt (LienVietPostbank); Ngân hàng TMCP Quân đội (MB), Ngân hàng TMCP Phương Đông (OCB); Ngân hàng TMCP Sài Gòn - Hà Nội (SHB); Ngân hàng TMCP Sài Gòn Thương Tín (Sacombank); Ngân hàng TMCP Tiên Phong (TPBank); Ngân hàng Quốc tế (VIB); Ngân hàng TMCP Công thương (VietinBank); Ngân hàng TMCP Hàng hải Việt Nam (MSB); Ngân hàng TMCP Việt Nam Thịnh vượng (VP Bank); Ngân hàng TMCP Kỹ thương (Techcombank).</w:t>
      </w:r>
    </w:p>
    <w:p w:rsidR="006F5DBE" w:rsidRPr="00EC52EC" w:rsidRDefault="006F5DBE" w:rsidP="00EC52EC">
      <w:pPr>
        <w:spacing w:after="0" w:line="240" w:lineRule="auto"/>
        <w:jc w:val="both"/>
        <w:rPr>
          <w:rFonts w:ascii="Arial" w:hAnsi="Arial" w:cs="Arial"/>
          <w:sz w:val="20"/>
          <w:szCs w:val="20"/>
        </w:rPr>
      </w:pPr>
      <w:r w:rsidRPr="00EC52EC">
        <w:rPr>
          <w:rFonts w:ascii="Arial" w:hAnsi="Arial" w:cs="Arial"/>
          <w:sz w:val="20"/>
          <w:szCs w:val="20"/>
        </w:rPr>
        <w:t>Moody’s cũng đã nâng xếp hạng rủi ro đối tác lâu dài (CRR) và đánh giá rủi ro đối tác (CRA) của 8 ngân hàng và xác nhận tương tự cho 8 ngân hàng khác; nâng đánh giá tín dụng cơ sở (BCA) và BCA được điều chỉnh của 12 ngân hàng và xác nhận tương tự cho 4 ngân hàng còn lại.</w:t>
      </w:r>
    </w:p>
    <w:p w:rsidR="006F5DBE" w:rsidRPr="00EC52EC" w:rsidRDefault="00211DB1" w:rsidP="00EC52EC">
      <w:pPr>
        <w:spacing w:after="0" w:line="240" w:lineRule="auto"/>
        <w:jc w:val="both"/>
        <w:rPr>
          <w:rFonts w:ascii="Arial" w:hAnsi="Arial" w:cs="Arial"/>
          <w:sz w:val="20"/>
          <w:szCs w:val="20"/>
        </w:rPr>
      </w:pPr>
      <w:r w:rsidRPr="00EC52EC">
        <w:rPr>
          <w:rFonts w:ascii="Arial" w:hAnsi="Arial" w:cs="Arial"/>
          <w:sz w:val="20"/>
          <w:szCs w:val="20"/>
        </w:rPr>
        <w:t>Đối với</w:t>
      </w:r>
      <w:r w:rsidR="006F5DBE" w:rsidRPr="00EC52EC">
        <w:rPr>
          <w:rFonts w:ascii="Arial" w:hAnsi="Arial" w:cs="Arial"/>
          <w:sz w:val="20"/>
          <w:szCs w:val="20"/>
        </w:rPr>
        <w:t xml:space="preserve"> Sacombank, triển vọng đã được chuyển thành “ổn định” từ “tiêu cực”. Triển vọng của 15 ngân hàng còn lại vẫn được giữ nguyên ở mức “ổn định”.</w:t>
      </w:r>
    </w:p>
    <w:p w:rsidR="006F5DBE" w:rsidRPr="00EC52EC" w:rsidRDefault="003023F5" w:rsidP="00EC52EC">
      <w:pPr>
        <w:spacing w:after="0" w:line="240" w:lineRule="auto"/>
        <w:jc w:val="both"/>
        <w:rPr>
          <w:rFonts w:ascii="Arial" w:hAnsi="Arial" w:cs="Arial"/>
          <w:sz w:val="20"/>
          <w:szCs w:val="20"/>
        </w:rPr>
      </w:pPr>
      <w:r w:rsidRPr="00EC52EC">
        <w:rPr>
          <w:rFonts w:ascii="Arial" w:hAnsi="Arial" w:cs="Arial"/>
          <w:sz w:val="20"/>
          <w:szCs w:val="20"/>
        </w:rPr>
        <w:t>Việc</w:t>
      </w:r>
      <w:r w:rsidR="006F5DBE" w:rsidRPr="00EC52EC">
        <w:rPr>
          <w:rFonts w:ascii="Arial" w:hAnsi="Arial" w:cs="Arial"/>
          <w:sz w:val="20"/>
          <w:szCs w:val="20"/>
        </w:rPr>
        <w:t xml:space="preserve"> nâng xếp hạng tín nhiệm của Moody’s đối với các ngân hàng Việt</w:t>
      </w:r>
      <w:r w:rsidRPr="00EC52EC">
        <w:rPr>
          <w:rFonts w:ascii="Arial" w:hAnsi="Arial" w:cs="Arial"/>
          <w:sz w:val="20"/>
          <w:szCs w:val="20"/>
        </w:rPr>
        <w:t xml:space="preserve"> Nam</w:t>
      </w:r>
      <w:r w:rsidR="006F5DBE" w:rsidRPr="00EC52EC">
        <w:rPr>
          <w:rFonts w:ascii="Arial" w:hAnsi="Arial" w:cs="Arial"/>
          <w:sz w:val="20"/>
          <w:szCs w:val="20"/>
        </w:rPr>
        <w:t xml:space="preserve"> lần này phản ánh kỳ vọ</w:t>
      </w:r>
      <w:r w:rsidRPr="00EC52EC">
        <w:rPr>
          <w:rFonts w:ascii="Arial" w:hAnsi="Arial" w:cs="Arial"/>
          <w:sz w:val="20"/>
          <w:szCs w:val="20"/>
        </w:rPr>
        <w:t>ng</w:t>
      </w:r>
      <w:r w:rsidR="006F5DBE" w:rsidRPr="00EC52EC">
        <w:rPr>
          <w:rFonts w:ascii="Arial" w:hAnsi="Arial" w:cs="Arial"/>
          <w:sz w:val="20"/>
          <w:szCs w:val="20"/>
        </w:rPr>
        <w:t xml:space="preserve"> sự tăng trưởng kinh tế mạnh mẽ rõ ràng ở Việt Nam sẽ hỗ trợ chất lượng tài sản và lợi nhuận của các ngân hàng.</w:t>
      </w:r>
      <w:r w:rsidRPr="00EC52EC">
        <w:rPr>
          <w:rFonts w:ascii="Arial" w:hAnsi="Arial" w:cs="Arial"/>
          <w:sz w:val="20"/>
          <w:szCs w:val="20"/>
        </w:rPr>
        <w:t xml:space="preserve"> </w:t>
      </w:r>
      <w:r w:rsidR="006F5DBE" w:rsidRPr="00EC52EC">
        <w:rPr>
          <w:rFonts w:ascii="Arial" w:hAnsi="Arial" w:cs="Arial"/>
          <w:sz w:val="20"/>
          <w:szCs w:val="20"/>
        </w:rPr>
        <w:t xml:space="preserve">Moody’s cho biết, việc nâng </w:t>
      </w:r>
      <w:r w:rsidRPr="00EC52EC">
        <w:rPr>
          <w:rFonts w:ascii="Arial" w:hAnsi="Arial" w:cs="Arial"/>
          <w:sz w:val="20"/>
          <w:szCs w:val="20"/>
        </w:rPr>
        <w:t>đánh giá tín dụng cơ sở (BCA)</w:t>
      </w:r>
      <w:r w:rsidR="006F5DBE" w:rsidRPr="00EC52EC">
        <w:rPr>
          <w:rFonts w:ascii="Arial" w:hAnsi="Arial" w:cs="Arial"/>
          <w:sz w:val="20"/>
          <w:szCs w:val="20"/>
        </w:rPr>
        <w:t xml:space="preserve"> của Vietcombank, BIDV và VietinBank chủ yếu </w:t>
      </w:r>
      <w:r w:rsidR="006F5DBE" w:rsidRPr="00EC52EC">
        <w:rPr>
          <w:rFonts w:ascii="Arial" w:hAnsi="Arial" w:cs="Arial"/>
          <w:i/>
          <w:sz w:val="20"/>
          <w:szCs w:val="20"/>
        </w:rPr>
        <w:t>do những cải thiện về chất lượng tài sản của các ngân hàng này</w:t>
      </w:r>
      <w:r w:rsidR="006F5DBE" w:rsidRPr="00EC52EC">
        <w:rPr>
          <w:rFonts w:ascii="Arial" w:hAnsi="Arial" w:cs="Arial"/>
          <w:sz w:val="20"/>
          <w:szCs w:val="20"/>
        </w:rPr>
        <w:t>. Nguồn vốn và thanh khoản của các ngân hàng này ổn định do ít phụ thuộc hơn vào các quỹ thị trường. Tuy nhiên, vốn vẫn là điểm yếu của cả 3 ngân hàng.</w:t>
      </w:r>
      <w:r w:rsidRPr="00EC52EC">
        <w:rPr>
          <w:rFonts w:ascii="Arial" w:hAnsi="Arial" w:cs="Arial"/>
          <w:sz w:val="20"/>
          <w:szCs w:val="20"/>
        </w:rPr>
        <w:t xml:space="preserve"> </w:t>
      </w:r>
      <w:r w:rsidR="006F5DBE" w:rsidRPr="00EC52EC">
        <w:rPr>
          <w:rFonts w:ascii="Arial" w:hAnsi="Arial" w:cs="Arial"/>
          <w:sz w:val="20"/>
          <w:szCs w:val="20"/>
        </w:rPr>
        <w:t xml:space="preserve">Trong khi việc nâng BCA của ABBank, ACB, MB, OCB, TPBank, VIB và Techcombank </w:t>
      </w:r>
      <w:r w:rsidR="006F5DBE" w:rsidRPr="00EC52EC">
        <w:rPr>
          <w:rFonts w:ascii="Arial" w:hAnsi="Arial" w:cs="Arial"/>
          <w:i/>
          <w:sz w:val="20"/>
          <w:szCs w:val="20"/>
        </w:rPr>
        <w:t>do những cải thiện về sức mạnh tín dụng nội tại của các ngân hàng này, đặc biệt là những tiến bộ trong việc xử lý các tài sản có vấn đề</w:t>
      </w:r>
      <w:r w:rsidR="006F5DBE" w:rsidRPr="00EC52EC">
        <w:rPr>
          <w:rFonts w:ascii="Arial" w:hAnsi="Arial" w:cs="Arial"/>
          <w:sz w:val="20"/>
          <w:szCs w:val="20"/>
        </w:rPr>
        <w:t xml:space="preserve">. </w:t>
      </w:r>
      <w:r w:rsidRPr="00EC52EC">
        <w:rPr>
          <w:rFonts w:ascii="Arial" w:hAnsi="Arial" w:cs="Arial"/>
          <w:sz w:val="20"/>
          <w:szCs w:val="20"/>
        </w:rPr>
        <w:t>Còn</w:t>
      </w:r>
      <w:r w:rsidR="006F5DBE" w:rsidRPr="00EC52EC">
        <w:rPr>
          <w:rFonts w:ascii="Arial" w:hAnsi="Arial" w:cs="Arial"/>
          <w:sz w:val="20"/>
          <w:szCs w:val="20"/>
        </w:rPr>
        <w:t xml:space="preserve"> OCB, TPBank và Te</w:t>
      </w:r>
      <w:r w:rsidRPr="00EC52EC">
        <w:rPr>
          <w:rFonts w:ascii="Arial" w:hAnsi="Arial" w:cs="Arial"/>
          <w:sz w:val="20"/>
          <w:szCs w:val="20"/>
        </w:rPr>
        <w:t>chcombank</w:t>
      </w:r>
      <w:r w:rsidR="006F5DBE" w:rsidRPr="00EC52EC">
        <w:rPr>
          <w:rFonts w:ascii="Arial" w:hAnsi="Arial" w:cs="Arial"/>
          <w:sz w:val="20"/>
          <w:szCs w:val="20"/>
        </w:rPr>
        <w:t xml:space="preserve"> </w:t>
      </w:r>
      <w:r w:rsidR="006F5DBE" w:rsidRPr="00EC52EC">
        <w:rPr>
          <w:rFonts w:ascii="Arial" w:hAnsi="Arial" w:cs="Arial"/>
          <w:i/>
          <w:sz w:val="20"/>
          <w:szCs w:val="20"/>
        </w:rPr>
        <w:t>nhờ việc tăng cường vốn hóa.</w:t>
      </w:r>
      <w:r w:rsidR="006F5DBE" w:rsidRPr="00EC52EC">
        <w:rPr>
          <w:rFonts w:ascii="Arial" w:hAnsi="Arial" w:cs="Arial"/>
          <w:sz w:val="20"/>
          <w:szCs w:val="20"/>
        </w:rPr>
        <w:t xml:space="preserve"> Moody’s cũng kỳ vọng lợi nhuận của 7 ngân hàng này sẽ được cải thiện trong vòng 12</w:t>
      </w:r>
      <w:r w:rsidRPr="00EC52EC">
        <w:rPr>
          <w:rFonts w:ascii="Arial" w:hAnsi="Arial" w:cs="Arial"/>
          <w:sz w:val="20"/>
          <w:szCs w:val="20"/>
        </w:rPr>
        <w:t xml:space="preserve"> đến </w:t>
      </w:r>
      <w:r w:rsidR="006F5DBE" w:rsidRPr="00EC52EC">
        <w:rPr>
          <w:rFonts w:ascii="Arial" w:hAnsi="Arial" w:cs="Arial"/>
          <w:sz w:val="20"/>
          <w:szCs w:val="20"/>
        </w:rPr>
        <w:t>18 tháng tới do chi phí tín dụng giảm.</w:t>
      </w:r>
      <w:r w:rsidRPr="00EC52EC">
        <w:rPr>
          <w:rFonts w:ascii="Arial" w:hAnsi="Arial" w:cs="Arial"/>
          <w:sz w:val="20"/>
          <w:szCs w:val="20"/>
        </w:rPr>
        <w:t xml:space="preserve"> V</w:t>
      </w:r>
      <w:r w:rsidR="006F5DBE" w:rsidRPr="00EC52EC">
        <w:rPr>
          <w:rFonts w:ascii="Arial" w:hAnsi="Arial" w:cs="Arial"/>
          <w:sz w:val="20"/>
          <w:szCs w:val="20"/>
        </w:rPr>
        <w:t xml:space="preserve">iệc nâng BCA của VPBank là do Moody’s </w:t>
      </w:r>
      <w:r w:rsidR="006F5DBE" w:rsidRPr="00EC52EC">
        <w:rPr>
          <w:rFonts w:ascii="Arial" w:hAnsi="Arial" w:cs="Arial"/>
          <w:i/>
          <w:sz w:val="20"/>
          <w:szCs w:val="20"/>
        </w:rPr>
        <w:t>có tính đến khả năng sinh lời cao và vốn hóa mạnh, bù đắp rủi ro tín dụng cao từ danh mục tài chính tiêu dùng của ngân hàng này</w:t>
      </w:r>
      <w:r w:rsidR="006F5DBE" w:rsidRPr="00EC52EC">
        <w:rPr>
          <w:rFonts w:ascii="Arial" w:hAnsi="Arial" w:cs="Arial"/>
          <w:sz w:val="20"/>
          <w:szCs w:val="20"/>
        </w:rPr>
        <w:t>.</w:t>
      </w:r>
    </w:p>
    <w:p w:rsidR="006F5DBE" w:rsidRPr="00EC52EC" w:rsidRDefault="003023F5" w:rsidP="00EC52EC">
      <w:pPr>
        <w:spacing w:after="0" w:line="240" w:lineRule="auto"/>
        <w:jc w:val="both"/>
        <w:rPr>
          <w:rFonts w:ascii="Arial" w:hAnsi="Arial" w:cs="Arial"/>
          <w:sz w:val="20"/>
          <w:szCs w:val="20"/>
        </w:rPr>
      </w:pPr>
      <w:r w:rsidRPr="00EC52EC">
        <w:rPr>
          <w:rFonts w:ascii="Arial" w:hAnsi="Arial" w:cs="Arial"/>
          <w:sz w:val="20"/>
          <w:szCs w:val="20"/>
        </w:rPr>
        <w:t>Đối v</w:t>
      </w:r>
      <w:r w:rsidR="006F5DBE" w:rsidRPr="00EC52EC">
        <w:rPr>
          <w:rFonts w:ascii="Arial" w:hAnsi="Arial" w:cs="Arial"/>
          <w:sz w:val="20"/>
          <w:szCs w:val="20"/>
        </w:rPr>
        <w:t xml:space="preserve">ới HDBank, việc Moody’s nâng BCA của ngân hàng này chủ yếu là </w:t>
      </w:r>
      <w:r w:rsidR="006F5DBE" w:rsidRPr="00EC52EC">
        <w:rPr>
          <w:rFonts w:ascii="Arial" w:hAnsi="Arial" w:cs="Arial"/>
          <w:i/>
          <w:sz w:val="20"/>
          <w:szCs w:val="20"/>
        </w:rPr>
        <w:t>nhờ sự cải thiện về vốn hóa và khả năng sinh lời</w:t>
      </w:r>
      <w:r w:rsidR="006F5DBE" w:rsidRPr="00EC52EC">
        <w:rPr>
          <w:rFonts w:ascii="Arial" w:hAnsi="Arial" w:cs="Arial"/>
          <w:sz w:val="20"/>
          <w:szCs w:val="20"/>
        </w:rPr>
        <w:t>. 4 ngân hàng còn lại, Moody’s cho biết, việc xác nhận BCA của MSB, SHB và LienVietPostBank phản ánh kỳ vọng của Moody’s rằng hồ sơ tín dụng của các ngân hàng sẽ vẫn ổn định trong vòng 12</w:t>
      </w:r>
      <w:r w:rsidRPr="00EC52EC">
        <w:rPr>
          <w:rFonts w:ascii="Arial" w:hAnsi="Arial" w:cs="Arial"/>
          <w:sz w:val="20"/>
          <w:szCs w:val="20"/>
        </w:rPr>
        <w:t xml:space="preserve"> đến </w:t>
      </w:r>
      <w:r w:rsidR="006F5DBE" w:rsidRPr="00EC52EC">
        <w:rPr>
          <w:rFonts w:ascii="Arial" w:hAnsi="Arial" w:cs="Arial"/>
          <w:sz w:val="20"/>
          <w:szCs w:val="20"/>
        </w:rPr>
        <w:t xml:space="preserve">18 tháng tới. Theo </w:t>
      </w:r>
      <w:r w:rsidRPr="00EC52EC">
        <w:rPr>
          <w:rFonts w:ascii="Arial" w:hAnsi="Arial" w:cs="Arial"/>
          <w:sz w:val="20"/>
          <w:szCs w:val="20"/>
        </w:rPr>
        <w:t>Moody’s</w:t>
      </w:r>
      <w:r w:rsidRPr="00EC52EC">
        <w:rPr>
          <w:rFonts w:ascii="Arial" w:hAnsi="Arial" w:cs="Arial"/>
          <w:sz w:val="20"/>
          <w:szCs w:val="20"/>
        </w:rPr>
        <w:t xml:space="preserve"> </w:t>
      </w:r>
      <w:r w:rsidR="006F5DBE" w:rsidRPr="00EC52EC">
        <w:rPr>
          <w:rFonts w:ascii="Arial" w:hAnsi="Arial" w:cs="Arial"/>
          <w:sz w:val="20"/>
          <w:szCs w:val="20"/>
        </w:rPr>
        <w:t>này, mặc dù khả năng thanh toán của các ngân hàng trên là khiêm tốn so với những ngân hàng được xếp hạng khác, nhưng phần nào được cân đối bằng nguồn vốn và thanh khoản của họ.</w:t>
      </w:r>
      <w:r w:rsidRPr="00EC52EC">
        <w:rPr>
          <w:rFonts w:ascii="Arial" w:hAnsi="Arial" w:cs="Arial"/>
          <w:sz w:val="20"/>
          <w:szCs w:val="20"/>
        </w:rPr>
        <w:t xml:space="preserve"> </w:t>
      </w:r>
      <w:r w:rsidR="006F5DBE" w:rsidRPr="00EC52EC">
        <w:rPr>
          <w:rFonts w:ascii="Arial" w:hAnsi="Arial" w:cs="Arial"/>
          <w:sz w:val="20"/>
          <w:szCs w:val="20"/>
        </w:rPr>
        <w:t>Trong khi</w:t>
      </w:r>
      <w:r w:rsidRPr="00EC52EC">
        <w:rPr>
          <w:rFonts w:ascii="Arial" w:hAnsi="Arial" w:cs="Arial"/>
          <w:sz w:val="20"/>
          <w:szCs w:val="20"/>
        </w:rPr>
        <w:t xml:space="preserve"> đó,</w:t>
      </w:r>
      <w:r w:rsidR="006F5DBE" w:rsidRPr="00EC52EC">
        <w:rPr>
          <w:rFonts w:ascii="Arial" w:hAnsi="Arial" w:cs="Arial"/>
          <w:sz w:val="20"/>
          <w:szCs w:val="20"/>
        </w:rPr>
        <w:t xml:space="preserve"> việc xác nhận BCA của Sacombank là do ngân hàng vẫn phải đối mặt với rủi ro đáng kể từ tài sản của mình, vượt quá 20% tổng tài sản tính đến 30/6/2018.</w:t>
      </w:r>
    </w:p>
    <w:p w:rsidR="006F5DBE" w:rsidRPr="00EC52EC" w:rsidRDefault="006F5DBE" w:rsidP="00EC52EC">
      <w:pPr>
        <w:spacing w:after="0" w:line="240" w:lineRule="auto"/>
        <w:jc w:val="both"/>
        <w:rPr>
          <w:rFonts w:ascii="Arial" w:hAnsi="Arial" w:cs="Arial"/>
          <w:sz w:val="20"/>
          <w:szCs w:val="20"/>
        </w:rPr>
      </w:pPr>
      <w:r w:rsidRPr="00EC52EC">
        <w:rPr>
          <w:rFonts w:ascii="Arial" w:hAnsi="Arial" w:cs="Arial"/>
          <w:sz w:val="20"/>
          <w:szCs w:val="20"/>
        </w:rPr>
        <w:t>Các đánh giá của Moody’s đối với 16 ngân hàng Việt lần này dựa trên giả định là khả năng hỗ trợ “rất cao” của Chính phủ trong những lần cần phải xếp hạng của ba ngân hàng có vốn Nhà nước là Vietcombank, BIDV và VietinBank; và khả năng hỗ trợ “trung bình” của Chính phủ đối với các ngân hàng thuộc khu vực tư nhân còn lại.</w:t>
      </w:r>
    </w:p>
    <w:p w:rsidR="006F5DBE" w:rsidRPr="00EC52EC" w:rsidRDefault="006F5DBE" w:rsidP="00EC52EC">
      <w:pPr>
        <w:spacing w:after="0" w:line="240" w:lineRule="auto"/>
        <w:jc w:val="both"/>
        <w:rPr>
          <w:rFonts w:ascii="Arial" w:hAnsi="Arial" w:cs="Arial"/>
          <w:sz w:val="20"/>
          <w:szCs w:val="20"/>
        </w:rPr>
      </w:pPr>
      <w:r w:rsidRPr="00EC52EC">
        <w:rPr>
          <w:rFonts w:ascii="Arial" w:hAnsi="Arial" w:cs="Arial"/>
          <w:sz w:val="20"/>
          <w:szCs w:val="20"/>
        </w:rPr>
        <w:t>Giả định về hỗ trợ của Chính phủ của Moody’s cũng được thúc đẩy bởi tầm quan trọng mang tính hệ thống tương đối cao của các ngân hàng này đối với hệ thống ngân hàng Việt Nam, đặc biệt là các ngân hàng có vốn Nhà nước.</w:t>
      </w:r>
    </w:p>
    <w:p w:rsidR="006F5DBE" w:rsidRPr="00EC52EC" w:rsidRDefault="006F5DBE" w:rsidP="00EC52EC">
      <w:pPr>
        <w:spacing w:after="0" w:line="240" w:lineRule="auto"/>
        <w:jc w:val="both"/>
        <w:rPr>
          <w:rFonts w:ascii="Arial" w:hAnsi="Arial" w:cs="Arial"/>
          <w:sz w:val="20"/>
          <w:szCs w:val="20"/>
        </w:rPr>
      </w:pPr>
      <w:r w:rsidRPr="00EC52EC">
        <w:rPr>
          <w:rFonts w:ascii="Arial" w:hAnsi="Arial" w:cs="Arial"/>
          <w:sz w:val="20"/>
          <w:szCs w:val="20"/>
        </w:rPr>
        <w:t>Việc nâng xếp hạng các tổ chức phát hành nội ngoại tệ dài hạn và nâng xếp hạng tiền gửi nội tệ dài hạn của ACB, MB và Techcombank, cũng như xếp hạng phát hành nội ngoại tệ dài hạn và xếp hạng tiền gửi của HDBank và OCB là nhờ việc nâng BCA của các ngân hàng này.</w:t>
      </w:r>
    </w:p>
    <w:p w:rsidR="006F5DBE" w:rsidRPr="00EC52EC" w:rsidRDefault="006F5DBE" w:rsidP="00EC52EC">
      <w:pPr>
        <w:spacing w:after="0" w:line="240" w:lineRule="auto"/>
        <w:jc w:val="both"/>
        <w:rPr>
          <w:rFonts w:ascii="Arial" w:hAnsi="Arial" w:cs="Arial"/>
          <w:sz w:val="20"/>
          <w:szCs w:val="20"/>
        </w:rPr>
      </w:pPr>
      <w:r w:rsidRPr="00EC52EC">
        <w:rPr>
          <w:rFonts w:ascii="Arial" w:hAnsi="Arial" w:cs="Arial"/>
          <w:sz w:val="20"/>
          <w:szCs w:val="20"/>
        </w:rPr>
        <w:t>Tương tự, việc nâng cấp CRR và CRA dài hạn của ABB, ACB, Vietcombank, MB, TPBank, VIB, VP Bank và Techcombank cũng được thúc đẩy bởi việc nâng cấp BCA.</w:t>
      </w:r>
    </w:p>
    <w:p w:rsidR="006F5DBE" w:rsidRPr="00EC52EC" w:rsidRDefault="006F5DBE" w:rsidP="00EC52EC">
      <w:pPr>
        <w:spacing w:after="0" w:line="240" w:lineRule="auto"/>
        <w:jc w:val="both"/>
        <w:rPr>
          <w:rFonts w:ascii="Arial" w:hAnsi="Arial" w:cs="Arial"/>
          <w:sz w:val="20"/>
          <w:szCs w:val="20"/>
        </w:rPr>
      </w:pPr>
      <w:r w:rsidRPr="00EC52EC">
        <w:rPr>
          <w:rFonts w:ascii="Arial" w:hAnsi="Arial" w:cs="Arial"/>
          <w:sz w:val="20"/>
          <w:szCs w:val="20"/>
        </w:rPr>
        <w:t>Tuy nhiên xếp hạng tiền gửi ngoại tệ của tất cả các ngân hàng Việt Nam được xếp hạng vẫn bị giới hạn ở mức B1, vì trần quốc gia của Việt Nam đối với tiền gửi ngoại tệ là B1.</w:t>
      </w:r>
    </w:p>
    <w:p w:rsidR="006F5DBE" w:rsidRPr="00EC52EC" w:rsidRDefault="00EC52EC" w:rsidP="00EC52EC">
      <w:pPr>
        <w:spacing w:after="0" w:line="240" w:lineRule="auto"/>
        <w:jc w:val="both"/>
        <w:rPr>
          <w:rFonts w:ascii="Arial" w:hAnsi="Arial" w:cs="Arial"/>
          <w:i/>
          <w:sz w:val="20"/>
          <w:szCs w:val="20"/>
        </w:rPr>
      </w:pPr>
      <w:r w:rsidRPr="00EC52EC">
        <w:rPr>
          <w:rFonts w:ascii="Arial" w:hAnsi="Arial" w:cs="Arial"/>
          <w:i/>
          <w:sz w:val="20"/>
          <w:szCs w:val="20"/>
        </w:rPr>
        <w:t xml:space="preserve">Trước đó ngày </w:t>
      </w:r>
      <w:r w:rsidR="006F5DBE" w:rsidRPr="00EC52EC">
        <w:rPr>
          <w:rFonts w:ascii="Arial" w:hAnsi="Arial" w:cs="Arial"/>
          <w:i/>
          <w:sz w:val="20"/>
          <w:szCs w:val="20"/>
        </w:rPr>
        <w:t>14/8</w:t>
      </w:r>
      <w:r w:rsidRPr="00EC52EC">
        <w:rPr>
          <w:rFonts w:ascii="Arial" w:hAnsi="Arial" w:cs="Arial"/>
          <w:i/>
          <w:sz w:val="20"/>
          <w:szCs w:val="20"/>
        </w:rPr>
        <w:t>/2018</w:t>
      </w:r>
      <w:r w:rsidR="006F5DBE" w:rsidRPr="00EC52EC">
        <w:rPr>
          <w:rFonts w:ascii="Arial" w:hAnsi="Arial" w:cs="Arial"/>
          <w:i/>
          <w:sz w:val="20"/>
          <w:szCs w:val="20"/>
        </w:rPr>
        <w:t xml:space="preserve">, Moody’s cũng đã nâng xếp hạng đối với 12 ngân hàng Việt Nam sau khi đã nâng xếp hạng tín nhiệm của Việt Nam từ mức B1 lên Ba3 </w:t>
      </w:r>
      <w:r w:rsidRPr="00EC52EC">
        <w:rPr>
          <w:rFonts w:ascii="Arial" w:hAnsi="Arial" w:cs="Arial"/>
          <w:i/>
          <w:sz w:val="20"/>
          <w:szCs w:val="20"/>
        </w:rPr>
        <w:t>ngày</w:t>
      </w:r>
      <w:r w:rsidR="006F5DBE" w:rsidRPr="00EC52EC">
        <w:rPr>
          <w:rFonts w:ascii="Arial" w:hAnsi="Arial" w:cs="Arial"/>
          <w:i/>
          <w:sz w:val="20"/>
          <w:szCs w:val="20"/>
        </w:rPr>
        <w:t xml:space="preserve"> 10/8</w:t>
      </w:r>
      <w:r w:rsidRPr="00EC52EC">
        <w:rPr>
          <w:rFonts w:ascii="Arial" w:hAnsi="Arial" w:cs="Arial"/>
          <w:i/>
          <w:sz w:val="20"/>
          <w:szCs w:val="20"/>
        </w:rPr>
        <w:t>/2018</w:t>
      </w:r>
      <w:r w:rsidR="006F5DBE" w:rsidRPr="00EC52EC">
        <w:rPr>
          <w:rFonts w:ascii="Arial" w:hAnsi="Arial" w:cs="Arial"/>
          <w:i/>
          <w:sz w:val="20"/>
          <w:szCs w:val="20"/>
        </w:rPr>
        <w:t>. Theo đó, Moody’s nâng xếp hạng tiền gửi và phát hành nội ngoại tệ dài hạn cho Vietcombank, BIDV và VietinBank; nâng xếp hạng CRR và CRA của VietinBank và BIDV, giữ nguyên với Vietcombank.</w:t>
      </w:r>
    </w:p>
    <w:p w:rsidR="006F5DBE" w:rsidRPr="00EC52EC" w:rsidRDefault="006F5DBE" w:rsidP="00EC52EC">
      <w:pPr>
        <w:spacing w:after="0" w:line="240" w:lineRule="auto"/>
        <w:jc w:val="both"/>
        <w:rPr>
          <w:rFonts w:ascii="Arial" w:hAnsi="Arial" w:cs="Arial"/>
          <w:i/>
          <w:sz w:val="20"/>
          <w:szCs w:val="20"/>
        </w:rPr>
      </w:pPr>
      <w:r w:rsidRPr="00EC52EC">
        <w:rPr>
          <w:rFonts w:ascii="Arial" w:hAnsi="Arial" w:cs="Arial"/>
          <w:i/>
          <w:sz w:val="20"/>
          <w:szCs w:val="20"/>
        </w:rPr>
        <w:t>Moody’s cũng nâng xếp hạng tiền gửi ngoại tệ dài hạn đối với ACB, MB và Techcombank; tuy nhiên các chỉ số xếp hạng khác của 3 ngân hàng này vẫn giữ nguyên. Đồng thời, Moody’s đã nâng xếp hạng tiền gửi nội - ngoại tệ và phát hành tiền gửi cho 5 ngân hàng gồm: ABBank, LienVietPostBank, TPBank, VIB, VPBank. Nâng xếp hạng CRR và CRA dài hạn đối với SHB, HDBank, OCB.</w:t>
      </w:r>
    </w:p>
    <w:p w:rsidR="006F5DBE" w:rsidRPr="00EC52EC" w:rsidRDefault="006F5DBE" w:rsidP="00EC52EC">
      <w:pPr>
        <w:spacing w:after="0" w:line="240" w:lineRule="auto"/>
        <w:jc w:val="both"/>
        <w:rPr>
          <w:rFonts w:ascii="Arial" w:hAnsi="Arial" w:cs="Arial"/>
          <w:i/>
          <w:sz w:val="20"/>
          <w:szCs w:val="20"/>
        </w:rPr>
      </w:pPr>
      <w:r w:rsidRPr="00EC52EC">
        <w:rPr>
          <w:rFonts w:ascii="Arial" w:hAnsi="Arial" w:cs="Arial"/>
          <w:i/>
          <w:sz w:val="20"/>
          <w:szCs w:val="20"/>
        </w:rPr>
        <w:t>Moody’s cũng thay đổi triển vọng cho xếp hạng tiền gửi nội ngoại tệ và xếp hạng nhà phát hành tiền gửi đối với 8 ngân hàng gồm Vietcombank, BIDV, VietinBank, ABBank, LienVietPostBank, TPBank, VIB, VPBank từ mức “ổn định” lên “tích cực”.</w:t>
      </w:r>
    </w:p>
    <w:p w:rsidR="00BB6DBE" w:rsidRPr="00EC52EC" w:rsidRDefault="00EC52EC" w:rsidP="00EC52EC">
      <w:pPr>
        <w:spacing w:after="0" w:line="240" w:lineRule="auto"/>
        <w:jc w:val="both"/>
        <w:rPr>
          <w:rFonts w:ascii="Arial" w:hAnsi="Arial" w:cs="Arial"/>
          <w:sz w:val="20"/>
          <w:szCs w:val="20"/>
        </w:rPr>
      </w:pPr>
      <w:r>
        <w:rPr>
          <w:rFonts w:ascii="Arial" w:hAnsi="Arial" w:cs="Arial"/>
          <w:sz w:val="20"/>
          <w:szCs w:val="20"/>
        </w:rPr>
        <w:lastRenderedPageBreak/>
        <w:t>Châu Anh.</w:t>
      </w:r>
    </w:p>
    <w:sectPr w:rsidR="00BB6DBE" w:rsidRPr="00EC52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E8C"/>
    <w:rsid w:val="00211DB1"/>
    <w:rsid w:val="003023F5"/>
    <w:rsid w:val="00694825"/>
    <w:rsid w:val="006F5DBE"/>
    <w:rsid w:val="009B12D8"/>
    <w:rsid w:val="00B95E8C"/>
    <w:rsid w:val="00BB6DBE"/>
    <w:rsid w:val="00D204ED"/>
    <w:rsid w:val="00EC5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857B07-A706-467D-9A74-8F01AD90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HoangLong</dc:creator>
  <cp:keywords/>
  <dc:description/>
  <cp:lastModifiedBy>Hewlett-Packard Company</cp:lastModifiedBy>
  <cp:revision>3</cp:revision>
  <dcterms:created xsi:type="dcterms:W3CDTF">2018-11-02T09:06:00Z</dcterms:created>
  <dcterms:modified xsi:type="dcterms:W3CDTF">2018-11-02T09:07:00Z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SBV354611</vt:lpwstr>
  </property>
  <property fmtid="{D5CDD505-2E9C-101B-9397-08002B2CF9AE}" pid="3" name="DISProperties">
    <vt:lpwstr>DISdDocName,DIScgiUrl,DISdWorkflowState,DISdUser,DISdID,DISidcName,DISTaskPaneUrl</vt:lpwstr>
  </property>
  <property fmtid="{D5CDD505-2E9C-101B-9397-08002B2CF9AE}" pid="4" name="DIScgiUrl">
    <vt:lpwstr>http://webcenter-app01:16200/cs/idcplg</vt:lpwstr>
  </property>
  <property fmtid="{D5CDD505-2E9C-101B-9397-08002B2CF9AE}" pid="5" name="DISdUser">
    <vt:lpwstr>anh.nguyenngoc1</vt:lpwstr>
  </property>
  <property fmtid="{D5CDD505-2E9C-101B-9397-08002B2CF9AE}" pid="6" name="DISdID">
    <vt:lpwstr>351130</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http://webcenter-app01:16200/cs/idcplg?IdcService=DESKTOP_DOC_INFO&amp;dDocName=SBV354611&amp;dID=351130&amp;ClientControlled=DocMan,taskpane&amp;coreContentOnly=1</vt:lpwstr>
  </property>
  <property fmtid="{D5CDD505-2E9C-101B-9397-08002B2CF9AE}" pid="9" name="DISdWorkflowState">
    <vt:lpwstr>W</vt:lpwstr>
  </property>
</Properties>
</file>