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4A6" w:rsidRDefault="002F24F2" w:rsidP="008E04A6">
      <w:pPr>
        <w:spacing w:before="120" w:after="0" w:line="240" w:lineRule="auto"/>
        <w:jc w:val="both"/>
        <w:rPr>
          <w:rFonts w:ascii="Arial" w:hAnsi="Arial" w:cs="Arial"/>
          <w:b/>
          <w:sz w:val="20"/>
          <w:szCs w:val="20"/>
        </w:rPr>
      </w:pPr>
      <w:bookmarkStart w:id="0" w:name="_GoBack"/>
      <w:bookmarkEnd w:id="0"/>
      <w:r w:rsidRPr="008E04A6">
        <w:rPr>
          <w:rFonts w:ascii="Arial" w:hAnsi="Arial" w:cs="Arial"/>
          <w:sz w:val="20"/>
          <w:szCs w:val="20"/>
        </w:rPr>
        <w:t xml:space="preserve">Công cụ </w:t>
      </w:r>
      <w:r w:rsidR="00E17BE5" w:rsidRPr="008E04A6">
        <w:rPr>
          <w:rFonts w:ascii="Arial" w:hAnsi="Arial" w:cs="Arial"/>
          <w:sz w:val="20"/>
          <w:szCs w:val="20"/>
        </w:rPr>
        <w:t xml:space="preserve">bảo hiểm tiền gửi </w:t>
      </w:r>
      <w:r w:rsidRPr="008E04A6">
        <w:rPr>
          <w:rFonts w:ascii="Arial" w:hAnsi="Arial" w:cs="Arial"/>
          <w:sz w:val="20"/>
          <w:szCs w:val="20"/>
        </w:rPr>
        <w:t xml:space="preserve">chính thức được triển khai </w:t>
      </w:r>
      <w:r w:rsidR="00E17BE5" w:rsidRPr="008E04A6">
        <w:rPr>
          <w:rFonts w:ascii="Arial" w:hAnsi="Arial" w:cs="Arial"/>
          <w:sz w:val="20"/>
          <w:szCs w:val="20"/>
        </w:rPr>
        <w:t xml:space="preserve">đầu tiên ở Mỹ </w:t>
      </w:r>
      <w:r w:rsidRPr="008E04A6">
        <w:rPr>
          <w:rFonts w:ascii="Arial" w:hAnsi="Arial" w:cs="Arial"/>
          <w:sz w:val="20"/>
          <w:szCs w:val="20"/>
        </w:rPr>
        <w:t>(</w:t>
      </w:r>
      <w:r w:rsidR="00E17BE5" w:rsidRPr="008E04A6">
        <w:rPr>
          <w:rFonts w:ascii="Arial" w:hAnsi="Arial" w:cs="Arial"/>
          <w:sz w:val="20"/>
          <w:szCs w:val="20"/>
        </w:rPr>
        <w:t>1934</w:t>
      </w:r>
      <w:r w:rsidRPr="008E04A6">
        <w:rPr>
          <w:rFonts w:ascii="Arial" w:hAnsi="Arial" w:cs="Arial"/>
          <w:sz w:val="20"/>
          <w:szCs w:val="20"/>
        </w:rPr>
        <w:t>),</w:t>
      </w:r>
      <w:r w:rsidR="00E17BE5" w:rsidRPr="008E04A6">
        <w:rPr>
          <w:rFonts w:ascii="Arial" w:hAnsi="Arial" w:cs="Arial"/>
          <w:sz w:val="20"/>
          <w:szCs w:val="20"/>
        </w:rPr>
        <w:t xml:space="preserve"> nay đã được </w:t>
      </w:r>
      <w:r w:rsidRPr="008E04A6">
        <w:rPr>
          <w:rFonts w:ascii="Arial" w:hAnsi="Arial" w:cs="Arial"/>
          <w:sz w:val="20"/>
          <w:szCs w:val="20"/>
        </w:rPr>
        <w:t>triển khai ở hơn 140 quốc gia và vùng lãnh thổ,</w:t>
      </w:r>
      <w:r w:rsidR="00E17BE5" w:rsidRPr="008E04A6">
        <w:rPr>
          <w:rFonts w:ascii="Arial" w:hAnsi="Arial" w:cs="Arial"/>
          <w:sz w:val="20"/>
          <w:szCs w:val="20"/>
        </w:rPr>
        <w:t xml:space="preserve"> với</w:t>
      </w:r>
      <w:bookmarkStart w:id="1" w:name="_Toc486838901"/>
      <w:r w:rsidR="00E17BE5" w:rsidRPr="008E04A6">
        <w:rPr>
          <w:rFonts w:ascii="Arial" w:hAnsi="Arial" w:cs="Arial"/>
          <w:sz w:val="20"/>
          <w:szCs w:val="20"/>
        </w:rPr>
        <w:t xml:space="preserve"> mục tiêu giảm thiểu </w:t>
      </w:r>
      <w:r w:rsidRPr="008E04A6">
        <w:rPr>
          <w:rFonts w:ascii="Arial" w:hAnsi="Arial" w:cs="Arial"/>
          <w:sz w:val="20"/>
          <w:szCs w:val="20"/>
        </w:rPr>
        <w:t xml:space="preserve">và góp phần kiểm soát </w:t>
      </w:r>
      <w:r w:rsidR="00E17BE5" w:rsidRPr="008E04A6">
        <w:rPr>
          <w:rFonts w:ascii="Arial" w:hAnsi="Arial" w:cs="Arial"/>
          <w:sz w:val="20"/>
          <w:szCs w:val="20"/>
        </w:rPr>
        <w:t>rủi ro</w:t>
      </w:r>
      <w:r w:rsidRPr="008E04A6">
        <w:rPr>
          <w:rFonts w:ascii="Arial" w:hAnsi="Arial" w:cs="Arial"/>
          <w:sz w:val="20"/>
          <w:szCs w:val="20"/>
        </w:rPr>
        <w:t xml:space="preserve"> ngân hàng</w:t>
      </w:r>
      <w:r w:rsidR="00E17BE5" w:rsidRPr="008E04A6">
        <w:rPr>
          <w:rFonts w:ascii="Arial" w:hAnsi="Arial" w:cs="Arial"/>
          <w:sz w:val="20"/>
          <w:szCs w:val="20"/>
        </w:rPr>
        <w:t xml:space="preserve">, ngăn ngừa đổ vỡ ngân hàng và bảo vệ tối đa quyền lợi người gửi tiền. Để thực hiện có hiệu quả chính sách BHTG, tổ chức BHTG </w:t>
      </w:r>
      <w:r w:rsidRPr="008E04A6">
        <w:rPr>
          <w:rFonts w:ascii="Arial" w:hAnsi="Arial" w:cs="Arial"/>
          <w:sz w:val="20"/>
          <w:szCs w:val="20"/>
        </w:rPr>
        <w:t xml:space="preserve">được thiết kế trao nhiệm vụ </w:t>
      </w:r>
      <w:r w:rsidR="00E17BE5" w:rsidRPr="008E04A6">
        <w:rPr>
          <w:rFonts w:ascii="Arial" w:hAnsi="Arial" w:cs="Arial"/>
          <w:sz w:val="20"/>
          <w:szCs w:val="20"/>
        </w:rPr>
        <w:t>triể</w:t>
      </w:r>
      <w:r w:rsidRPr="008E04A6">
        <w:rPr>
          <w:rFonts w:ascii="Arial" w:hAnsi="Arial" w:cs="Arial"/>
          <w:sz w:val="20"/>
          <w:szCs w:val="20"/>
        </w:rPr>
        <w:t>n khai đồng bộ một số</w:t>
      </w:r>
      <w:r w:rsidR="00E17BE5" w:rsidRPr="008E04A6">
        <w:rPr>
          <w:rFonts w:ascii="Arial" w:hAnsi="Arial" w:cs="Arial"/>
          <w:sz w:val="20"/>
          <w:szCs w:val="20"/>
        </w:rPr>
        <w:t xml:space="preserve"> hoạt động nghiệp vụ</w:t>
      </w:r>
      <w:r w:rsidRPr="008E04A6">
        <w:rPr>
          <w:rFonts w:ascii="Arial" w:hAnsi="Arial" w:cs="Arial"/>
          <w:sz w:val="20"/>
          <w:szCs w:val="20"/>
        </w:rPr>
        <w:t xml:space="preserve"> cụ thể,</w:t>
      </w:r>
      <w:r w:rsidR="00E17BE5" w:rsidRPr="008E04A6">
        <w:rPr>
          <w:rFonts w:ascii="Arial" w:hAnsi="Arial" w:cs="Arial"/>
          <w:sz w:val="20"/>
          <w:szCs w:val="20"/>
        </w:rPr>
        <w:t xml:space="preserve"> trong đó hoạt động kiểm tra</w:t>
      </w:r>
      <w:r w:rsidR="00D36070" w:rsidRPr="008E04A6">
        <w:rPr>
          <w:rFonts w:ascii="Arial" w:hAnsi="Arial" w:cs="Arial"/>
          <w:sz w:val="20"/>
          <w:szCs w:val="20"/>
        </w:rPr>
        <w:t xml:space="preserve"> được quan tâm đặc biệt</w:t>
      </w:r>
      <w:r w:rsidR="00E17BE5" w:rsidRPr="008E04A6">
        <w:rPr>
          <w:rFonts w:ascii="Arial" w:hAnsi="Arial" w:cs="Arial"/>
          <w:sz w:val="20"/>
          <w:szCs w:val="20"/>
        </w:rPr>
        <w:t>.</w:t>
      </w:r>
      <w:bookmarkEnd w:id="1"/>
    </w:p>
    <w:p w:rsidR="008E04A6" w:rsidRDefault="00E17BE5" w:rsidP="008E04A6">
      <w:pPr>
        <w:spacing w:before="120" w:after="0" w:line="240" w:lineRule="auto"/>
        <w:jc w:val="both"/>
        <w:rPr>
          <w:rFonts w:ascii="Arial" w:hAnsi="Arial" w:cs="Arial"/>
          <w:b/>
          <w:sz w:val="20"/>
          <w:szCs w:val="20"/>
        </w:rPr>
      </w:pPr>
      <w:r w:rsidRPr="008E04A6">
        <w:rPr>
          <w:rFonts w:ascii="Arial" w:hAnsi="Arial" w:cs="Arial"/>
          <w:color w:val="000000"/>
          <w:sz w:val="20"/>
          <w:szCs w:val="20"/>
        </w:rPr>
        <w:t>Chức năng cơ bản củ</w:t>
      </w:r>
      <w:r w:rsidR="00D36070" w:rsidRPr="008E04A6">
        <w:rPr>
          <w:rFonts w:ascii="Arial" w:hAnsi="Arial" w:cs="Arial"/>
          <w:color w:val="000000"/>
          <w:sz w:val="20"/>
          <w:szCs w:val="20"/>
        </w:rPr>
        <w:t>a BHTG là góp phần</w:t>
      </w:r>
      <w:r w:rsidRPr="008E04A6">
        <w:rPr>
          <w:rFonts w:ascii="Arial" w:hAnsi="Arial" w:cs="Arial"/>
          <w:color w:val="000000"/>
          <w:sz w:val="20"/>
          <w:szCs w:val="20"/>
        </w:rPr>
        <w:t xml:space="preserve"> đảm bảo an toàn</w:t>
      </w:r>
      <w:r w:rsidR="00D36070" w:rsidRPr="008E04A6">
        <w:rPr>
          <w:rFonts w:ascii="Arial" w:hAnsi="Arial" w:cs="Arial"/>
          <w:color w:val="000000"/>
          <w:sz w:val="20"/>
          <w:szCs w:val="20"/>
        </w:rPr>
        <w:t xml:space="preserve"> hoạt động ngân hàng</w:t>
      </w:r>
      <w:r w:rsidRPr="008E04A6">
        <w:rPr>
          <w:rFonts w:ascii="Arial" w:hAnsi="Arial" w:cs="Arial"/>
          <w:color w:val="000000"/>
          <w:sz w:val="20"/>
          <w:szCs w:val="20"/>
        </w:rPr>
        <w:t xml:space="preserve"> và hoàn trả</w:t>
      </w:r>
      <w:r w:rsidR="00D36070" w:rsidRPr="008E04A6">
        <w:rPr>
          <w:rFonts w:ascii="Arial" w:hAnsi="Arial" w:cs="Arial"/>
          <w:color w:val="000000"/>
          <w:sz w:val="20"/>
          <w:szCs w:val="20"/>
        </w:rPr>
        <w:t xml:space="preserve"> kịp thời tiền bảo hiểm cho tiền gửi</w:t>
      </w:r>
      <w:r w:rsidRPr="008E04A6">
        <w:rPr>
          <w:rFonts w:ascii="Arial" w:hAnsi="Arial" w:cs="Arial"/>
          <w:color w:val="000000"/>
          <w:sz w:val="20"/>
          <w:szCs w:val="20"/>
        </w:rPr>
        <w:t xml:space="preserve">. Hoạt động BHTG trên thế giới </w:t>
      </w:r>
      <w:r w:rsidR="00812E72" w:rsidRPr="008E04A6">
        <w:rPr>
          <w:rFonts w:ascii="Arial" w:hAnsi="Arial" w:cs="Arial"/>
          <w:color w:val="000000"/>
          <w:sz w:val="20"/>
          <w:szCs w:val="20"/>
        </w:rPr>
        <w:t>tới</w:t>
      </w:r>
      <w:r w:rsidRPr="008E04A6">
        <w:rPr>
          <w:rFonts w:ascii="Arial" w:hAnsi="Arial" w:cs="Arial"/>
          <w:color w:val="000000"/>
          <w:sz w:val="20"/>
          <w:szCs w:val="20"/>
        </w:rPr>
        <w:t xml:space="preserve"> nay được tổ chức triển khai theo ba mô hình BHTG: Mô hình giảm thiểu rủi ro, Mô hình chi trả với quyền hạn mở rộng và Mô hình chi trả. Tùy vào mục đích và mô hình tổ chức BHTG của từng quốc gia mà nội dung </w:t>
      </w:r>
      <w:r w:rsidR="00812E72" w:rsidRPr="008E04A6">
        <w:rPr>
          <w:rFonts w:ascii="Arial" w:hAnsi="Arial" w:cs="Arial"/>
          <w:color w:val="000000"/>
          <w:sz w:val="20"/>
          <w:szCs w:val="20"/>
        </w:rPr>
        <w:t xml:space="preserve">chính sách </w:t>
      </w:r>
      <w:r w:rsidRPr="008E04A6">
        <w:rPr>
          <w:rFonts w:ascii="Arial" w:hAnsi="Arial" w:cs="Arial"/>
          <w:color w:val="000000"/>
          <w:sz w:val="20"/>
          <w:szCs w:val="20"/>
        </w:rPr>
        <w:t>BHTG được tổ chức BHTG thực hiện thông qua những nghiệp vụ cụ thể khác nhau. Nhìn chung</w:t>
      </w:r>
      <w:r w:rsidR="008E04A6">
        <w:rPr>
          <w:rFonts w:ascii="Arial" w:hAnsi="Arial" w:cs="Arial"/>
          <w:color w:val="000000"/>
          <w:sz w:val="20"/>
          <w:szCs w:val="20"/>
        </w:rPr>
        <w:t>,</w:t>
      </w:r>
      <w:r w:rsidRPr="008E04A6">
        <w:rPr>
          <w:rFonts w:ascii="Arial" w:hAnsi="Arial" w:cs="Arial"/>
          <w:color w:val="000000"/>
          <w:sz w:val="20"/>
          <w:szCs w:val="20"/>
        </w:rPr>
        <w:t xml:space="preserve"> các tổ chức BHTG trên thế giới đều thực hiện các nhóm nghiệp vụ cơ bản là: Bảo hiểm </w:t>
      </w:r>
      <w:r w:rsidR="00133B73" w:rsidRPr="008E04A6">
        <w:rPr>
          <w:rFonts w:ascii="Arial" w:hAnsi="Arial" w:cs="Arial"/>
          <w:color w:val="000000"/>
          <w:sz w:val="20"/>
          <w:szCs w:val="20"/>
        </w:rPr>
        <w:t xml:space="preserve">tiền gửi </w:t>
      </w:r>
      <w:r w:rsidRPr="008E04A6">
        <w:rPr>
          <w:rFonts w:ascii="Arial" w:hAnsi="Arial" w:cs="Arial"/>
          <w:color w:val="000000"/>
          <w:sz w:val="20"/>
          <w:szCs w:val="20"/>
        </w:rPr>
        <w:t xml:space="preserve">cho người gửi tiền, giám sát, kiểm tra hoạt động của các tổ chức tham gia BHTG, hỗ trợ tổ chức tham gia BHTG. </w:t>
      </w:r>
      <w:r w:rsidR="00133B73" w:rsidRPr="008E04A6">
        <w:rPr>
          <w:rFonts w:ascii="Arial" w:hAnsi="Arial" w:cs="Arial"/>
          <w:color w:val="000000"/>
          <w:sz w:val="20"/>
          <w:szCs w:val="20"/>
        </w:rPr>
        <w:t>Kinh nghiệm tổ chức triển khai công tác kiểm tra của tổ chức BHTG Mỹ và Nhật Bả</w:t>
      </w:r>
      <w:r w:rsidR="008E04A6">
        <w:rPr>
          <w:rFonts w:ascii="Arial" w:hAnsi="Arial" w:cs="Arial"/>
          <w:color w:val="000000"/>
          <w:sz w:val="20"/>
          <w:szCs w:val="20"/>
        </w:rPr>
        <w:t xml:space="preserve">n là hình </w:t>
      </w:r>
      <w:r w:rsidR="00133B73" w:rsidRPr="008E04A6">
        <w:rPr>
          <w:rFonts w:ascii="Arial" w:hAnsi="Arial" w:cs="Arial"/>
          <w:color w:val="000000"/>
          <w:sz w:val="20"/>
          <w:szCs w:val="20"/>
        </w:rPr>
        <w:t>mẫu cần được tham khảo và vận dụng.</w:t>
      </w:r>
    </w:p>
    <w:p w:rsidR="008E04A6" w:rsidRDefault="00E17BE5" w:rsidP="008E04A6">
      <w:pPr>
        <w:spacing w:before="120" w:after="0" w:line="240" w:lineRule="auto"/>
        <w:jc w:val="both"/>
        <w:rPr>
          <w:rFonts w:ascii="Arial" w:hAnsi="Arial" w:cs="Arial"/>
          <w:b/>
          <w:sz w:val="20"/>
          <w:szCs w:val="20"/>
        </w:rPr>
      </w:pPr>
      <w:r w:rsidRPr="008E04A6">
        <w:rPr>
          <w:rFonts w:ascii="Arial" w:hAnsi="Arial" w:cs="Arial"/>
          <w:b/>
          <w:sz w:val="20"/>
          <w:szCs w:val="20"/>
        </w:rPr>
        <w:t>Hoạt động kiểm tra của tổ chức BHTG Mỹ</w:t>
      </w:r>
    </w:p>
    <w:p w:rsidR="008E04A6" w:rsidRDefault="00E17BE5" w:rsidP="008E04A6">
      <w:pPr>
        <w:spacing w:before="120" w:after="0" w:line="240" w:lineRule="auto"/>
        <w:jc w:val="both"/>
        <w:rPr>
          <w:rFonts w:ascii="Arial" w:hAnsi="Arial" w:cs="Arial"/>
          <w:b/>
          <w:sz w:val="20"/>
          <w:szCs w:val="20"/>
        </w:rPr>
      </w:pPr>
      <w:r w:rsidRPr="008E04A6">
        <w:rPr>
          <w:rFonts w:ascii="Arial" w:hAnsi="Arial" w:cs="Arial"/>
          <w:sz w:val="20"/>
          <w:szCs w:val="20"/>
        </w:rPr>
        <w:t xml:space="preserve">Mỹ là quốc gia đầu tiên trên thế giới triển khai hoạt động </w:t>
      </w:r>
      <w:r w:rsidR="008E04A6">
        <w:rPr>
          <w:rFonts w:ascii="Arial" w:hAnsi="Arial" w:cs="Arial"/>
          <w:sz w:val="20"/>
          <w:szCs w:val="20"/>
        </w:rPr>
        <w:t>BHTG</w:t>
      </w:r>
      <w:r w:rsidRPr="008E04A6">
        <w:rPr>
          <w:rFonts w:ascii="Arial" w:hAnsi="Arial" w:cs="Arial"/>
          <w:sz w:val="20"/>
          <w:szCs w:val="20"/>
        </w:rPr>
        <w:t xml:space="preserve">. Cơ quan </w:t>
      </w:r>
      <w:r w:rsidR="008E04A6">
        <w:rPr>
          <w:rFonts w:ascii="Arial" w:hAnsi="Arial" w:cs="Arial"/>
          <w:sz w:val="20"/>
          <w:szCs w:val="20"/>
        </w:rPr>
        <w:t>BHTG</w:t>
      </w:r>
      <w:r w:rsidRPr="008E04A6">
        <w:rPr>
          <w:rFonts w:ascii="Arial" w:hAnsi="Arial" w:cs="Arial"/>
          <w:sz w:val="20"/>
          <w:szCs w:val="20"/>
        </w:rPr>
        <w:t xml:space="preserve"> Mỹ là Tổ</w:t>
      </w:r>
      <w:r w:rsidR="008E04A6">
        <w:rPr>
          <w:rFonts w:ascii="Arial" w:hAnsi="Arial" w:cs="Arial"/>
          <w:sz w:val="20"/>
          <w:szCs w:val="20"/>
        </w:rPr>
        <w:t>ng C</w:t>
      </w:r>
      <w:r w:rsidRPr="008E04A6">
        <w:rPr>
          <w:rFonts w:ascii="Arial" w:hAnsi="Arial" w:cs="Arial"/>
          <w:sz w:val="20"/>
          <w:szCs w:val="20"/>
        </w:rPr>
        <w:t>ông ty bảo hiểm tiền gửi Liên bang</w:t>
      </w:r>
      <w:r w:rsidR="00662622" w:rsidRPr="008E04A6">
        <w:rPr>
          <w:rFonts w:ascii="Arial" w:hAnsi="Arial" w:cs="Arial"/>
          <w:sz w:val="20"/>
          <w:szCs w:val="20"/>
        </w:rPr>
        <w:t>,</w:t>
      </w:r>
      <w:r w:rsidRPr="008E04A6">
        <w:rPr>
          <w:rFonts w:ascii="Arial" w:hAnsi="Arial" w:cs="Arial"/>
          <w:sz w:val="20"/>
          <w:szCs w:val="20"/>
        </w:rPr>
        <w:t xml:space="preserve"> viết tắ</w:t>
      </w:r>
      <w:r w:rsidR="008E04A6">
        <w:rPr>
          <w:rFonts w:ascii="Arial" w:hAnsi="Arial" w:cs="Arial"/>
          <w:sz w:val="20"/>
          <w:szCs w:val="20"/>
        </w:rPr>
        <w:t>t là FDIC,</w:t>
      </w:r>
      <w:r w:rsidRPr="008E04A6">
        <w:rPr>
          <w:rFonts w:ascii="Arial" w:hAnsi="Arial" w:cs="Arial"/>
          <w:sz w:val="20"/>
          <w:szCs w:val="20"/>
        </w:rPr>
        <w:t xml:space="preserve"> được thành lập năm 1934. Sau khi Luật bảo hiểm tiền gửi được Quốc hội thông qua một năm (1933). Ngay từ khi mới thành lập, FDIC đã có 13.021 ngân hàng và 214 tổ chức tiết kiệm tham gia [*]. Từ đó đến nay</w:t>
      </w:r>
      <w:r w:rsidR="008E04A6">
        <w:rPr>
          <w:rFonts w:ascii="Arial" w:hAnsi="Arial" w:cs="Arial"/>
          <w:sz w:val="20"/>
          <w:szCs w:val="20"/>
        </w:rPr>
        <w:t>,</w:t>
      </w:r>
      <w:r w:rsidRPr="008E04A6">
        <w:rPr>
          <w:rFonts w:ascii="Arial" w:hAnsi="Arial" w:cs="Arial"/>
          <w:sz w:val="20"/>
          <w:szCs w:val="20"/>
        </w:rPr>
        <w:t xml:space="preserve"> FDIC luôn phát huy vai trò của mình trong việc phát triển và bảo vệ hệ thống ngân hàng, ổn định thị trường tài chính, giúp kinh tế Mỹ tăng trưởng. Một trong những yếu tố quan trọng góp phần làm nên thành công của FDIC là giám sát hiệu quả khách hàng, thông qua phương thức giám sát từ xa và kiểm tra trực tiếp, đánh giá các khía cạnh khác nhau của tổ chức tham gia bảo hiểm tiền gửi nhằm mục tiêu bảo vệ người gửi tiền và hoạt động an toàn, lành mạnh của hệ thống các tổ chức tín dụng.</w:t>
      </w:r>
    </w:p>
    <w:p w:rsidR="00E17BE5" w:rsidRPr="008E04A6" w:rsidRDefault="00E17BE5" w:rsidP="008E04A6">
      <w:pPr>
        <w:spacing w:before="120" w:after="0" w:line="240" w:lineRule="auto"/>
        <w:jc w:val="both"/>
        <w:rPr>
          <w:rFonts w:ascii="Arial" w:hAnsi="Arial" w:cs="Arial"/>
          <w:b/>
          <w:sz w:val="20"/>
          <w:szCs w:val="20"/>
        </w:rPr>
      </w:pPr>
      <w:r w:rsidRPr="008E04A6">
        <w:rPr>
          <w:rFonts w:ascii="Arial" w:hAnsi="Arial" w:cs="Arial"/>
          <w:sz w:val="20"/>
          <w:szCs w:val="20"/>
        </w:rPr>
        <w:t>Nội dung kiểm tra của FDIC hết sức đa dạng</w:t>
      </w:r>
      <w:r w:rsidR="008E04A6">
        <w:rPr>
          <w:rFonts w:ascii="Arial" w:hAnsi="Arial" w:cs="Arial"/>
          <w:sz w:val="20"/>
          <w:szCs w:val="20"/>
        </w:rPr>
        <w:t xml:space="preserve"> như: </w:t>
      </w:r>
      <w:r w:rsidRPr="008E04A6">
        <w:rPr>
          <w:rFonts w:ascii="Arial" w:hAnsi="Arial" w:cs="Arial"/>
          <w:sz w:val="20"/>
          <w:szCs w:val="20"/>
        </w:rPr>
        <w:t>Kiểm tra tính an toàn và lành mạnh; Đánh giá sự tuân thủ các quy định đảm bảo quyền lợi người gửi tiền của các ngân hàng đ</w:t>
      </w:r>
      <w:r w:rsidR="008E04A6">
        <w:rPr>
          <w:rFonts w:ascii="Arial" w:hAnsi="Arial" w:cs="Arial"/>
          <w:sz w:val="20"/>
          <w:szCs w:val="20"/>
        </w:rPr>
        <w:t>á</w:t>
      </w:r>
      <w:r w:rsidRPr="008E04A6">
        <w:rPr>
          <w:rFonts w:ascii="Arial" w:hAnsi="Arial" w:cs="Arial"/>
          <w:sz w:val="20"/>
          <w:szCs w:val="20"/>
        </w:rPr>
        <w:t>nh giá khả năng tiếp cận tín dụng của công chúng;  Kiểm tra hoạt động ủy thác các ngân hàng; Kiểm tra hệ thống công nghệ thông tin của các ngân hàng</w:t>
      </w:r>
      <w:r w:rsidR="00662622" w:rsidRPr="008E04A6">
        <w:rPr>
          <w:rFonts w:ascii="Arial" w:hAnsi="Arial" w:cs="Arial"/>
          <w:sz w:val="20"/>
          <w:szCs w:val="20"/>
        </w:rPr>
        <w:t xml:space="preserve">. </w:t>
      </w:r>
      <w:r w:rsidRPr="008E04A6">
        <w:rPr>
          <w:rFonts w:ascii="Arial" w:hAnsi="Arial" w:cs="Arial"/>
          <w:sz w:val="20"/>
          <w:szCs w:val="20"/>
        </w:rPr>
        <w:t>Tuy nhiên, kiểm tra an toàn và lành mạnh là hoạt động chủ yếu, được chuyên môn và quy trình hóa cao độ, dựa trên “Hệ thống phân loại chung các tổ chức tài chính”</w:t>
      </w:r>
      <w:r w:rsidR="00A514C4" w:rsidRPr="008E04A6">
        <w:rPr>
          <w:rFonts w:ascii="Arial" w:hAnsi="Arial" w:cs="Arial"/>
          <w:sz w:val="20"/>
          <w:szCs w:val="20"/>
        </w:rPr>
        <w:t xml:space="preserve"> (</w:t>
      </w:r>
      <w:r w:rsidRPr="008E04A6">
        <w:rPr>
          <w:rFonts w:ascii="Arial" w:hAnsi="Arial" w:cs="Arial"/>
          <w:sz w:val="20"/>
          <w:szCs w:val="20"/>
        </w:rPr>
        <w:t>UIRS</w:t>
      </w:r>
      <w:r w:rsidR="00A514C4" w:rsidRPr="008E04A6">
        <w:rPr>
          <w:rFonts w:ascii="Arial" w:hAnsi="Arial" w:cs="Arial"/>
          <w:sz w:val="20"/>
          <w:szCs w:val="20"/>
        </w:rPr>
        <w:t>)</w:t>
      </w:r>
      <w:r w:rsidRPr="008E04A6">
        <w:rPr>
          <w:rFonts w:ascii="Arial" w:hAnsi="Arial" w:cs="Arial"/>
          <w:sz w:val="20"/>
          <w:szCs w:val="20"/>
        </w:rPr>
        <w:t>, bao gồm các chỉ tiêu giám sát CAMELS (Vốn; Chất lượng tài sản; khả năng quản lý, Khả năng sinh lời; tính thanh khoản; Độ nhạy cảm với rủi ro).</w:t>
      </w:r>
      <w:r w:rsidR="008E04A6">
        <w:rPr>
          <w:rFonts w:ascii="Arial" w:hAnsi="Arial" w:cs="Arial"/>
          <w:sz w:val="20"/>
          <w:szCs w:val="20"/>
        </w:rPr>
        <w:t xml:space="preserve"> </w:t>
      </w:r>
      <w:r w:rsidRPr="008E04A6">
        <w:rPr>
          <w:rFonts w:ascii="Arial" w:hAnsi="Arial" w:cs="Arial"/>
          <w:sz w:val="20"/>
          <w:szCs w:val="20"/>
        </w:rPr>
        <w:t>Hệ thống này được thống nhất giữa các cơ quan có chức năng kiểm tra ngân hàng Mỹ nên công tác kiểm tra ngân hàng của FDIC nói riêng và các cơ quan này nói chung được thuận tiện khi sử dụng kết quả của nhau trong quá trình kiểm tra, giám sát. FDIC đã phối hợp kiểm tra với các cơ quan quản lý ngân hàng cấp liên bang và cấp bang theo cách này để giảm thiểu chi phí kiểm tra.</w:t>
      </w:r>
    </w:p>
    <w:p w:rsidR="00E17BE5" w:rsidRPr="008E04A6" w:rsidRDefault="00793964" w:rsidP="008E04A6">
      <w:pPr>
        <w:spacing w:before="120" w:after="0" w:line="240" w:lineRule="auto"/>
        <w:jc w:val="center"/>
        <w:rPr>
          <w:rFonts w:ascii="Arial" w:hAnsi="Arial" w:cs="Arial"/>
          <w:b/>
          <w:i/>
          <w:sz w:val="20"/>
          <w:szCs w:val="20"/>
        </w:rPr>
      </w:pPr>
      <w:r w:rsidRPr="008E04A6">
        <w:rPr>
          <w:rFonts w:ascii="Arial" w:hAnsi="Arial" w:cs="Arial"/>
          <w:b/>
          <w:i/>
          <w:sz w:val="20"/>
          <w:szCs w:val="20"/>
        </w:rPr>
        <w:t xml:space="preserve">Bảng 1: </w:t>
      </w:r>
      <w:r w:rsidR="00E17BE5" w:rsidRPr="008E04A6">
        <w:rPr>
          <w:rFonts w:ascii="Arial" w:hAnsi="Arial" w:cs="Arial"/>
          <w:b/>
          <w:i/>
          <w:sz w:val="20"/>
          <w:szCs w:val="20"/>
        </w:rPr>
        <w:t>Hoạt động kiểm tra của Bảo hiểm tiền gửi Mỹ</w:t>
      </w:r>
      <w:r w:rsidR="00A514C4" w:rsidRPr="008E04A6">
        <w:rPr>
          <w:rFonts w:ascii="Arial" w:hAnsi="Arial" w:cs="Arial"/>
          <w:b/>
          <w:i/>
          <w:sz w:val="20"/>
          <w:szCs w:val="20"/>
        </w:rPr>
        <w:t>,</w:t>
      </w:r>
      <w:r w:rsidR="00A550DD" w:rsidRPr="008E04A6">
        <w:rPr>
          <w:rFonts w:ascii="Arial" w:hAnsi="Arial" w:cs="Arial"/>
          <w:b/>
          <w:i/>
          <w:sz w:val="20"/>
          <w:szCs w:val="20"/>
        </w:rPr>
        <w:t xml:space="preserve"> 2015-2017</w:t>
      </w:r>
    </w:p>
    <w:tbl>
      <w:tblPr>
        <w:tblStyle w:val="TableGrid"/>
        <w:tblW w:w="9252" w:type="dxa"/>
        <w:jc w:val="center"/>
        <w:tblLook w:val="04A0" w:firstRow="1" w:lastRow="0" w:firstColumn="1" w:lastColumn="0" w:noHBand="0" w:noVBand="1"/>
      </w:tblPr>
      <w:tblGrid>
        <w:gridCol w:w="5364"/>
        <w:gridCol w:w="1320"/>
        <w:gridCol w:w="1320"/>
        <w:gridCol w:w="1248"/>
      </w:tblGrid>
      <w:tr w:rsidR="00E17BE5"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E17BE5" w:rsidP="008E04A6">
            <w:pPr>
              <w:spacing w:before="120"/>
              <w:jc w:val="both"/>
              <w:rPr>
                <w:rFonts w:ascii="Arial" w:hAnsi="Arial" w:cs="Arial"/>
                <w:b/>
                <w:sz w:val="20"/>
                <w:szCs w:val="20"/>
              </w:rPr>
            </w:pPr>
            <w:r w:rsidRPr="008E04A6">
              <w:rPr>
                <w:rFonts w:ascii="Arial" w:hAnsi="Arial" w:cs="Arial"/>
                <w:b/>
                <w:sz w:val="20"/>
                <w:szCs w:val="20"/>
              </w:rPr>
              <w:t xml:space="preserve">Năm tiến hành </w:t>
            </w:r>
            <w:r w:rsidR="00A514C4" w:rsidRPr="008E04A6">
              <w:rPr>
                <w:rFonts w:ascii="Arial" w:hAnsi="Arial" w:cs="Arial"/>
                <w:b/>
                <w:sz w:val="20"/>
                <w:szCs w:val="20"/>
              </w:rPr>
              <w:t>kiểm tra</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b/>
                <w:sz w:val="20"/>
                <w:szCs w:val="20"/>
              </w:rPr>
            </w:pPr>
            <w:r w:rsidRPr="008E04A6">
              <w:rPr>
                <w:rFonts w:ascii="Arial" w:hAnsi="Arial" w:cs="Arial"/>
                <w:b/>
                <w:sz w:val="20"/>
                <w:szCs w:val="20"/>
              </w:rPr>
              <w:t>2017</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b/>
                <w:sz w:val="20"/>
                <w:szCs w:val="20"/>
              </w:rPr>
            </w:pPr>
            <w:r w:rsidRPr="008E04A6">
              <w:rPr>
                <w:rFonts w:ascii="Arial" w:hAnsi="Arial" w:cs="Arial"/>
                <w:b/>
                <w:sz w:val="20"/>
                <w:szCs w:val="20"/>
              </w:rPr>
              <w:t>2016</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b/>
                <w:sz w:val="20"/>
                <w:szCs w:val="20"/>
              </w:rPr>
            </w:pPr>
            <w:r w:rsidRPr="008E04A6">
              <w:rPr>
                <w:rFonts w:ascii="Arial" w:hAnsi="Arial" w:cs="Arial"/>
                <w:b/>
                <w:sz w:val="20"/>
                <w:szCs w:val="20"/>
              </w:rPr>
              <w:t>2015</w:t>
            </w:r>
          </w:p>
        </w:tc>
      </w:tr>
      <w:tr w:rsidR="00E17BE5" w:rsidRPr="008E04A6" w:rsidTr="009E2DA2">
        <w:trPr>
          <w:trHeight w:val="467"/>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BE2189" w:rsidP="008E04A6">
            <w:pPr>
              <w:spacing w:before="120"/>
              <w:jc w:val="both"/>
              <w:rPr>
                <w:rFonts w:ascii="Arial" w:hAnsi="Arial" w:cs="Arial"/>
                <w:b/>
                <w:sz w:val="20"/>
                <w:szCs w:val="20"/>
              </w:rPr>
            </w:pPr>
            <w:r w:rsidRPr="008E04A6">
              <w:rPr>
                <w:rFonts w:ascii="Arial" w:hAnsi="Arial" w:cs="Arial"/>
                <w:b/>
                <w:sz w:val="20"/>
                <w:szCs w:val="20"/>
              </w:rPr>
              <w:t>Số đoàn k</w:t>
            </w:r>
            <w:r w:rsidR="00E17BE5" w:rsidRPr="008E04A6">
              <w:rPr>
                <w:rFonts w:ascii="Arial" w:hAnsi="Arial" w:cs="Arial"/>
                <w:b/>
                <w:sz w:val="20"/>
                <w:szCs w:val="20"/>
              </w:rPr>
              <w:t>iểm tra an toàn, lành mạnh</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b/>
                <w:sz w:val="20"/>
                <w:szCs w:val="20"/>
              </w:rPr>
            </w:pPr>
            <w:r w:rsidRPr="008E04A6">
              <w:rPr>
                <w:rFonts w:ascii="Arial" w:hAnsi="Arial" w:cs="Arial"/>
                <w:b/>
                <w:sz w:val="20"/>
                <w:szCs w:val="20"/>
              </w:rPr>
              <w:t>1.611</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b/>
                <w:sz w:val="20"/>
                <w:szCs w:val="20"/>
              </w:rPr>
            </w:pPr>
            <w:r w:rsidRPr="008E04A6">
              <w:rPr>
                <w:rFonts w:ascii="Arial" w:hAnsi="Arial" w:cs="Arial"/>
                <w:b/>
                <w:sz w:val="20"/>
                <w:szCs w:val="20"/>
              </w:rPr>
              <w:t>1.727</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b/>
                <w:sz w:val="20"/>
                <w:szCs w:val="20"/>
              </w:rPr>
            </w:pPr>
            <w:r w:rsidRPr="008E04A6">
              <w:rPr>
                <w:rFonts w:ascii="Arial" w:hAnsi="Arial" w:cs="Arial"/>
                <w:b/>
                <w:sz w:val="20"/>
                <w:szCs w:val="20"/>
              </w:rPr>
              <w:t>1.871</w:t>
            </w:r>
          </w:p>
        </w:tc>
      </w:tr>
      <w:tr w:rsidR="00E17BE5"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E17BE5" w:rsidP="008E04A6">
            <w:pPr>
              <w:spacing w:before="120"/>
              <w:jc w:val="both"/>
              <w:rPr>
                <w:rFonts w:ascii="Arial" w:hAnsi="Arial" w:cs="Arial"/>
                <w:sz w:val="20"/>
                <w:szCs w:val="20"/>
              </w:rPr>
            </w:pPr>
            <w:r w:rsidRPr="008E04A6">
              <w:rPr>
                <w:rFonts w:ascii="Arial" w:hAnsi="Arial" w:cs="Arial"/>
                <w:sz w:val="20"/>
                <w:szCs w:val="20"/>
              </w:rPr>
              <w:t xml:space="preserve">   Các ngân hàng không sở hữu nhà nước </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1.440</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1.563</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1.665</w:t>
            </w:r>
          </w:p>
        </w:tc>
      </w:tr>
      <w:tr w:rsidR="00E17BE5"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E17BE5" w:rsidP="008E04A6">
            <w:pPr>
              <w:spacing w:before="120"/>
              <w:jc w:val="both"/>
              <w:rPr>
                <w:rFonts w:ascii="Arial" w:hAnsi="Arial" w:cs="Arial"/>
                <w:sz w:val="20"/>
                <w:szCs w:val="20"/>
              </w:rPr>
            </w:pPr>
            <w:r w:rsidRPr="008E04A6">
              <w:rPr>
                <w:rFonts w:ascii="Arial" w:hAnsi="Arial" w:cs="Arial"/>
                <w:sz w:val="20"/>
                <w:szCs w:val="20"/>
              </w:rPr>
              <w:t xml:space="preserve">   Các ngân hàng tiết kiệm</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171</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164</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206</w:t>
            </w:r>
          </w:p>
        </w:tc>
      </w:tr>
      <w:tr w:rsidR="00E17BE5"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E17BE5" w:rsidP="008E04A6">
            <w:pPr>
              <w:spacing w:before="120"/>
              <w:jc w:val="both"/>
              <w:rPr>
                <w:rFonts w:ascii="Arial" w:hAnsi="Arial" w:cs="Arial"/>
                <w:sz w:val="20"/>
                <w:szCs w:val="20"/>
              </w:rPr>
            </w:pPr>
            <w:r w:rsidRPr="008E04A6">
              <w:rPr>
                <w:rFonts w:ascii="Arial" w:hAnsi="Arial" w:cs="Arial"/>
                <w:sz w:val="20"/>
                <w:szCs w:val="20"/>
              </w:rPr>
              <w:t xml:space="preserve">   Hiệp hội tiết kiệm</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0</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0</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E17BE5" w:rsidP="008E04A6">
            <w:pPr>
              <w:spacing w:before="120"/>
              <w:jc w:val="both"/>
              <w:rPr>
                <w:rFonts w:ascii="Arial" w:hAnsi="Arial" w:cs="Arial"/>
                <w:sz w:val="20"/>
                <w:szCs w:val="20"/>
              </w:rPr>
            </w:pPr>
            <w:r w:rsidRPr="008E04A6">
              <w:rPr>
                <w:rFonts w:ascii="Arial" w:hAnsi="Arial" w:cs="Arial"/>
                <w:sz w:val="20"/>
                <w:szCs w:val="20"/>
              </w:rPr>
              <w:t>0</w:t>
            </w:r>
          </w:p>
        </w:tc>
      </w:tr>
      <w:tr w:rsidR="00E17BE5"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E17BE5" w:rsidP="008E04A6">
            <w:pPr>
              <w:spacing w:before="120"/>
              <w:jc w:val="both"/>
              <w:rPr>
                <w:rFonts w:ascii="Arial" w:hAnsi="Arial" w:cs="Arial"/>
                <w:sz w:val="20"/>
                <w:szCs w:val="20"/>
              </w:rPr>
            </w:pPr>
            <w:r w:rsidRPr="008E04A6">
              <w:rPr>
                <w:rFonts w:ascii="Arial" w:hAnsi="Arial" w:cs="Arial"/>
                <w:sz w:val="20"/>
                <w:szCs w:val="20"/>
              </w:rPr>
              <w:t xml:space="preserve">   Các ngân hàng quốc gia</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0</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E17BE5" w:rsidP="008E04A6">
            <w:pPr>
              <w:spacing w:before="120"/>
              <w:jc w:val="both"/>
              <w:rPr>
                <w:rFonts w:ascii="Arial" w:hAnsi="Arial" w:cs="Arial"/>
                <w:sz w:val="20"/>
                <w:szCs w:val="20"/>
              </w:rPr>
            </w:pPr>
            <w:r w:rsidRPr="008E04A6">
              <w:rPr>
                <w:rFonts w:ascii="Arial" w:hAnsi="Arial" w:cs="Arial"/>
                <w:sz w:val="20"/>
                <w:szCs w:val="20"/>
              </w:rPr>
              <w:t>0</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0</w:t>
            </w:r>
          </w:p>
        </w:tc>
      </w:tr>
      <w:tr w:rsidR="00E17BE5"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E17BE5" w:rsidP="008E04A6">
            <w:pPr>
              <w:spacing w:before="120"/>
              <w:jc w:val="both"/>
              <w:rPr>
                <w:rFonts w:ascii="Arial" w:hAnsi="Arial" w:cs="Arial"/>
                <w:sz w:val="20"/>
                <w:szCs w:val="20"/>
              </w:rPr>
            </w:pPr>
            <w:r w:rsidRPr="008E04A6">
              <w:rPr>
                <w:rFonts w:ascii="Arial" w:hAnsi="Arial" w:cs="Arial"/>
                <w:sz w:val="20"/>
                <w:szCs w:val="20"/>
              </w:rPr>
              <w:t xml:space="preserve">   Các ngân hàng sở hữu nhà nước</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0</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0</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0</w:t>
            </w:r>
          </w:p>
        </w:tc>
      </w:tr>
      <w:tr w:rsidR="00E17BE5"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BE2189" w:rsidP="008E04A6">
            <w:pPr>
              <w:spacing w:before="120"/>
              <w:jc w:val="both"/>
              <w:rPr>
                <w:rFonts w:ascii="Arial" w:hAnsi="Arial" w:cs="Arial"/>
                <w:b/>
                <w:sz w:val="20"/>
                <w:szCs w:val="20"/>
              </w:rPr>
            </w:pPr>
            <w:r w:rsidRPr="008E04A6">
              <w:rPr>
                <w:rFonts w:ascii="Arial" w:hAnsi="Arial" w:cs="Arial"/>
                <w:b/>
                <w:sz w:val="20"/>
                <w:szCs w:val="20"/>
              </w:rPr>
              <w:t xml:space="preserve">Số đoàn </w:t>
            </w:r>
            <w:r w:rsidR="00E17BE5" w:rsidRPr="008E04A6">
              <w:rPr>
                <w:rFonts w:ascii="Arial" w:hAnsi="Arial" w:cs="Arial"/>
                <w:b/>
                <w:sz w:val="20"/>
                <w:szCs w:val="20"/>
              </w:rPr>
              <w:t>Kiểm tra sự tuân thủ</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b/>
                <w:sz w:val="20"/>
                <w:szCs w:val="20"/>
              </w:rPr>
            </w:pPr>
            <w:r w:rsidRPr="008E04A6">
              <w:rPr>
                <w:rFonts w:ascii="Arial" w:hAnsi="Arial" w:cs="Arial"/>
                <w:b/>
                <w:sz w:val="20"/>
                <w:szCs w:val="20"/>
              </w:rPr>
              <w:t>1.168</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b/>
                <w:sz w:val="20"/>
                <w:szCs w:val="20"/>
              </w:rPr>
            </w:pPr>
            <w:r w:rsidRPr="008E04A6">
              <w:rPr>
                <w:rFonts w:ascii="Arial" w:hAnsi="Arial" w:cs="Arial"/>
                <w:b/>
                <w:sz w:val="20"/>
                <w:szCs w:val="20"/>
              </w:rPr>
              <w:t>1.311</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b/>
                <w:sz w:val="20"/>
                <w:szCs w:val="20"/>
              </w:rPr>
            </w:pPr>
            <w:r w:rsidRPr="008E04A6">
              <w:rPr>
                <w:rFonts w:ascii="Arial" w:hAnsi="Arial" w:cs="Arial"/>
                <w:b/>
                <w:sz w:val="20"/>
                <w:szCs w:val="20"/>
              </w:rPr>
              <w:t>1.347</w:t>
            </w:r>
          </w:p>
        </w:tc>
      </w:tr>
      <w:tr w:rsidR="00E17BE5"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E17BE5" w:rsidP="008E04A6">
            <w:pPr>
              <w:spacing w:before="120"/>
              <w:jc w:val="both"/>
              <w:rPr>
                <w:rFonts w:ascii="Arial" w:hAnsi="Arial" w:cs="Arial"/>
                <w:sz w:val="20"/>
                <w:szCs w:val="20"/>
              </w:rPr>
            </w:pPr>
            <w:r w:rsidRPr="008E04A6">
              <w:rPr>
                <w:rFonts w:ascii="Arial" w:hAnsi="Arial" w:cs="Arial"/>
                <w:sz w:val="20"/>
                <w:szCs w:val="20"/>
              </w:rPr>
              <w:t>Hoạt đ</w:t>
            </w:r>
            <w:r w:rsidR="00BE2189" w:rsidRPr="008E04A6">
              <w:rPr>
                <w:rFonts w:ascii="Arial" w:hAnsi="Arial" w:cs="Arial"/>
                <w:sz w:val="20"/>
                <w:szCs w:val="20"/>
              </w:rPr>
              <w:t>ộng</w:t>
            </w:r>
            <w:r w:rsidRPr="008E04A6">
              <w:rPr>
                <w:rFonts w:ascii="Arial" w:hAnsi="Arial" w:cs="Arial"/>
                <w:sz w:val="20"/>
                <w:szCs w:val="20"/>
              </w:rPr>
              <w:t xml:space="preserve"> tái đầu tư – tính tuân thủ</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770</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709</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859</w:t>
            </w:r>
          </w:p>
        </w:tc>
      </w:tr>
      <w:tr w:rsidR="00E17BE5"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E17BE5" w:rsidP="008E04A6">
            <w:pPr>
              <w:spacing w:before="120"/>
              <w:jc w:val="both"/>
              <w:rPr>
                <w:rFonts w:ascii="Arial" w:hAnsi="Arial" w:cs="Arial"/>
                <w:sz w:val="20"/>
                <w:szCs w:val="20"/>
              </w:rPr>
            </w:pPr>
            <w:r w:rsidRPr="008E04A6">
              <w:rPr>
                <w:rFonts w:ascii="Arial" w:hAnsi="Arial" w:cs="Arial"/>
                <w:sz w:val="20"/>
                <w:szCs w:val="20"/>
              </w:rPr>
              <w:t xml:space="preserve">   Kiểm tra tuân thủ</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393</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594</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478</w:t>
            </w:r>
          </w:p>
        </w:tc>
      </w:tr>
      <w:tr w:rsidR="00E17BE5"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E17BE5" w:rsidP="008E04A6">
            <w:pPr>
              <w:spacing w:before="120"/>
              <w:jc w:val="both"/>
              <w:rPr>
                <w:rFonts w:ascii="Arial" w:hAnsi="Arial" w:cs="Arial"/>
                <w:sz w:val="20"/>
                <w:szCs w:val="20"/>
              </w:rPr>
            </w:pPr>
            <w:r w:rsidRPr="008E04A6">
              <w:rPr>
                <w:rFonts w:ascii="Arial" w:hAnsi="Arial" w:cs="Arial"/>
                <w:sz w:val="20"/>
                <w:szCs w:val="20"/>
              </w:rPr>
              <w:t xml:space="preserve">   Kiểm tra tái đầu tư</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5</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8</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10</w:t>
            </w:r>
          </w:p>
        </w:tc>
      </w:tr>
      <w:tr w:rsidR="00E17BE5"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BE2189" w:rsidP="008E04A6">
            <w:pPr>
              <w:spacing w:before="120"/>
              <w:jc w:val="both"/>
              <w:rPr>
                <w:rFonts w:ascii="Arial" w:hAnsi="Arial" w:cs="Arial"/>
                <w:b/>
                <w:sz w:val="20"/>
                <w:szCs w:val="20"/>
              </w:rPr>
            </w:pPr>
            <w:r w:rsidRPr="008E04A6">
              <w:rPr>
                <w:rFonts w:ascii="Arial" w:hAnsi="Arial" w:cs="Arial"/>
                <w:b/>
                <w:sz w:val="20"/>
                <w:szCs w:val="20"/>
              </w:rPr>
              <w:t>Số đoàn k</w:t>
            </w:r>
            <w:r w:rsidR="00E17BE5" w:rsidRPr="008E04A6">
              <w:rPr>
                <w:rFonts w:ascii="Arial" w:hAnsi="Arial" w:cs="Arial"/>
                <w:b/>
                <w:sz w:val="20"/>
                <w:szCs w:val="20"/>
              </w:rPr>
              <w:t xml:space="preserve">iểm tra đặc biệt </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b/>
                <w:sz w:val="20"/>
                <w:szCs w:val="20"/>
              </w:rPr>
            </w:pPr>
            <w:r w:rsidRPr="008E04A6">
              <w:rPr>
                <w:rFonts w:ascii="Arial" w:hAnsi="Arial" w:cs="Arial"/>
                <w:b/>
                <w:sz w:val="20"/>
                <w:szCs w:val="20"/>
              </w:rPr>
              <w:t>3.614</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b/>
                <w:sz w:val="20"/>
                <w:szCs w:val="20"/>
              </w:rPr>
            </w:pPr>
            <w:r w:rsidRPr="008E04A6">
              <w:rPr>
                <w:rFonts w:ascii="Arial" w:hAnsi="Arial" w:cs="Arial"/>
                <w:b/>
                <w:sz w:val="20"/>
                <w:szCs w:val="20"/>
              </w:rPr>
              <w:t>3.854</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b/>
                <w:sz w:val="20"/>
                <w:szCs w:val="20"/>
              </w:rPr>
            </w:pPr>
            <w:r w:rsidRPr="008E04A6">
              <w:rPr>
                <w:rFonts w:ascii="Arial" w:hAnsi="Arial" w:cs="Arial"/>
                <w:b/>
                <w:sz w:val="20"/>
                <w:szCs w:val="20"/>
              </w:rPr>
              <w:t>4.157</w:t>
            </w:r>
          </w:p>
        </w:tc>
      </w:tr>
      <w:tr w:rsidR="00E17BE5"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E17BE5" w:rsidP="008E04A6">
            <w:pPr>
              <w:spacing w:before="120"/>
              <w:jc w:val="both"/>
              <w:rPr>
                <w:rFonts w:ascii="Arial" w:hAnsi="Arial" w:cs="Arial"/>
                <w:sz w:val="20"/>
                <w:szCs w:val="20"/>
              </w:rPr>
            </w:pPr>
            <w:r w:rsidRPr="008E04A6">
              <w:rPr>
                <w:rFonts w:ascii="Arial" w:hAnsi="Arial" w:cs="Arial"/>
                <w:sz w:val="20"/>
                <w:szCs w:val="20"/>
              </w:rPr>
              <w:t>Bộ phận ủy thác</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347</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351</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365</w:t>
            </w:r>
          </w:p>
        </w:tc>
      </w:tr>
      <w:tr w:rsidR="00E17BE5"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E17BE5" w:rsidP="008E04A6">
            <w:pPr>
              <w:spacing w:before="120"/>
              <w:jc w:val="both"/>
              <w:rPr>
                <w:rFonts w:ascii="Arial" w:hAnsi="Arial" w:cs="Arial"/>
                <w:sz w:val="20"/>
                <w:szCs w:val="20"/>
              </w:rPr>
            </w:pPr>
            <w:r w:rsidRPr="008E04A6">
              <w:rPr>
                <w:rFonts w:ascii="Arial" w:hAnsi="Arial" w:cs="Arial"/>
                <w:sz w:val="20"/>
                <w:szCs w:val="20"/>
              </w:rPr>
              <w:t>Tiện ích, quy trình truyền, lưu dữ liệu</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1.627</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1.742</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1.886</w:t>
            </w:r>
          </w:p>
        </w:tc>
      </w:tr>
      <w:tr w:rsidR="008E201E"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201E" w:rsidRPr="008E04A6" w:rsidRDefault="008E201E" w:rsidP="008E04A6">
            <w:pPr>
              <w:spacing w:before="120"/>
              <w:jc w:val="both"/>
              <w:rPr>
                <w:rFonts w:ascii="Arial" w:hAnsi="Arial" w:cs="Arial"/>
                <w:sz w:val="20"/>
                <w:szCs w:val="20"/>
              </w:rPr>
            </w:pPr>
            <w:r w:rsidRPr="008E04A6">
              <w:rPr>
                <w:rFonts w:ascii="Arial" w:hAnsi="Arial" w:cs="Arial"/>
                <w:sz w:val="20"/>
                <w:szCs w:val="20"/>
              </w:rPr>
              <w:lastRenderedPageBreak/>
              <w:t>Đạo luật bảo mật ngân hàng</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201E" w:rsidRPr="008E04A6" w:rsidRDefault="008E201E" w:rsidP="008E04A6">
            <w:pPr>
              <w:spacing w:before="120"/>
              <w:jc w:val="both"/>
              <w:rPr>
                <w:rFonts w:ascii="Arial" w:hAnsi="Arial" w:cs="Arial"/>
                <w:sz w:val="20"/>
                <w:szCs w:val="20"/>
              </w:rPr>
            </w:pPr>
            <w:r w:rsidRPr="008E04A6">
              <w:rPr>
                <w:rFonts w:ascii="Arial" w:hAnsi="Arial" w:cs="Arial"/>
                <w:sz w:val="20"/>
                <w:szCs w:val="20"/>
              </w:rPr>
              <w:t>1.640</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201E" w:rsidRPr="008E04A6" w:rsidRDefault="008E201E" w:rsidP="008E04A6">
            <w:pPr>
              <w:spacing w:before="120"/>
              <w:jc w:val="both"/>
              <w:rPr>
                <w:rFonts w:ascii="Arial" w:hAnsi="Arial" w:cs="Arial"/>
                <w:sz w:val="20"/>
                <w:szCs w:val="20"/>
              </w:rPr>
            </w:pPr>
            <w:r w:rsidRPr="008E04A6">
              <w:rPr>
                <w:rFonts w:ascii="Arial" w:hAnsi="Arial" w:cs="Arial"/>
                <w:sz w:val="20"/>
                <w:szCs w:val="20"/>
              </w:rPr>
              <w:t>1.761</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201E" w:rsidRPr="008E04A6" w:rsidRDefault="008E201E" w:rsidP="008E04A6">
            <w:pPr>
              <w:spacing w:before="120"/>
              <w:jc w:val="both"/>
              <w:rPr>
                <w:rFonts w:ascii="Arial" w:hAnsi="Arial" w:cs="Arial"/>
                <w:sz w:val="20"/>
                <w:szCs w:val="20"/>
              </w:rPr>
            </w:pPr>
            <w:r w:rsidRPr="008E04A6">
              <w:rPr>
                <w:rFonts w:ascii="Arial" w:hAnsi="Arial" w:cs="Arial"/>
                <w:sz w:val="20"/>
                <w:szCs w:val="20"/>
              </w:rPr>
              <w:t>1.906</w:t>
            </w:r>
          </w:p>
        </w:tc>
      </w:tr>
      <w:tr w:rsidR="00E17BE5" w:rsidRPr="008E04A6" w:rsidTr="009E2DA2">
        <w:trPr>
          <w:jc w:val="center"/>
        </w:trPr>
        <w:tc>
          <w:tcPr>
            <w:tcW w:w="5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E17BE5" w:rsidP="008E04A6">
            <w:pPr>
              <w:spacing w:before="120"/>
              <w:jc w:val="both"/>
              <w:rPr>
                <w:rFonts w:ascii="Arial" w:hAnsi="Arial" w:cs="Arial"/>
                <w:b/>
                <w:sz w:val="20"/>
                <w:szCs w:val="20"/>
              </w:rPr>
            </w:pPr>
            <w:r w:rsidRPr="008E04A6">
              <w:rPr>
                <w:rFonts w:ascii="Arial" w:hAnsi="Arial" w:cs="Arial"/>
                <w:b/>
                <w:sz w:val="20"/>
                <w:szCs w:val="20"/>
              </w:rPr>
              <w:t>Tổng số</w:t>
            </w:r>
            <w:r w:rsidR="00BE2189" w:rsidRPr="008E04A6">
              <w:rPr>
                <w:rFonts w:ascii="Arial" w:hAnsi="Arial" w:cs="Arial"/>
                <w:b/>
                <w:sz w:val="20"/>
                <w:szCs w:val="20"/>
              </w:rPr>
              <w:t xml:space="preserve"> số đoàn kiểm tra đã thực hiện</w:t>
            </w:r>
            <w:r w:rsidRPr="008E04A6">
              <w:rPr>
                <w:rFonts w:ascii="Arial" w:hAnsi="Arial" w:cs="Arial"/>
                <w:b/>
                <w:sz w:val="20"/>
                <w:szCs w:val="20"/>
              </w:rPr>
              <w:t xml:space="preserve"> </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6.393</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6.892</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BE5" w:rsidRPr="008E04A6" w:rsidRDefault="008E201E" w:rsidP="008E04A6">
            <w:pPr>
              <w:spacing w:before="120"/>
              <w:jc w:val="both"/>
              <w:rPr>
                <w:rFonts w:ascii="Arial" w:hAnsi="Arial" w:cs="Arial"/>
                <w:sz w:val="20"/>
                <w:szCs w:val="20"/>
              </w:rPr>
            </w:pPr>
            <w:r w:rsidRPr="008E04A6">
              <w:rPr>
                <w:rFonts w:ascii="Arial" w:hAnsi="Arial" w:cs="Arial"/>
                <w:sz w:val="20"/>
                <w:szCs w:val="20"/>
              </w:rPr>
              <w:t>7.375</w:t>
            </w:r>
          </w:p>
        </w:tc>
      </w:tr>
    </w:tbl>
    <w:p w:rsidR="009E2DA2" w:rsidRDefault="00E17BE5" w:rsidP="009E2DA2">
      <w:pPr>
        <w:spacing w:before="120" w:after="0" w:line="240" w:lineRule="auto"/>
        <w:ind w:firstLine="720"/>
        <w:jc w:val="center"/>
        <w:rPr>
          <w:rFonts w:ascii="Arial" w:hAnsi="Arial" w:cs="Arial"/>
          <w:i/>
          <w:sz w:val="20"/>
          <w:szCs w:val="20"/>
        </w:rPr>
      </w:pPr>
      <w:r w:rsidRPr="008E04A6">
        <w:rPr>
          <w:rFonts w:ascii="Arial" w:hAnsi="Arial" w:cs="Arial"/>
          <w:i/>
          <w:sz w:val="20"/>
          <w:szCs w:val="20"/>
        </w:rPr>
        <w:t>Nguồn</w:t>
      </w:r>
      <w:r w:rsidR="00793964" w:rsidRPr="008E04A6">
        <w:rPr>
          <w:rFonts w:ascii="Arial" w:hAnsi="Arial" w:cs="Arial"/>
          <w:i/>
          <w:sz w:val="20"/>
          <w:szCs w:val="20"/>
        </w:rPr>
        <w:t>: Báo cáo hàng năm 2017 của FDIC</w:t>
      </w:r>
    </w:p>
    <w:p w:rsidR="009E2DA2" w:rsidRDefault="00E17BE5" w:rsidP="008E04A6">
      <w:pPr>
        <w:spacing w:before="120" w:after="0" w:line="240" w:lineRule="auto"/>
        <w:jc w:val="both"/>
        <w:rPr>
          <w:rFonts w:ascii="Arial" w:hAnsi="Arial" w:cs="Arial"/>
          <w:i/>
          <w:sz w:val="20"/>
          <w:szCs w:val="20"/>
        </w:rPr>
      </w:pPr>
      <w:r w:rsidRPr="008E04A6">
        <w:rPr>
          <w:rFonts w:ascii="Arial" w:hAnsi="Arial" w:cs="Arial"/>
          <w:sz w:val="20"/>
          <w:szCs w:val="20"/>
        </w:rPr>
        <w:t>Hoạt động của FDIC cho thấy vai trò và tầm quan trọng của FDIC đối với hệ thống tài chính Mỹ. FDIC được trao quyền lực rộng rãi không chỉ trong việc bảo vệ người gửi tiền, kiểm tra và giám sát hoạt động của các tổ chức tài chính. Có thể nói, với chức năng và quyền lực được trao, FDIC thực sự là một mắt xích quan trọng trong hệ thống an toàn tài chính Mỹ, là thành phần không thẻ thiếu trong việc quản lý và ngăn ngừa khủng hoảng.</w:t>
      </w:r>
    </w:p>
    <w:p w:rsidR="009E2DA2" w:rsidRDefault="00E17BE5" w:rsidP="009E2DA2">
      <w:pPr>
        <w:spacing w:before="120" w:after="0" w:line="240" w:lineRule="auto"/>
        <w:jc w:val="both"/>
        <w:rPr>
          <w:rFonts w:ascii="Arial" w:hAnsi="Arial" w:cs="Arial"/>
          <w:i/>
          <w:sz w:val="20"/>
          <w:szCs w:val="20"/>
        </w:rPr>
      </w:pPr>
      <w:r w:rsidRPr="008E04A6">
        <w:rPr>
          <w:rFonts w:ascii="Arial" w:hAnsi="Arial" w:cs="Arial"/>
          <w:b/>
          <w:sz w:val="20"/>
          <w:szCs w:val="20"/>
        </w:rPr>
        <w:t>Hoạt động kiểm tra của tổ chức BHTG Nhật Bản</w:t>
      </w:r>
    </w:p>
    <w:p w:rsidR="009E2DA2" w:rsidRDefault="009E2DA2" w:rsidP="009E2DA2">
      <w:pPr>
        <w:spacing w:before="120" w:after="0" w:line="240" w:lineRule="auto"/>
        <w:jc w:val="both"/>
        <w:rPr>
          <w:rFonts w:ascii="Arial" w:hAnsi="Arial" w:cs="Arial"/>
          <w:i/>
          <w:sz w:val="20"/>
          <w:szCs w:val="20"/>
        </w:rPr>
      </w:pPr>
      <w:r>
        <w:rPr>
          <w:rFonts w:ascii="Arial" w:eastAsia="Times New Roman" w:hAnsi="Arial" w:cs="Arial"/>
          <w:bCs/>
          <w:color w:val="1F1F1F"/>
          <w:sz w:val="20"/>
          <w:szCs w:val="20"/>
        </w:rPr>
        <w:t>Tổng Công ty BHTG Nhật Bản</w:t>
      </w:r>
      <w:r w:rsidR="00E17BE5" w:rsidRPr="008E04A6">
        <w:rPr>
          <w:rFonts w:ascii="Arial" w:eastAsia="Times New Roman" w:hAnsi="Arial" w:cs="Arial"/>
          <w:bCs/>
          <w:color w:val="1F1F1F"/>
          <w:sz w:val="20"/>
          <w:szCs w:val="20"/>
        </w:rPr>
        <w:t xml:space="preserve"> được thành lập ngày 01/7/1971 (viêt tắt là DICJ). Luật BHTG được ban hành ngày 1/4/1971 trước khi DICJ thành lập </w:t>
      </w:r>
      <w:r>
        <w:rPr>
          <w:rFonts w:ascii="Arial" w:eastAsia="Times New Roman" w:hAnsi="Arial" w:cs="Arial"/>
          <w:bCs/>
          <w:color w:val="1F1F1F"/>
          <w:sz w:val="20"/>
          <w:szCs w:val="20"/>
        </w:rPr>
        <w:t>0</w:t>
      </w:r>
      <w:r w:rsidR="00E17BE5" w:rsidRPr="008E04A6">
        <w:rPr>
          <w:rFonts w:ascii="Arial" w:eastAsia="Times New Roman" w:hAnsi="Arial" w:cs="Arial"/>
          <w:bCs/>
          <w:color w:val="1F1F1F"/>
          <w:sz w:val="20"/>
          <w:szCs w:val="20"/>
        </w:rPr>
        <w:t xml:space="preserve">3 tháng và quy định chức năng, vai trò, nhiệm vụ của DICJ. Khi thành lập, </w:t>
      </w:r>
      <w:r w:rsidR="00E3428B" w:rsidRPr="008E04A6">
        <w:rPr>
          <w:rFonts w:ascii="Arial" w:eastAsia="Times New Roman" w:hAnsi="Arial" w:cs="Arial"/>
          <w:bCs/>
          <w:color w:val="1F1F1F"/>
          <w:sz w:val="20"/>
          <w:szCs w:val="20"/>
        </w:rPr>
        <w:t xml:space="preserve">DICJ </w:t>
      </w:r>
      <w:r w:rsidR="00BE2189" w:rsidRPr="008E04A6">
        <w:rPr>
          <w:rFonts w:ascii="Arial" w:eastAsia="Times New Roman" w:hAnsi="Arial" w:cs="Arial"/>
          <w:bCs/>
          <w:color w:val="1F1F1F"/>
          <w:sz w:val="20"/>
          <w:szCs w:val="20"/>
        </w:rPr>
        <w:t>hoạt động theo mô hình C</w:t>
      </w:r>
      <w:r w:rsidR="00E17BE5" w:rsidRPr="008E04A6">
        <w:rPr>
          <w:rFonts w:ascii="Arial" w:eastAsia="Times New Roman" w:hAnsi="Arial" w:cs="Arial"/>
          <w:bCs/>
          <w:color w:val="1F1F1F"/>
          <w:sz w:val="20"/>
          <w:szCs w:val="20"/>
        </w:rPr>
        <w:t>hi trả</w:t>
      </w:r>
      <w:r w:rsidR="00BE2189" w:rsidRPr="008E04A6">
        <w:rPr>
          <w:rFonts w:ascii="Arial" w:eastAsia="Times New Roman" w:hAnsi="Arial" w:cs="Arial"/>
          <w:bCs/>
          <w:color w:val="1F1F1F"/>
          <w:sz w:val="20"/>
          <w:szCs w:val="20"/>
        </w:rPr>
        <w:t xml:space="preserve"> với chức năng hạn chế, bao gồm</w:t>
      </w:r>
      <w:r w:rsidR="00E17BE5" w:rsidRPr="008E04A6">
        <w:rPr>
          <w:rFonts w:ascii="Arial" w:eastAsia="Times New Roman" w:hAnsi="Arial" w:cs="Arial"/>
          <w:bCs/>
          <w:color w:val="1F1F1F"/>
          <w:sz w:val="20"/>
          <w:szCs w:val="20"/>
        </w:rPr>
        <w:t xml:space="preserve"> các nghiệp vụ đơn giản nhất</w:t>
      </w:r>
      <w:r w:rsidR="00BE2189" w:rsidRPr="008E04A6">
        <w:rPr>
          <w:rFonts w:ascii="Arial" w:eastAsia="Times New Roman" w:hAnsi="Arial" w:cs="Arial"/>
          <w:bCs/>
          <w:color w:val="1F1F1F"/>
          <w:sz w:val="20"/>
          <w:szCs w:val="20"/>
        </w:rPr>
        <w:t>,</w:t>
      </w:r>
      <w:r w:rsidR="00E17BE5" w:rsidRPr="008E04A6">
        <w:rPr>
          <w:rFonts w:ascii="Arial" w:eastAsia="Times New Roman" w:hAnsi="Arial" w:cs="Arial"/>
          <w:bCs/>
          <w:color w:val="1F1F1F"/>
          <w:sz w:val="20"/>
          <w:szCs w:val="20"/>
        </w:rPr>
        <w:t xml:space="preserve"> chi trả cho khách hàng gửi tiền khi có ngân hàng đổ bể. </w:t>
      </w:r>
      <w:r w:rsidR="00E17BE5" w:rsidRPr="008E04A6">
        <w:rPr>
          <w:rFonts w:ascii="Arial" w:eastAsia="Times New Roman" w:hAnsi="Arial" w:cs="Arial"/>
          <w:color w:val="1F1F1F"/>
          <w:sz w:val="20"/>
          <w:szCs w:val="20"/>
        </w:rPr>
        <w:t xml:space="preserve">DICJ hoạt động độc lập với ngân hàng </w:t>
      </w:r>
      <w:r w:rsidR="00BE2189" w:rsidRPr="008E04A6">
        <w:rPr>
          <w:rFonts w:ascii="Arial" w:eastAsia="Times New Roman" w:hAnsi="Arial" w:cs="Arial"/>
          <w:color w:val="1F1F1F"/>
          <w:sz w:val="20"/>
          <w:szCs w:val="20"/>
        </w:rPr>
        <w:t>T</w:t>
      </w:r>
      <w:r w:rsidR="00E17BE5" w:rsidRPr="008E04A6">
        <w:rPr>
          <w:rFonts w:ascii="Arial" w:eastAsia="Times New Roman" w:hAnsi="Arial" w:cs="Arial"/>
          <w:color w:val="1F1F1F"/>
          <w:sz w:val="20"/>
          <w:szCs w:val="20"/>
        </w:rPr>
        <w:t>rung ương Nhật Bản.</w:t>
      </w:r>
    </w:p>
    <w:p w:rsidR="009E2DA2" w:rsidRDefault="00E17BE5" w:rsidP="009E2DA2">
      <w:pPr>
        <w:spacing w:before="120" w:after="0" w:line="240" w:lineRule="auto"/>
        <w:jc w:val="both"/>
        <w:rPr>
          <w:rFonts w:ascii="Arial" w:eastAsia="Times New Roman" w:hAnsi="Arial" w:cs="Arial"/>
          <w:color w:val="1F1F1F"/>
          <w:sz w:val="20"/>
          <w:szCs w:val="20"/>
        </w:rPr>
      </w:pPr>
      <w:r w:rsidRPr="008E04A6">
        <w:rPr>
          <w:rFonts w:ascii="Arial" w:eastAsia="Times New Roman" w:hAnsi="Arial" w:cs="Arial"/>
          <w:bCs/>
          <w:color w:val="1F1F1F"/>
          <w:sz w:val="20"/>
          <w:szCs w:val="20"/>
        </w:rPr>
        <w:t xml:space="preserve">Xác định được vai trò của BHTG đối với hoạt động tài chính ngân hàng, Chính phủ Nhật luôn quan tâm xây dựng và điều chỉnh Luật BHTG phù hợp với thực tế phát triển của hoạt động ngân </w:t>
      </w:r>
      <w:r w:rsidR="009E2DA2">
        <w:rPr>
          <w:rFonts w:ascii="Arial" w:eastAsia="Times New Roman" w:hAnsi="Arial" w:cs="Arial"/>
          <w:bCs/>
          <w:color w:val="1F1F1F"/>
          <w:sz w:val="20"/>
          <w:szCs w:val="20"/>
        </w:rPr>
        <w:t>hàng. Năm 1996, Luật BHTG Nhật B</w:t>
      </w:r>
      <w:r w:rsidRPr="008E04A6">
        <w:rPr>
          <w:rFonts w:ascii="Arial" w:eastAsia="Times New Roman" w:hAnsi="Arial" w:cs="Arial"/>
          <w:bCs/>
          <w:color w:val="1F1F1F"/>
          <w:sz w:val="20"/>
          <w:szCs w:val="20"/>
        </w:rPr>
        <w:t xml:space="preserve">ản được sửa đổi theo mô hình giảm thiểu rủi ro. Theo Luật, ngoài những nghiệp vụ cơ bản của mô hình chi trả trước đây, DICJ còn có thêm nghiệp xử lý đổ vỡ: </w:t>
      </w:r>
      <w:r w:rsidR="00E3428B" w:rsidRPr="008E04A6">
        <w:rPr>
          <w:rFonts w:ascii="Arial" w:eastAsia="Times New Roman" w:hAnsi="Arial" w:cs="Arial"/>
          <w:bCs/>
          <w:color w:val="1F1F1F"/>
          <w:sz w:val="20"/>
          <w:szCs w:val="20"/>
        </w:rPr>
        <w:t>m</w:t>
      </w:r>
      <w:r w:rsidRPr="008E04A6">
        <w:rPr>
          <w:rFonts w:ascii="Arial" w:eastAsia="Times New Roman" w:hAnsi="Arial" w:cs="Arial"/>
          <w:bCs/>
          <w:color w:val="1F1F1F"/>
          <w:sz w:val="20"/>
          <w:szCs w:val="20"/>
        </w:rPr>
        <w:t xml:space="preserve">ua nợ xấu, hỗ trợ vốn cho việc sáp nhập tổ chức tài </w:t>
      </w:r>
      <w:r w:rsidR="009E2DA2">
        <w:rPr>
          <w:rFonts w:ascii="Arial" w:eastAsia="Times New Roman" w:hAnsi="Arial" w:cs="Arial"/>
          <w:bCs/>
          <w:color w:val="1F1F1F"/>
          <w:sz w:val="20"/>
          <w:szCs w:val="20"/>
        </w:rPr>
        <w:t xml:space="preserve">chính có vấn đề; điều hành các </w:t>
      </w:r>
      <w:r w:rsidRPr="008E04A6">
        <w:rPr>
          <w:rFonts w:ascii="Arial" w:eastAsia="Times New Roman" w:hAnsi="Arial" w:cs="Arial"/>
          <w:bCs/>
          <w:color w:val="1F1F1F"/>
          <w:sz w:val="20"/>
          <w:szCs w:val="20"/>
        </w:rPr>
        <w:t>ngân hàng đổ bể được tiếp nhận; lựa chọn các tổ chức tài chính tiếp nhận và các công việc liên quan khác, đấu giá tài sản và công nợ; bán tài sản và thu hồi vốn. DICJ yêu cầu c</w:t>
      </w:r>
      <w:r w:rsidRPr="008E04A6">
        <w:rPr>
          <w:rFonts w:ascii="Arial" w:eastAsia="Times New Roman" w:hAnsi="Arial" w:cs="Arial"/>
          <w:color w:val="1F1F1F"/>
          <w:sz w:val="20"/>
          <w:szCs w:val="20"/>
        </w:rPr>
        <w:t>ác tổ chức tham gia BHTG quản lý thông tin người gửi tiề</w:t>
      </w:r>
      <w:r w:rsidR="00A550DD" w:rsidRPr="008E04A6">
        <w:rPr>
          <w:rFonts w:ascii="Arial" w:eastAsia="Times New Roman" w:hAnsi="Arial" w:cs="Arial"/>
          <w:color w:val="1F1F1F"/>
          <w:sz w:val="20"/>
          <w:szCs w:val="20"/>
        </w:rPr>
        <w:t xml:space="preserve">n theo phương pháp của DICJ và </w:t>
      </w:r>
      <w:r w:rsidRPr="008E04A6">
        <w:rPr>
          <w:rFonts w:ascii="Arial" w:eastAsia="Times New Roman" w:hAnsi="Arial" w:cs="Arial"/>
          <w:color w:val="1F1F1F"/>
          <w:sz w:val="20"/>
          <w:szCs w:val="20"/>
        </w:rPr>
        <w:t>lưu trữ th</w:t>
      </w:r>
      <w:r w:rsidR="009E2DA2">
        <w:rPr>
          <w:rFonts w:ascii="Arial" w:eastAsia="Times New Roman" w:hAnsi="Arial" w:cs="Arial"/>
          <w:color w:val="1F1F1F"/>
          <w:sz w:val="20"/>
          <w:szCs w:val="20"/>
        </w:rPr>
        <w:t>ông tin trên hệ thống máy tính.</w:t>
      </w:r>
    </w:p>
    <w:p w:rsidR="009E2DA2" w:rsidRDefault="00E3428B" w:rsidP="009E2DA2">
      <w:pPr>
        <w:spacing w:before="120" w:after="0" w:line="240" w:lineRule="auto"/>
        <w:jc w:val="both"/>
        <w:rPr>
          <w:rFonts w:ascii="Arial" w:hAnsi="Arial" w:cs="Arial"/>
          <w:i/>
          <w:sz w:val="20"/>
          <w:szCs w:val="20"/>
        </w:rPr>
      </w:pPr>
      <w:r w:rsidRPr="008E04A6">
        <w:rPr>
          <w:rFonts w:ascii="Arial" w:eastAsia="Times New Roman" w:hAnsi="Arial" w:cs="Arial"/>
          <w:color w:val="1F1F1F"/>
          <w:sz w:val="20"/>
          <w:szCs w:val="20"/>
        </w:rPr>
        <w:t xml:space="preserve">DICJ thực hiện </w:t>
      </w:r>
      <w:r w:rsidR="00E17BE5" w:rsidRPr="008E04A6">
        <w:rPr>
          <w:rFonts w:ascii="Arial" w:eastAsia="Times New Roman" w:hAnsi="Arial" w:cs="Arial"/>
          <w:color w:val="1F1F1F"/>
          <w:sz w:val="20"/>
          <w:szCs w:val="20"/>
        </w:rPr>
        <w:t xml:space="preserve">kiểm tra, giám sát các tổ chức tài chính, ngân hàng theo phê chuẩn của Thủ </w:t>
      </w:r>
      <w:r w:rsidR="009E2DA2">
        <w:rPr>
          <w:rFonts w:ascii="Arial" w:eastAsia="Times New Roman" w:hAnsi="Arial" w:cs="Arial"/>
          <w:color w:val="1F1F1F"/>
          <w:sz w:val="20"/>
          <w:szCs w:val="20"/>
        </w:rPr>
        <w:t>t</w:t>
      </w:r>
      <w:r w:rsidR="00E17BE5" w:rsidRPr="008E04A6">
        <w:rPr>
          <w:rFonts w:ascii="Arial" w:eastAsia="Times New Roman" w:hAnsi="Arial" w:cs="Arial"/>
          <w:color w:val="1F1F1F"/>
          <w:sz w:val="20"/>
          <w:szCs w:val="20"/>
        </w:rPr>
        <w:t xml:space="preserve">ướng, nội dung kiểm tra trực tiếp gồm: </w:t>
      </w:r>
      <w:r w:rsidRPr="008E04A6">
        <w:rPr>
          <w:rFonts w:ascii="Arial" w:eastAsia="Times New Roman" w:hAnsi="Arial" w:cs="Arial"/>
          <w:color w:val="1F1F1F"/>
          <w:sz w:val="20"/>
          <w:szCs w:val="20"/>
        </w:rPr>
        <w:t xml:space="preserve">Tình hình tính và nộp phí BHTG; </w:t>
      </w:r>
      <w:r w:rsidR="00E17BE5" w:rsidRPr="008E04A6">
        <w:rPr>
          <w:rFonts w:ascii="Arial" w:eastAsia="Times New Roman" w:hAnsi="Arial" w:cs="Arial"/>
          <w:color w:val="1F1F1F"/>
          <w:sz w:val="20"/>
          <w:szCs w:val="20"/>
        </w:rPr>
        <w:t>Kiểm tra việc tổng hợp số liệu và dữ liệu điện tử về người gửi tiền, đặc biệt là số liệu về người gửi tiền có nhiều tài khoản thuộc đối tượng được bảo hiểm để đảm bảo chi trả đúng giới hạn trong trường hợp có đổ bể ngân hàng; Dự tính số tiền phải chi trả trường hợp t</w:t>
      </w:r>
      <w:r w:rsidR="00A550DD" w:rsidRPr="008E04A6">
        <w:rPr>
          <w:rFonts w:ascii="Arial" w:eastAsia="Times New Roman" w:hAnsi="Arial" w:cs="Arial"/>
          <w:color w:val="1F1F1F"/>
          <w:sz w:val="20"/>
          <w:szCs w:val="20"/>
        </w:rPr>
        <w:t>ổ chức tài chính bị đổ bể [**].</w:t>
      </w:r>
    </w:p>
    <w:p w:rsidR="00A550DD" w:rsidRPr="009E2DA2" w:rsidRDefault="00793964" w:rsidP="009E2DA2">
      <w:pPr>
        <w:spacing w:before="120" w:after="0" w:line="240" w:lineRule="auto"/>
        <w:jc w:val="center"/>
        <w:rPr>
          <w:rFonts w:ascii="Arial" w:hAnsi="Arial" w:cs="Arial"/>
          <w:b/>
          <w:i/>
          <w:sz w:val="20"/>
          <w:szCs w:val="20"/>
        </w:rPr>
      </w:pPr>
      <w:r w:rsidRPr="009E2DA2">
        <w:rPr>
          <w:rFonts w:ascii="Arial" w:eastAsia="Times New Roman" w:hAnsi="Arial" w:cs="Arial"/>
          <w:b/>
          <w:i/>
          <w:color w:val="1F1F1F"/>
          <w:sz w:val="20"/>
          <w:szCs w:val="20"/>
        </w:rPr>
        <w:t xml:space="preserve">Bảng 2: </w:t>
      </w:r>
      <w:r w:rsidR="00A550DD" w:rsidRPr="009E2DA2">
        <w:rPr>
          <w:rFonts w:ascii="Arial" w:eastAsia="Times New Roman" w:hAnsi="Arial" w:cs="Arial"/>
          <w:b/>
          <w:i/>
          <w:color w:val="1F1F1F"/>
          <w:sz w:val="20"/>
          <w:szCs w:val="20"/>
        </w:rPr>
        <w:t>Hoạt động kiểm tra của DICJ</w:t>
      </w:r>
      <w:r w:rsidR="00BE2189" w:rsidRPr="009E2DA2">
        <w:rPr>
          <w:rFonts w:ascii="Arial" w:eastAsia="Times New Roman" w:hAnsi="Arial" w:cs="Arial"/>
          <w:b/>
          <w:i/>
          <w:color w:val="1F1F1F"/>
          <w:sz w:val="20"/>
          <w:szCs w:val="20"/>
        </w:rPr>
        <w:t>,</w:t>
      </w:r>
      <w:r w:rsidR="00A550DD" w:rsidRPr="009E2DA2">
        <w:rPr>
          <w:rFonts w:ascii="Arial" w:eastAsia="Times New Roman" w:hAnsi="Arial" w:cs="Arial"/>
          <w:b/>
          <w:i/>
          <w:color w:val="1F1F1F"/>
          <w:sz w:val="20"/>
          <w:szCs w:val="20"/>
        </w:rPr>
        <w:t xml:space="preserve"> 2001 đến 2017</w:t>
      </w:r>
    </w:p>
    <w:tbl>
      <w:tblPr>
        <w:tblStyle w:val="TableGrid"/>
        <w:tblW w:w="9045" w:type="dxa"/>
        <w:jc w:val="center"/>
        <w:tblLook w:val="04A0" w:firstRow="1" w:lastRow="0" w:firstColumn="1" w:lastColumn="0" w:noHBand="0" w:noVBand="1"/>
      </w:tblPr>
      <w:tblGrid>
        <w:gridCol w:w="855"/>
        <w:gridCol w:w="2968"/>
        <w:gridCol w:w="1800"/>
        <w:gridCol w:w="1801"/>
        <w:gridCol w:w="1621"/>
      </w:tblGrid>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b/>
                <w:color w:val="1F1F1F"/>
                <w:sz w:val="20"/>
                <w:szCs w:val="20"/>
              </w:rPr>
            </w:pPr>
            <w:r w:rsidRPr="008E04A6">
              <w:rPr>
                <w:rFonts w:ascii="Arial" w:eastAsia="Times New Roman" w:hAnsi="Arial" w:cs="Arial"/>
                <w:b/>
                <w:color w:val="1F1F1F"/>
                <w:sz w:val="20"/>
                <w:szCs w:val="20"/>
              </w:rPr>
              <w:t>Năm</w:t>
            </w:r>
          </w:p>
        </w:tc>
        <w:tc>
          <w:tcPr>
            <w:tcW w:w="2968" w:type="dxa"/>
            <w:vAlign w:val="center"/>
          </w:tcPr>
          <w:p w:rsidR="00A550DD" w:rsidRPr="008E04A6" w:rsidRDefault="00A550DD" w:rsidP="008E04A6">
            <w:pPr>
              <w:spacing w:before="120"/>
              <w:jc w:val="both"/>
              <w:rPr>
                <w:rFonts w:ascii="Arial" w:eastAsia="Times New Roman" w:hAnsi="Arial" w:cs="Arial"/>
                <w:b/>
                <w:color w:val="1F1F1F"/>
                <w:sz w:val="20"/>
                <w:szCs w:val="20"/>
              </w:rPr>
            </w:pPr>
            <w:r w:rsidRPr="008E04A6">
              <w:rPr>
                <w:rFonts w:ascii="Arial" w:eastAsia="Times New Roman" w:hAnsi="Arial" w:cs="Arial"/>
                <w:b/>
                <w:color w:val="1F1F1F"/>
                <w:sz w:val="20"/>
                <w:szCs w:val="20"/>
              </w:rPr>
              <w:t>Số lượng tổ chức tài chính được kiểm tra</w:t>
            </w:r>
          </w:p>
        </w:tc>
        <w:tc>
          <w:tcPr>
            <w:tcW w:w="1800" w:type="dxa"/>
            <w:vAlign w:val="center"/>
          </w:tcPr>
          <w:p w:rsidR="00A550DD" w:rsidRPr="008E04A6" w:rsidRDefault="00A550DD" w:rsidP="008E04A6">
            <w:pPr>
              <w:spacing w:before="120"/>
              <w:jc w:val="both"/>
              <w:rPr>
                <w:rFonts w:ascii="Arial" w:eastAsia="Times New Roman" w:hAnsi="Arial" w:cs="Arial"/>
                <w:b/>
                <w:color w:val="1F1F1F"/>
                <w:sz w:val="20"/>
                <w:szCs w:val="20"/>
              </w:rPr>
            </w:pPr>
            <w:r w:rsidRPr="008E04A6">
              <w:rPr>
                <w:rFonts w:ascii="Arial" w:eastAsia="Times New Roman" w:hAnsi="Arial" w:cs="Arial"/>
                <w:b/>
                <w:color w:val="1F1F1F"/>
                <w:sz w:val="20"/>
                <w:szCs w:val="20"/>
              </w:rPr>
              <w:t>Ngân hàng</w:t>
            </w:r>
          </w:p>
        </w:tc>
        <w:tc>
          <w:tcPr>
            <w:tcW w:w="1801" w:type="dxa"/>
            <w:vAlign w:val="center"/>
          </w:tcPr>
          <w:p w:rsidR="00A550DD" w:rsidRPr="008E04A6" w:rsidRDefault="00A550DD" w:rsidP="008E04A6">
            <w:pPr>
              <w:spacing w:before="120"/>
              <w:jc w:val="both"/>
              <w:rPr>
                <w:rFonts w:ascii="Arial" w:eastAsia="Times New Roman" w:hAnsi="Arial" w:cs="Arial"/>
                <w:b/>
                <w:color w:val="1F1F1F"/>
                <w:sz w:val="20"/>
                <w:szCs w:val="20"/>
              </w:rPr>
            </w:pPr>
            <w:r w:rsidRPr="008E04A6">
              <w:rPr>
                <w:rFonts w:ascii="Arial" w:eastAsia="Times New Roman" w:hAnsi="Arial" w:cs="Arial"/>
                <w:b/>
                <w:color w:val="1F1F1F"/>
                <w:sz w:val="20"/>
                <w:szCs w:val="20"/>
              </w:rPr>
              <w:t>Ngân hàng Shinkin</w:t>
            </w:r>
          </w:p>
        </w:tc>
        <w:tc>
          <w:tcPr>
            <w:tcW w:w="1621" w:type="dxa"/>
            <w:vAlign w:val="center"/>
          </w:tcPr>
          <w:p w:rsidR="00A550DD" w:rsidRPr="008E04A6" w:rsidRDefault="00A550DD" w:rsidP="008E04A6">
            <w:pPr>
              <w:spacing w:before="120"/>
              <w:jc w:val="both"/>
              <w:rPr>
                <w:rFonts w:ascii="Arial" w:eastAsia="Times New Roman" w:hAnsi="Arial" w:cs="Arial"/>
                <w:b/>
                <w:color w:val="1F1F1F"/>
                <w:sz w:val="20"/>
                <w:szCs w:val="20"/>
              </w:rPr>
            </w:pPr>
            <w:r w:rsidRPr="008E04A6">
              <w:rPr>
                <w:rFonts w:ascii="Arial" w:eastAsia="Times New Roman" w:hAnsi="Arial" w:cs="Arial"/>
                <w:b/>
                <w:color w:val="1F1F1F"/>
                <w:sz w:val="20"/>
                <w:szCs w:val="20"/>
              </w:rPr>
              <w:t>Hợp tác xã tín dụng</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2001</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39</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14</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23</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2002</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66</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31</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34</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2003</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100</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10</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56</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34</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2004</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113</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17</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66</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30</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2005</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105</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14</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69</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22</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2006</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100</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35</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35</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30</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2007</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100</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58</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29</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13</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2008</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116</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22</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59</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35</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2009</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91</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5</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44</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42</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2010</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46</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5</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27</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14</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2011</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57</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8</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44</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5</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2012</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58</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25</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13</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2013</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46</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18</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21</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7</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2014</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42</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25</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16</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2015</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42</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18</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4</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lastRenderedPageBreak/>
              <w:t>2016</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31</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w:t>
            </w:r>
          </w:p>
        </w:tc>
        <w:tc>
          <w:tcPr>
            <w:tcW w:w="180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8</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3</w:t>
            </w:r>
          </w:p>
        </w:tc>
      </w:tr>
      <w:tr w:rsidR="00A550DD" w:rsidRPr="008E04A6" w:rsidTr="009E2DA2">
        <w:trPr>
          <w:jc w:val="center"/>
        </w:trPr>
        <w:tc>
          <w:tcPr>
            <w:tcW w:w="855"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2017</w:t>
            </w:r>
          </w:p>
        </w:tc>
        <w:tc>
          <w:tcPr>
            <w:tcW w:w="2968"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33</w:t>
            </w:r>
          </w:p>
        </w:tc>
        <w:tc>
          <w:tcPr>
            <w:tcW w:w="1800"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15</w:t>
            </w:r>
          </w:p>
        </w:tc>
        <w:tc>
          <w:tcPr>
            <w:tcW w:w="1801" w:type="dxa"/>
            <w:vAlign w:val="center"/>
          </w:tcPr>
          <w:p w:rsidR="00A550DD" w:rsidRPr="008E04A6" w:rsidRDefault="00A550DD"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13</w:t>
            </w:r>
          </w:p>
        </w:tc>
        <w:tc>
          <w:tcPr>
            <w:tcW w:w="1621" w:type="dxa"/>
            <w:vAlign w:val="center"/>
          </w:tcPr>
          <w:p w:rsidR="00A550DD" w:rsidRPr="008E04A6" w:rsidRDefault="00793964" w:rsidP="008E04A6">
            <w:pPr>
              <w:spacing w:before="120"/>
              <w:jc w:val="both"/>
              <w:rPr>
                <w:rFonts w:ascii="Arial" w:eastAsia="Times New Roman" w:hAnsi="Arial" w:cs="Arial"/>
                <w:color w:val="1F1F1F"/>
                <w:sz w:val="20"/>
                <w:szCs w:val="20"/>
              </w:rPr>
            </w:pPr>
            <w:r w:rsidRPr="008E04A6">
              <w:rPr>
                <w:rFonts w:ascii="Arial" w:eastAsia="Times New Roman" w:hAnsi="Arial" w:cs="Arial"/>
                <w:color w:val="1F1F1F"/>
                <w:sz w:val="20"/>
                <w:szCs w:val="20"/>
              </w:rPr>
              <w:t>5</w:t>
            </w:r>
          </w:p>
        </w:tc>
      </w:tr>
    </w:tbl>
    <w:p w:rsidR="009E2DA2" w:rsidRDefault="00793964" w:rsidP="009E2DA2">
      <w:pPr>
        <w:shd w:val="clear" w:color="auto" w:fill="FFFFFF"/>
        <w:spacing w:before="120" w:after="0" w:line="240" w:lineRule="auto"/>
        <w:jc w:val="center"/>
        <w:rPr>
          <w:rFonts w:ascii="Arial" w:eastAsia="Times New Roman" w:hAnsi="Arial" w:cs="Arial"/>
          <w:i/>
          <w:color w:val="1F1F1F"/>
          <w:sz w:val="20"/>
          <w:szCs w:val="20"/>
        </w:rPr>
      </w:pPr>
      <w:r w:rsidRPr="008E04A6">
        <w:rPr>
          <w:rFonts w:ascii="Arial" w:eastAsia="Times New Roman" w:hAnsi="Arial" w:cs="Arial"/>
          <w:i/>
          <w:color w:val="1F1F1F"/>
          <w:sz w:val="20"/>
          <w:szCs w:val="20"/>
        </w:rPr>
        <w:t>Nguồn: Báo cáo hàng năm 2017 của DICJ</w:t>
      </w:r>
    </w:p>
    <w:p w:rsidR="009E2DA2" w:rsidRDefault="00E17BE5" w:rsidP="008E04A6">
      <w:pPr>
        <w:shd w:val="clear" w:color="auto" w:fill="FFFFFF"/>
        <w:spacing w:before="120" w:after="0" w:line="240" w:lineRule="auto"/>
        <w:jc w:val="both"/>
        <w:rPr>
          <w:rFonts w:ascii="Arial" w:eastAsia="Times New Roman" w:hAnsi="Arial" w:cs="Arial"/>
          <w:i/>
          <w:color w:val="1F1F1F"/>
          <w:sz w:val="20"/>
          <w:szCs w:val="20"/>
        </w:rPr>
      </w:pPr>
      <w:r w:rsidRPr="008E04A6">
        <w:rPr>
          <w:rFonts w:ascii="Arial" w:eastAsia="Times New Roman" w:hAnsi="Arial" w:cs="Arial"/>
          <w:color w:val="1F1F1F"/>
          <w:sz w:val="20"/>
          <w:szCs w:val="20"/>
        </w:rPr>
        <w:t>Thực t</w:t>
      </w:r>
      <w:r w:rsidR="00793964" w:rsidRPr="008E04A6">
        <w:rPr>
          <w:rFonts w:ascii="Arial" w:eastAsia="Times New Roman" w:hAnsi="Arial" w:cs="Arial"/>
          <w:color w:val="1F1F1F"/>
          <w:sz w:val="20"/>
          <w:szCs w:val="20"/>
        </w:rPr>
        <w:t>ế, từ năm 2001 đến cuối năm 2017</w:t>
      </w:r>
      <w:r w:rsidRPr="008E04A6">
        <w:rPr>
          <w:rFonts w:ascii="Arial" w:eastAsia="Times New Roman" w:hAnsi="Arial" w:cs="Arial"/>
          <w:color w:val="1F1F1F"/>
          <w:sz w:val="20"/>
          <w:szCs w:val="20"/>
        </w:rPr>
        <w:t xml:space="preserve"> DICJ đã tiến hành </w:t>
      </w:r>
      <w:r w:rsidR="00793964" w:rsidRPr="008E04A6">
        <w:rPr>
          <w:rFonts w:ascii="Arial" w:eastAsia="Times New Roman" w:hAnsi="Arial" w:cs="Arial"/>
          <w:color w:val="1F1F1F"/>
          <w:sz w:val="20"/>
          <w:szCs w:val="20"/>
        </w:rPr>
        <w:t>1.185</w:t>
      </w:r>
      <w:r w:rsidRPr="008E04A6">
        <w:rPr>
          <w:rFonts w:ascii="Arial" w:eastAsia="Times New Roman" w:hAnsi="Arial" w:cs="Arial"/>
          <w:color w:val="1F1F1F"/>
          <w:sz w:val="20"/>
          <w:szCs w:val="20"/>
        </w:rPr>
        <w:t xml:space="preserve"> cuộc kiểm tra các tổ chức tham gia BHTG. Các hoạt động kiểm tra, giám sát của DICJ rất hiệu quả</w:t>
      </w:r>
      <w:r w:rsidR="009E2DA2">
        <w:rPr>
          <w:rFonts w:ascii="Arial" w:eastAsia="Times New Roman" w:hAnsi="Arial" w:cs="Arial"/>
          <w:color w:val="1F1F1F"/>
          <w:sz w:val="20"/>
          <w:szCs w:val="20"/>
        </w:rPr>
        <w:t xml:space="preserve">, </w:t>
      </w:r>
      <w:r w:rsidRPr="008E04A6">
        <w:rPr>
          <w:rFonts w:ascii="Arial" w:eastAsia="Times New Roman" w:hAnsi="Arial" w:cs="Arial"/>
          <w:color w:val="1F1F1F"/>
          <w:sz w:val="20"/>
          <w:szCs w:val="20"/>
        </w:rPr>
        <w:t xml:space="preserve">đặc biệt là hoạt động xử lý đỗ vỡ ngân hàng. Qua đó, DICJ được đánh giá </w:t>
      </w:r>
      <w:r w:rsidRPr="008E04A6">
        <w:rPr>
          <w:rFonts w:ascii="Arial" w:eastAsia="Times New Roman" w:hAnsi="Arial" w:cs="Arial"/>
          <w:bCs/>
          <w:sz w:val="20"/>
          <w:szCs w:val="20"/>
        </w:rPr>
        <w:t xml:space="preserve">là tổ chức BHTG có sự chuyển hướng về mô hình hoạt động phù hợp với từng giai đoạn phát triển, nhờ đó ngày càng hoàn thành tốt hơn mục tiêu bảo vệ người gửi tiền, bình ổn </w:t>
      </w:r>
      <w:r w:rsidR="00BE2189" w:rsidRPr="008E04A6">
        <w:rPr>
          <w:rFonts w:ascii="Arial" w:eastAsia="Times New Roman" w:hAnsi="Arial" w:cs="Arial"/>
          <w:bCs/>
          <w:sz w:val="20"/>
          <w:szCs w:val="20"/>
        </w:rPr>
        <w:t>hoạt động</w:t>
      </w:r>
      <w:r w:rsidRPr="008E04A6">
        <w:rPr>
          <w:rFonts w:ascii="Arial" w:eastAsia="Times New Roman" w:hAnsi="Arial" w:cs="Arial"/>
          <w:bCs/>
          <w:sz w:val="20"/>
          <w:szCs w:val="20"/>
        </w:rPr>
        <w:t xml:space="preserve"> ngân hàng, nâng cao niềm tin công chúng.</w:t>
      </w:r>
    </w:p>
    <w:p w:rsidR="009E2DA2" w:rsidRDefault="009E2DA2" w:rsidP="009E2DA2">
      <w:pPr>
        <w:shd w:val="clear" w:color="auto" w:fill="FFFFFF"/>
        <w:spacing w:before="120" w:after="0" w:line="240" w:lineRule="auto"/>
        <w:jc w:val="both"/>
        <w:rPr>
          <w:rFonts w:ascii="Arial" w:eastAsia="Times New Roman" w:hAnsi="Arial" w:cs="Arial"/>
          <w:i/>
          <w:color w:val="1F1F1F"/>
          <w:sz w:val="20"/>
          <w:szCs w:val="20"/>
        </w:rPr>
      </w:pPr>
      <w:r>
        <w:rPr>
          <w:rFonts w:ascii="Arial" w:eastAsia="Times New Roman" w:hAnsi="Arial" w:cs="Arial"/>
          <w:b/>
          <w:bCs/>
          <w:sz w:val="20"/>
          <w:szCs w:val="20"/>
        </w:rPr>
        <w:t>Vai trò quan trọng của h</w:t>
      </w:r>
      <w:r w:rsidR="00E17BE5" w:rsidRPr="008E04A6">
        <w:rPr>
          <w:rFonts w:ascii="Arial" w:eastAsia="Times New Roman" w:hAnsi="Arial" w:cs="Arial"/>
          <w:b/>
          <w:bCs/>
          <w:sz w:val="20"/>
          <w:szCs w:val="20"/>
        </w:rPr>
        <w:t xml:space="preserve">oạt động kiểm tra của </w:t>
      </w:r>
      <w:r w:rsidR="004B5F9B" w:rsidRPr="008E04A6">
        <w:rPr>
          <w:rFonts w:ascii="Arial" w:eastAsia="Times New Roman" w:hAnsi="Arial" w:cs="Arial"/>
          <w:b/>
          <w:bCs/>
          <w:sz w:val="20"/>
          <w:szCs w:val="20"/>
        </w:rPr>
        <w:t xml:space="preserve">Bảo hiểm </w:t>
      </w:r>
      <w:r>
        <w:rPr>
          <w:rFonts w:ascii="Arial" w:eastAsia="Times New Roman" w:hAnsi="Arial" w:cs="Arial"/>
          <w:b/>
          <w:bCs/>
          <w:sz w:val="20"/>
          <w:szCs w:val="20"/>
        </w:rPr>
        <w:t>T</w:t>
      </w:r>
      <w:r w:rsidR="004B5F9B" w:rsidRPr="008E04A6">
        <w:rPr>
          <w:rFonts w:ascii="Arial" w:eastAsia="Times New Roman" w:hAnsi="Arial" w:cs="Arial"/>
          <w:b/>
          <w:bCs/>
          <w:sz w:val="20"/>
          <w:szCs w:val="20"/>
        </w:rPr>
        <w:t xml:space="preserve">iền gửi </w:t>
      </w:r>
      <w:r w:rsidR="00E17BE5" w:rsidRPr="008E04A6">
        <w:rPr>
          <w:rFonts w:ascii="Arial" w:eastAsia="Times New Roman" w:hAnsi="Arial" w:cs="Arial"/>
          <w:b/>
          <w:bCs/>
          <w:sz w:val="20"/>
          <w:szCs w:val="20"/>
        </w:rPr>
        <w:t>Việt Nam</w:t>
      </w:r>
    </w:p>
    <w:p w:rsidR="009E2DA2" w:rsidRDefault="004B5F9B" w:rsidP="009E2DA2">
      <w:pPr>
        <w:shd w:val="clear" w:color="auto" w:fill="FFFFFF"/>
        <w:spacing w:before="120" w:after="0" w:line="240" w:lineRule="auto"/>
        <w:jc w:val="both"/>
        <w:rPr>
          <w:rFonts w:ascii="Arial" w:eastAsia="Times New Roman" w:hAnsi="Arial" w:cs="Arial"/>
          <w:i/>
          <w:color w:val="1F1F1F"/>
          <w:sz w:val="20"/>
          <w:szCs w:val="20"/>
        </w:rPr>
      </w:pPr>
      <w:r w:rsidRPr="008E04A6">
        <w:rPr>
          <w:rFonts w:ascii="Arial" w:hAnsi="Arial" w:cs="Arial"/>
          <w:color w:val="000000"/>
          <w:sz w:val="20"/>
          <w:szCs w:val="20"/>
        </w:rPr>
        <w:t>Bảo hiể</w:t>
      </w:r>
      <w:r w:rsidR="009E2DA2">
        <w:rPr>
          <w:rFonts w:ascii="Arial" w:hAnsi="Arial" w:cs="Arial"/>
          <w:color w:val="000000"/>
          <w:sz w:val="20"/>
          <w:szCs w:val="20"/>
        </w:rPr>
        <w:t>m T</w:t>
      </w:r>
      <w:r w:rsidRPr="008E04A6">
        <w:rPr>
          <w:rFonts w:ascii="Arial" w:hAnsi="Arial" w:cs="Arial"/>
          <w:color w:val="000000"/>
          <w:sz w:val="20"/>
          <w:szCs w:val="20"/>
        </w:rPr>
        <w:t>iền gửi</w:t>
      </w:r>
      <w:r w:rsidR="00E17BE5" w:rsidRPr="008E04A6">
        <w:rPr>
          <w:rFonts w:ascii="Arial" w:hAnsi="Arial" w:cs="Arial"/>
          <w:color w:val="000000"/>
          <w:sz w:val="20"/>
          <w:szCs w:val="20"/>
        </w:rPr>
        <w:t xml:space="preserve"> Việt Nam</w:t>
      </w:r>
      <w:r w:rsidR="00A5283E" w:rsidRPr="008E04A6">
        <w:rPr>
          <w:rFonts w:ascii="Arial" w:hAnsi="Arial" w:cs="Arial"/>
          <w:color w:val="000000"/>
          <w:sz w:val="20"/>
          <w:szCs w:val="20"/>
        </w:rPr>
        <w:t xml:space="preserve"> (BHTGVN)</w:t>
      </w:r>
      <w:r w:rsidR="00E17BE5" w:rsidRPr="008E04A6">
        <w:rPr>
          <w:rFonts w:ascii="Arial" w:hAnsi="Arial" w:cs="Arial"/>
          <w:color w:val="000000"/>
          <w:sz w:val="20"/>
          <w:szCs w:val="20"/>
        </w:rPr>
        <w:t xml:space="preserve"> chính thức khai chương </w:t>
      </w:r>
      <w:r w:rsidRPr="008E04A6">
        <w:rPr>
          <w:rFonts w:ascii="Arial" w:hAnsi="Arial" w:cs="Arial"/>
          <w:color w:val="000000"/>
          <w:sz w:val="20"/>
          <w:szCs w:val="20"/>
        </w:rPr>
        <w:t xml:space="preserve">và </w:t>
      </w:r>
      <w:r w:rsidR="00E17BE5" w:rsidRPr="008E04A6">
        <w:rPr>
          <w:rFonts w:ascii="Arial" w:hAnsi="Arial" w:cs="Arial"/>
          <w:color w:val="000000"/>
          <w:sz w:val="20"/>
          <w:szCs w:val="20"/>
        </w:rPr>
        <w:t>đi vào hoạt động từ</w:t>
      </w:r>
      <w:r w:rsidR="00133B73" w:rsidRPr="008E04A6">
        <w:rPr>
          <w:rFonts w:ascii="Arial" w:hAnsi="Arial" w:cs="Arial"/>
          <w:color w:val="000000"/>
          <w:sz w:val="20"/>
          <w:szCs w:val="20"/>
        </w:rPr>
        <w:t xml:space="preserve"> </w:t>
      </w:r>
      <w:r w:rsidR="00E17BE5" w:rsidRPr="008E04A6">
        <w:rPr>
          <w:rFonts w:ascii="Arial" w:hAnsi="Arial" w:cs="Arial"/>
          <w:color w:val="000000"/>
          <w:sz w:val="20"/>
          <w:szCs w:val="20"/>
        </w:rPr>
        <w:t>ngày 07/07/2000</w:t>
      </w:r>
      <w:r w:rsidR="00AD70A6" w:rsidRPr="008E04A6">
        <w:rPr>
          <w:rFonts w:ascii="Arial" w:hAnsi="Arial" w:cs="Arial"/>
          <w:color w:val="000000"/>
          <w:sz w:val="20"/>
          <w:szCs w:val="20"/>
        </w:rPr>
        <w:t>,</w:t>
      </w:r>
      <w:r w:rsidR="00E17BE5" w:rsidRPr="008E04A6">
        <w:rPr>
          <w:rFonts w:ascii="Arial" w:hAnsi="Arial" w:cs="Arial"/>
          <w:color w:val="000000"/>
          <w:sz w:val="20"/>
          <w:szCs w:val="20"/>
        </w:rPr>
        <w:t xml:space="preserve"> là tổ chức tài chính nhà nước được Nhà nước cấp vốn điều lệ, có tư cách pháp nhân, hoạt động không vì mục tiêu lợi nhuận</w:t>
      </w:r>
      <w:r w:rsidR="00AD70A6" w:rsidRPr="008E04A6">
        <w:rPr>
          <w:rFonts w:ascii="Arial" w:hAnsi="Arial" w:cs="Arial"/>
          <w:color w:val="000000"/>
          <w:sz w:val="20"/>
          <w:szCs w:val="20"/>
        </w:rPr>
        <w:t>,</w:t>
      </w:r>
      <w:r w:rsidR="00E17BE5" w:rsidRPr="008E04A6">
        <w:rPr>
          <w:rFonts w:ascii="Arial" w:hAnsi="Arial" w:cs="Arial"/>
          <w:color w:val="000000"/>
          <w:sz w:val="20"/>
          <w:szCs w:val="20"/>
        </w:rPr>
        <w:t xml:space="preserve"> tự bù đắp chi phí và được miễ</w:t>
      </w:r>
      <w:r w:rsidR="009E2DA2">
        <w:rPr>
          <w:rFonts w:ascii="Arial" w:hAnsi="Arial" w:cs="Arial"/>
          <w:color w:val="000000"/>
          <w:sz w:val="20"/>
          <w:szCs w:val="20"/>
        </w:rPr>
        <w:t>n</w:t>
      </w:r>
      <w:r w:rsidR="00E17BE5" w:rsidRPr="008E04A6">
        <w:rPr>
          <w:rFonts w:ascii="Arial" w:hAnsi="Arial" w:cs="Arial"/>
          <w:color w:val="000000"/>
          <w:sz w:val="20"/>
          <w:szCs w:val="20"/>
        </w:rPr>
        <w:t xml:space="preserve"> trừ các loại thuế. </w:t>
      </w:r>
      <w:r w:rsidR="00A5283E" w:rsidRPr="008E04A6">
        <w:rPr>
          <w:rFonts w:ascii="Arial" w:hAnsi="Arial" w:cs="Arial"/>
          <w:color w:val="000000"/>
          <w:sz w:val="20"/>
          <w:szCs w:val="20"/>
        </w:rPr>
        <w:t>BHTGVN</w:t>
      </w:r>
      <w:r w:rsidR="00E17BE5" w:rsidRPr="008E04A6">
        <w:rPr>
          <w:rFonts w:ascii="Arial" w:hAnsi="Arial" w:cs="Arial"/>
          <w:color w:val="000000"/>
          <w:sz w:val="20"/>
          <w:szCs w:val="20"/>
        </w:rPr>
        <w:t xml:space="preserve"> là tổ chức duy nhất tại Việt Nam triển khai </w:t>
      </w:r>
      <w:r w:rsidRPr="008E04A6">
        <w:rPr>
          <w:rFonts w:ascii="Arial" w:hAnsi="Arial" w:cs="Arial"/>
          <w:color w:val="000000"/>
          <w:sz w:val="20"/>
          <w:szCs w:val="20"/>
        </w:rPr>
        <w:t>chính sách</w:t>
      </w:r>
      <w:r w:rsidR="00E17BE5" w:rsidRPr="008E04A6">
        <w:rPr>
          <w:rFonts w:ascii="Arial" w:hAnsi="Arial" w:cs="Arial"/>
          <w:color w:val="000000"/>
          <w:sz w:val="20"/>
          <w:szCs w:val="20"/>
        </w:rPr>
        <w:t xml:space="preserve"> BHTG</w:t>
      </w:r>
      <w:r w:rsidRPr="008E04A6">
        <w:rPr>
          <w:rFonts w:ascii="Arial" w:hAnsi="Arial" w:cs="Arial"/>
          <w:color w:val="000000"/>
          <w:sz w:val="20"/>
          <w:szCs w:val="20"/>
        </w:rPr>
        <w:t xml:space="preserve">, </w:t>
      </w:r>
      <w:r w:rsidR="00E17BE5" w:rsidRPr="008E04A6">
        <w:rPr>
          <w:rFonts w:ascii="Arial" w:hAnsi="Arial" w:cs="Arial"/>
          <w:color w:val="000000"/>
          <w:sz w:val="20"/>
          <w:szCs w:val="20"/>
        </w:rPr>
        <w:t>hoạt động theo mô hình chi trả với quyền hạn mở rộng, cơ cấu tổ chức gồ</w:t>
      </w:r>
      <w:r w:rsidR="00AD70A6" w:rsidRPr="008E04A6">
        <w:rPr>
          <w:rFonts w:ascii="Arial" w:hAnsi="Arial" w:cs="Arial"/>
          <w:color w:val="000000"/>
          <w:sz w:val="20"/>
          <w:szCs w:val="20"/>
        </w:rPr>
        <w:t>m</w:t>
      </w:r>
      <w:r w:rsidR="009E2DA2">
        <w:rPr>
          <w:rFonts w:ascii="Arial" w:hAnsi="Arial" w:cs="Arial"/>
          <w:color w:val="000000"/>
          <w:sz w:val="20"/>
          <w:szCs w:val="20"/>
        </w:rPr>
        <w:t>:</w:t>
      </w:r>
      <w:r w:rsidR="00AD70A6" w:rsidRPr="008E04A6">
        <w:rPr>
          <w:rFonts w:ascii="Arial" w:hAnsi="Arial" w:cs="Arial"/>
          <w:color w:val="000000"/>
          <w:sz w:val="20"/>
          <w:szCs w:val="20"/>
        </w:rPr>
        <w:t xml:space="preserve"> T</w:t>
      </w:r>
      <w:r w:rsidR="00E17BE5" w:rsidRPr="008E04A6">
        <w:rPr>
          <w:rFonts w:ascii="Arial" w:hAnsi="Arial" w:cs="Arial"/>
          <w:color w:val="000000"/>
          <w:sz w:val="20"/>
          <w:szCs w:val="20"/>
        </w:rPr>
        <w:t>rụ sở chính</w:t>
      </w:r>
      <w:r w:rsidR="001B30AE" w:rsidRPr="008E04A6">
        <w:rPr>
          <w:rFonts w:ascii="Arial" w:hAnsi="Arial" w:cs="Arial"/>
          <w:color w:val="000000"/>
          <w:sz w:val="20"/>
          <w:szCs w:val="20"/>
        </w:rPr>
        <w:t xml:space="preserve"> tại Hà Nội</w:t>
      </w:r>
      <w:r w:rsidR="009E2DA2">
        <w:rPr>
          <w:rFonts w:ascii="Arial" w:hAnsi="Arial" w:cs="Arial"/>
          <w:color w:val="000000"/>
          <w:sz w:val="20"/>
          <w:szCs w:val="20"/>
        </w:rPr>
        <w:t xml:space="preserve"> và tám c</w:t>
      </w:r>
      <w:r w:rsidR="00E17BE5" w:rsidRPr="008E04A6">
        <w:rPr>
          <w:rFonts w:ascii="Arial" w:hAnsi="Arial" w:cs="Arial"/>
          <w:color w:val="000000"/>
          <w:sz w:val="20"/>
          <w:szCs w:val="20"/>
        </w:rPr>
        <w:t>hi nhánh BHTG khu vực</w:t>
      </w:r>
      <w:r w:rsidR="00E3428B" w:rsidRPr="008E04A6">
        <w:rPr>
          <w:rFonts w:ascii="Arial" w:hAnsi="Arial" w:cs="Arial"/>
          <w:color w:val="000000"/>
          <w:sz w:val="20"/>
          <w:szCs w:val="20"/>
        </w:rPr>
        <w:t xml:space="preserve"> đặt tại</w:t>
      </w:r>
      <w:r w:rsidR="009A2F41" w:rsidRPr="008E04A6">
        <w:rPr>
          <w:rFonts w:ascii="Arial" w:hAnsi="Arial" w:cs="Arial"/>
          <w:color w:val="000000"/>
          <w:sz w:val="20"/>
          <w:szCs w:val="20"/>
        </w:rPr>
        <w:t xml:space="preserve"> các vùng kinh tế trọng điểm của đất nước</w:t>
      </w:r>
      <w:r w:rsidR="00E17BE5" w:rsidRPr="008E04A6">
        <w:rPr>
          <w:rFonts w:ascii="Arial" w:hAnsi="Arial" w:cs="Arial"/>
          <w:color w:val="000000"/>
          <w:sz w:val="20"/>
          <w:szCs w:val="20"/>
        </w:rPr>
        <w:t>.</w:t>
      </w:r>
      <w:r w:rsidR="00A236D1" w:rsidRPr="008E04A6">
        <w:rPr>
          <w:rFonts w:ascii="Arial" w:hAnsi="Arial" w:cs="Arial"/>
          <w:color w:val="000000"/>
          <w:sz w:val="20"/>
          <w:szCs w:val="20"/>
        </w:rPr>
        <w:t xml:space="preserve"> Tính đế</w:t>
      </w:r>
      <w:r w:rsidR="005B7855" w:rsidRPr="008E04A6">
        <w:rPr>
          <w:rFonts w:ascii="Arial" w:hAnsi="Arial" w:cs="Arial"/>
          <w:color w:val="000000"/>
          <w:sz w:val="20"/>
          <w:szCs w:val="20"/>
        </w:rPr>
        <w:t xml:space="preserve">n ngày 31/12/2017, BHTGVN đang </w:t>
      </w:r>
      <w:r w:rsidR="00AD70A6" w:rsidRPr="008E04A6">
        <w:rPr>
          <w:rFonts w:ascii="Arial" w:hAnsi="Arial" w:cs="Arial"/>
          <w:color w:val="000000"/>
          <w:sz w:val="20"/>
          <w:szCs w:val="20"/>
        </w:rPr>
        <w:t xml:space="preserve">triển khai nghiệp vụ tới </w:t>
      </w:r>
      <w:r w:rsidR="005B7855" w:rsidRPr="008E04A6">
        <w:rPr>
          <w:rFonts w:ascii="Arial" w:hAnsi="Arial" w:cs="Arial"/>
          <w:color w:val="000000"/>
          <w:sz w:val="20"/>
          <w:szCs w:val="20"/>
        </w:rPr>
        <w:t>1275 tổ chức tham gia BHTG</w:t>
      </w:r>
      <w:r w:rsidR="00AD70A6" w:rsidRPr="008E04A6">
        <w:rPr>
          <w:rFonts w:ascii="Arial" w:hAnsi="Arial" w:cs="Arial"/>
          <w:color w:val="000000"/>
          <w:sz w:val="20"/>
          <w:szCs w:val="20"/>
        </w:rPr>
        <w:t>,</w:t>
      </w:r>
      <w:r w:rsidR="005B7855" w:rsidRPr="008E04A6">
        <w:rPr>
          <w:rFonts w:ascii="Arial" w:hAnsi="Arial" w:cs="Arial"/>
          <w:color w:val="000000"/>
          <w:sz w:val="20"/>
          <w:szCs w:val="20"/>
        </w:rPr>
        <w:t xml:space="preserve"> bao gồm: 93 ngân hàng và </w:t>
      </w:r>
      <w:r w:rsidR="009E2DA2">
        <w:rPr>
          <w:rFonts w:ascii="Arial" w:hAnsi="Arial" w:cs="Arial"/>
          <w:color w:val="000000"/>
          <w:sz w:val="20"/>
          <w:szCs w:val="20"/>
        </w:rPr>
        <w:t>c</w:t>
      </w:r>
      <w:r w:rsidR="005B7855" w:rsidRPr="008E04A6">
        <w:rPr>
          <w:rFonts w:ascii="Arial" w:hAnsi="Arial" w:cs="Arial"/>
          <w:color w:val="000000"/>
          <w:sz w:val="20"/>
          <w:szCs w:val="20"/>
        </w:rPr>
        <w:t>hi nhánh ngân hàng nước ngoài, 01 ngân hàng hợp tác xã và 1.770 quỹ tín dụng nhân dân, 04 tổ chức tài chính vi mô.</w:t>
      </w:r>
    </w:p>
    <w:p w:rsidR="009E2DA2" w:rsidRDefault="00A5283E" w:rsidP="009E2DA2">
      <w:pPr>
        <w:shd w:val="clear" w:color="auto" w:fill="FFFFFF"/>
        <w:spacing w:before="120" w:after="0" w:line="240" w:lineRule="auto"/>
        <w:jc w:val="both"/>
        <w:rPr>
          <w:rFonts w:ascii="Arial" w:hAnsi="Arial" w:cs="Arial"/>
          <w:color w:val="000000"/>
          <w:sz w:val="20"/>
          <w:szCs w:val="20"/>
        </w:rPr>
      </w:pPr>
      <w:r w:rsidRPr="008E04A6">
        <w:rPr>
          <w:rFonts w:ascii="Arial" w:hAnsi="Arial" w:cs="Arial"/>
          <w:color w:val="000000"/>
          <w:sz w:val="20"/>
          <w:szCs w:val="20"/>
        </w:rPr>
        <w:t>BHTGVN</w:t>
      </w:r>
      <w:r w:rsidR="00AD70A6" w:rsidRPr="008E04A6">
        <w:rPr>
          <w:rFonts w:ascii="Arial" w:hAnsi="Arial" w:cs="Arial"/>
          <w:color w:val="000000"/>
          <w:sz w:val="20"/>
          <w:szCs w:val="20"/>
        </w:rPr>
        <w:t xml:space="preserve"> </w:t>
      </w:r>
      <w:r w:rsidR="004B5F9B" w:rsidRPr="008E04A6">
        <w:rPr>
          <w:rFonts w:ascii="Arial" w:hAnsi="Arial" w:cs="Arial"/>
          <w:color w:val="000000"/>
          <w:sz w:val="20"/>
          <w:szCs w:val="20"/>
        </w:rPr>
        <w:t>hoạt động trên cơ sở phát lý Luật BHTG</w:t>
      </w:r>
      <w:r w:rsidR="009E2DA2">
        <w:rPr>
          <w:rFonts w:ascii="Arial" w:hAnsi="Arial" w:cs="Arial"/>
          <w:color w:val="000000"/>
          <w:sz w:val="20"/>
          <w:szCs w:val="20"/>
        </w:rPr>
        <w:t>, t</w:t>
      </w:r>
      <w:r w:rsidR="009A2F41" w:rsidRPr="008E04A6">
        <w:rPr>
          <w:rFonts w:ascii="Arial" w:hAnsi="Arial" w:cs="Arial"/>
          <w:color w:val="000000"/>
          <w:sz w:val="20"/>
          <w:szCs w:val="20"/>
        </w:rPr>
        <w:t>rong đó,</w:t>
      </w:r>
      <w:r w:rsidR="001B30AE" w:rsidRPr="008E04A6">
        <w:rPr>
          <w:rFonts w:ascii="Arial" w:hAnsi="Arial" w:cs="Arial"/>
          <w:color w:val="000000"/>
          <w:sz w:val="20"/>
          <w:szCs w:val="20"/>
        </w:rPr>
        <w:t xml:space="preserve"> </w:t>
      </w:r>
      <w:r w:rsidR="004B5F9B" w:rsidRPr="008E04A6">
        <w:rPr>
          <w:rFonts w:ascii="Arial" w:hAnsi="Arial" w:cs="Arial"/>
          <w:color w:val="000000"/>
          <w:sz w:val="20"/>
          <w:szCs w:val="20"/>
        </w:rPr>
        <w:t xml:space="preserve">Luật </w:t>
      </w:r>
      <w:r w:rsidRPr="008E04A6">
        <w:rPr>
          <w:rFonts w:ascii="Arial" w:hAnsi="Arial" w:cs="Arial"/>
          <w:color w:val="000000"/>
          <w:sz w:val="20"/>
          <w:szCs w:val="20"/>
        </w:rPr>
        <w:t>BHTG</w:t>
      </w:r>
      <w:r w:rsidR="004B5F9B" w:rsidRPr="008E04A6">
        <w:rPr>
          <w:rFonts w:ascii="Arial" w:hAnsi="Arial" w:cs="Arial"/>
          <w:color w:val="000000"/>
          <w:sz w:val="20"/>
          <w:szCs w:val="20"/>
        </w:rPr>
        <w:t xml:space="preserve"> quy đị</w:t>
      </w:r>
      <w:r w:rsidR="009A2F41" w:rsidRPr="008E04A6">
        <w:rPr>
          <w:rFonts w:ascii="Arial" w:hAnsi="Arial" w:cs="Arial"/>
          <w:color w:val="000000"/>
          <w:sz w:val="20"/>
          <w:szCs w:val="20"/>
        </w:rPr>
        <w:t xml:space="preserve">nh </w:t>
      </w:r>
      <w:r w:rsidRPr="008E04A6">
        <w:rPr>
          <w:rFonts w:ascii="Arial" w:hAnsi="Arial" w:cs="Arial"/>
          <w:color w:val="000000"/>
          <w:sz w:val="20"/>
          <w:szCs w:val="20"/>
        </w:rPr>
        <w:t xml:space="preserve">BHTGVN </w:t>
      </w:r>
      <w:r w:rsidR="001E02DE" w:rsidRPr="008E04A6">
        <w:rPr>
          <w:rFonts w:ascii="Arial" w:hAnsi="Arial" w:cs="Arial"/>
          <w:color w:val="000000"/>
          <w:sz w:val="20"/>
          <w:szCs w:val="20"/>
        </w:rPr>
        <w:t>có trách nhiệm</w:t>
      </w:r>
      <w:r w:rsidR="004B5F9B" w:rsidRPr="008E04A6">
        <w:rPr>
          <w:rFonts w:ascii="Arial" w:hAnsi="Arial" w:cs="Arial"/>
          <w:color w:val="000000"/>
          <w:sz w:val="20"/>
          <w:szCs w:val="20"/>
        </w:rPr>
        <w:t xml:space="preserve"> theo dõi, kiểm tra việc chấp hành các quy định của pháp luật về </w:t>
      </w:r>
      <w:r w:rsidRPr="008E04A6">
        <w:rPr>
          <w:rFonts w:ascii="Arial" w:hAnsi="Arial" w:cs="Arial"/>
          <w:color w:val="000000"/>
          <w:sz w:val="20"/>
          <w:szCs w:val="20"/>
        </w:rPr>
        <w:t>BHTG</w:t>
      </w:r>
      <w:r w:rsidR="004B5F9B" w:rsidRPr="008E04A6">
        <w:rPr>
          <w:rFonts w:ascii="Arial" w:hAnsi="Arial" w:cs="Arial"/>
          <w:color w:val="000000"/>
          <w:sz w:val="20"/>
          <w:szCs w:val="20"/>
        </w:rPr>
        <w:t xml:space="preserve">, kiến nghị Ngân hàng </w:t>
      </w:r>
      <w:r w:rsidR="009E2DA2">
        <w:rPr>
          <w:rFonts w:ascii="Arial" w:hAnsi="Arial" w:cs="Arial"/>
          <w:color w:val="000000"/>
          <w:sz w:val="20"/>
          <w:szCs w:val="20"/>
        </w:rPr>
        <w:t>N</w:t>
      </w:r>
      <w:r w:rsidR="004B5F9B" w:rsidRPr="008E04A6">
        <w:rPr>
          <w:rFonts w:ascii="Arial" w:hAnsi="Arial" w:cs="Arial"/>
          <w:color w:val="000000"/>
          <w:sz w:val="20"/>
          <w:szCs w:val="20"/>
        </w:rPr>
        <w:t>hà nước Việt Nam xử lý hành vi vi phạm quy định của pháp luật về BHTG</w:t>
      </w:r>
      <w:r w:rsidR="009E2DA2">
        <w:rPr>
          <w:rFonts w:ascii="Arial" w:hAnsi="Arial" w:cs="Arial"/>
          <w:color w:val="000000"/>
          <w:sz w:val="20"/>
          <w:szCs w:val="20"/>
        </w:rPr>
        <w:t>.</w:t>
      </w:r>
    </w:p>
    <w:p w:rsidR="009E2DA2" w:rsidRDefault="006E44D0" w:rsidP="009E2DA2">
      <w:pPr>
        <w:shd w:val="clear" w:color="auto" w:fill="FFFFFF"/>
        <w:spacing w:before="120" w:after="0" w:line="240" w:lineRule="auto"/>
        <w:jc w:val="both"/>
        <w:rPr>
          <w:rFonts w:ascii="Arial" w:hAnsi="Arial" w:cs="Arial"/>
          <w:color w:val="000000"/>
          <w:sz w:val="20"/>
          <w:szCs w:val="20"/>
        </w:rPr>
      </w:pPr>
      <w:r w:rsidRPr="008E04A6">
        <w:rPr>
          <w:rFonts w:ascii="Arial" w:hAnsi="Arial" w:cs="Arial"/>
          <w:color w:val="000000"/>
          <w:sz w:val="20"/>
          <w:szCs w:val="20"/>
        </w:rPr>
        <w:t>Hoạt động kiểm tra đối với các tổ chức tham gia BHTG là một trong những hoạt động nghiệp vụ chủ yếu củ</w:t>
      </w:r>
      <w:r w:rsidR="009E2DA2">
        <w:rPr>
          <w:rFonts w:ascii="Arial" w:hAnsi="Arial" w:cs="Arial"/>
          <w:color w:val="000000"/>
          <w:sz w:val="20"/>
          <w:szCs w:val="20"/>
        </w:rPr>
        <w:t>a BHTGVN.</w:t>
      </w:r>
    </w:p>
    <w:p w:rsidR="009E2DA2" w:rsidRDefault="00AD70A6" w:rsidP="009E2DA2">
      <w:pPr>
        <w:shd w:val="clear" w:color="auto" w:fill="FFFFFF"/>
        <w:spacing w:before="120" w:after="0" w:line="240" w:lineRule="auto"/>
        <w:jc w:val="both"/>
        <w:rPr>
          <w:rFonts w:ascii="Arial" w:hAnsi="Arial" w:cs="Arial"/>
          <w:color w:val="000000"/>
          <w:sz w:val="20"/>
          <w:szCs w:val="20"/>
        </w:rPr>
      </w:pPr>
      <w:r w:rsidRPr="008E04A6">
        <w:rPr>
          <w:rFonts w:ascii="Arial" w:hAnsi="Arial" w:cs="Arial"/>
          <w:color w:val="000000"/>
          <w:sz w:val="20"/>
          <w:szCs w:val="20"/>
        </w:rPr>
        <w:t>N</w:t>
      </w:r>
      <w:r w:rsidR="009A2F41" w:rsidRPr="008E04A6">
        <w:rPr>
          <w:rFonts w:ascii="Arial" w:hAnsi="Arial" w:cs="Arial"/>
          <w:color w:val="000000"/>
          <w:sz w:val="20"/>
          <w:szCs w:val="20"/>
        </w:rPr>
        <w:t>ội dung kiểm tra bao gồm: kiểm tra hiện trạng hồ sơ pháp lý về BHTG; kiểm tra việc niêm yết chứng nhận tham gia BHTG; kiểm tra việc chấp hành chế độ thông tin báo cao; kiểm tra việc tính và nộp phí. Bên cạ</w:t>
      </w:r>
      <w:r w:rsidR="00A5283E" w:rsidRPr="008E04A6">
        <w:rPr>
          <w:rFonts w:ascii="Arial" w:hAnsi="Arial" w:cs="Arial"/>
          <w:color w:val="000000"/>
          <w:sz w:val="20"/>
          <w:szCs w:val="20"/>
        </w:rPr>
        <w:t xml:space="preserve">nh đó, </w:t>
      </w:r>
      <w:r w:rsidR="009A2F41" w:rsidRPr="008E04A6">
        <w:rPr>
          <w:rFonts w:ascii="Arial" w:hAnsi="Arial" w:cs="Arial"/>
          <w:color w:val="000000"/>
          <w:sz w:val="20"/>
          <w:szCs w:val="20"/>
        </w:rPr>
        <w:t>thực hiện kiểm tra chuyên sâu về tiền gửi được bảo hiểm</w:t>
      </w:r>
      <w:r w:rsidR="00E3428B" w:rsidRPr="008E04A6">
        <w:rPr>
          <w:rFonts w:ascii="Arial" w:hAnsi="Arial" w:cs="Arial"/>
          <w:color w:val="000000"/>
          <w:sz w:val="20"/>
          <w:szCs w:val="20"/>
        </w:rPr>
        <w:t xml:space="preserve"> đối với các </w:t>
      </w:r>
      <w:r w:rsidR="00DC37DF" w:rsidRPr="008E04A6">
        <w:rPr>
          <w:rFonts w:ascii="Arial" w:hAnsi="Arial" w:cs="Arial"/>
          <w:color w:val="000000"/>
          <w:sz w:val="20"/>
          <w:szCs w:val="20"/>
        </w:rPr>
        <w:t>quỹ tín dụng nhân dân xế</w:t>
      </w:r>
      <w:r w:rsidR="009E2DA2">
        <w:rPr>
          <w:rFonts w:ascii="Arial" w:hAnsi="Arial" w:cs="Arial"/>
          <w:color w:val="000000"/>
          <w:sz w:val="20"/>
          <w:szCs w:val="20"/>
        </w:rPr>
        <w:t xml:space="preserve">p nhóm 4, </w:t>
      </w:r>
      <w:r w:rsidR="00E3428B" w:rsidRPr="008E04A6">
        <w:rPr>
          <w:rFonts w:ascii="Arial" w:hAnsi="Arial" w:cs="Arial"/>
          <w:color w:val="000000"/>
          <w:sz w:val="20"/>
          <w:szCs w:val="20"/>
        </w:rPr>
        <w:t>nhóm 5 theo kết quả phân loại hoạt động giám sát</w:t>
      </w:r>
      <w:r w:rsidR="009E2DA2">
        <w:rPr>
          <w:rFonts w:ascii="Arial" w:hAnsi="Arial" w:cs="Arial"/>
          <w:color w:val="000000"/>
          <w:sz w:val="20"/>
          <w:szCs w:val="20"/>
        </w:rPr>
        <w:t>.</w:t>
      </w:r>
    </w:p>
    <w:p w:rsidR="001B30AE" w:rsidRPr="009E2DA2" w:rsidRDefault="005920DA" w:rsidP="009E2DA2">
      <w:pPr>
        <w:shd w:val="clear" w:color="auto" w:fill="FFFFFF"/>
        <w:spacing w:before="120" w:after="0" w:line="240" w:lineRule="auto"/>
        <w:jc w:val="both"/>
        <w:rPr>
          <w:rFonts w:ascii="Arial" w:eastAsia="Times New Roman" w:hAnsi="Arial" w:cs="Arial"/>
          <w:i/>
          <w:color w:val="1F1F1F"/>
          <w:sz w:val="20"/>
          <w:szCs w:val="20"/>
        </w:rPr>
      </w:pPr>
      <w:r w:rsidRPr="008E04A6">
        <w:rPr>
          <w:rFonts w:ascii="Arial" w:hAnsi="Arial" w:cs="Arial"/>
          <w:color w:val="000000"/>
          <w:sz w:val="20"/>
          <w:szCs w:val="20"/>
        </w:rPr>
        <w:t>Qua công tác kiểm tra, đã phát hiện và kiến nghị khắc phụ</w:t>
      </w:r>
      <w:r w:rsidR="009E2DA2">
        <w:rPr>
          <w:rFonts w:ascii="Arial" w:hAnsi="Arial" w:cs="Arial"/>
          <w:color w:val="000000"/>
          <w:sz w:val="20"/>
          <w:szCs w:val="20"/>
        </w:rPr>
        <w:t>c</w:t>
      </w:r>
      <w:r w:rsidRPr="008E04A6">
        <w:rPr>
          <w:rFonts w:ascii="Arial" w:hAnsi="Arial" w:cs="Arial"/>
          <w:color w:val="000000"/>
          <w:sz w:val="20"/>
          <w:szCs w:val="20"/>
        </w:rPr>
        <w:t xml:space="preserve"> các tồn tại, sai phạm về niêm yết chứng nhận tham gia BHTG, về</w:t>
      </w:r>
      <w:r w:rsidR="00AD70A6" w:rsidRPr="008E04A6">
        <w:rPr>
          <w:rFonts w:ascii="Arial" w:hAnsi="Arial" w:cs="Arial"/>
          <w:color w:val="000000"/>
          <w:sz w:val="20"/>
          <w:szCs w:val="20"/>
        </w:rPr>
        <w:t xml:space="preserve"> tính</w:t>
      </w:r>
      <w:r w:rsidRPr="008E04A6">
        <w:rPr>
          <w:rFonts w:ascii="Arial" w:hAnsi="Arial" w:cs="Arial"/>
          <w:color w:val="000000"/>
          <w:sz w:val="20"/>
          <w:szCs w:val="20"/>
        </w:rPr>
        <w:t xml:space="preserve"> sai, tính thiếu phí BHTG, hồ sơ sổ sách, hạch toán về tiền gửi được bảo hiểm, chấp hành quy định thông tin báo cáo đối với BHTGVN.</w:t>
      </w:r>
    </w:p>
    <w:p w:rsidR="00E3428B" w:rsidRPr="009E2DA2" w:rsidRDefault="00380499" w:rsidP="009E2DA2">
      <w:pPr>
        <w:spacing w:before="120" w:after="0" w:line="240" w:lineRule="auto"/>
        <w:jc w:val="center"/>
        <w:rPr>
          <w:rFonts w:ascii="Arial" w:hAnsi="Arial" w:cs="Arial"/>
          <w:b/>
          <w:i/>
          <w:color w:val="000000"/>
          <w:sz w:val="20"/>
          <w:szCs w:val="20"/>
        </w:rPr>
      </w:pPr>
      <w:r w:rsidRPr="009E2DA2">
        <w:rPr>
          <w:rFonts w:ascii="Arial" w:hAnsi="Arial" w:cs="Arial"/>
          <w:b/>
          <w:i/>
          <w:color w:val="000000"/>
          <w:sz w:val="20"/>
          <w:szCs w:val="20"/>
        </w:rPr>
        <w:t>Bả</w:t>
      </w:r>
      <w:r w:rsidR="009E2DA2">
        <w:rPr>
          <w:rFonts w:ascii="Arial" w:hAnsi="Arial" w:cs="Arial"/>
          <w:b/>
          <w:i/>
          <w:color w:val="000000"/>
          <w:sz w:val="20"/>
          <w:szCs w:val="20"/>
        </w:rPr>
        <w:t xml:space="preserve">ng 3: </w:t>
      </w:r>
      <w:r w:rsidR="005920DA" w:rsidRPr="009E2DA2">
        <w:rPr>
          <w:rFonts w:ascii="Arial" w:hAnsi="Arial" w:cs="Arial"/>
          <w:b/>
          <w:i/>
          <w:color w:val="000000"/>
          <w:sz w:val="20"/>
          <w:szCs w:val="20"/>
        </w:rPr>
        <w:t>Số lượng tổ chức tham gia BHTG được kiểm tra</w:t>
      </w:r>
      <w:r w:rsidRPr="009E2DA2">
        <w:rPr>
          <w:rFonts w:ascii="Arial" w:hAnsi="Arial" w:cs="Arial"/>
          <w:b/>
          <w:i/>
          <w:color w:val="000000"/>
          <w:sz w:val="20"/>
          <w:szCs w:val="20"/>
        </w:rPr>
        <w:t>,</w:t>
      </w:r>
      <w:r w:rsidR="005920DA" w:rsidRPr="009E2DA2">
        <w:rPr>
          <w:rFonts w:ascii="Arial" w:hAnsi="Arial" w:cs="Arial"/>
          <w:b/>
          <w:i/>
          <w:color w:val="000000"/>
          <w:sz w:val="20"/>
          <w:szCs w:val="20"/>
        </w:rPr>
        <w:t xml:space="preserve"> 2010-2017</w:t>
      </w:r>
    </w:p>
    <w:tbl>
      <w:tblPr>
        <w:tblStyle w:val="TableGrid"/>
        <w:tblW w:w="0" w:type="auto"/>
        <w:jc w:val="center"/>
        <w:tblLook w:val="04A0" w:firstRow="1" w:lastRow="0" w:firstColumn="1" w:lastColumn="0" w:noHBand="0" w:noVBand="1"/>
      </w:tblPr>
      <w:tblGrid>
        <w:gridCol w:w="2163"/>
        <w:gridCol w:w="777"/>
        <w:gridCol w:w="776"/>
        <w:gridCol w:w="969"/>
        <w:gridCol w:w="969"/>
        <w:gridCol w:w="970"/>
        <w:gridCol w:w="969"/>
        <w:gridCol w:w="842"/>
        <w:gridCol w:w="745"/>
      </w:tblGrid>
      <w:tr w:rsidR="002046B3" w:rsidRPr="008E04A6" w:rsidTr="009E2DA2">
        <w:trPr>
          <w:jc w:val="center"/>
        </w:trPr>
        <w:tc>
          <w:tcPr>
            <w:tcW w:w="2163"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Loại hình tổ chức</w:t>
            </w:r>
          </w:p>
        </w:tc>
        <w:tc>
          <w:tcPr>
            <w:tcW w:w="777"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2010</w:t>
            </w:r>
          </w:p>
        </w:tc>
        <w:tc>
          <w:tcPr>
            <w:tcW w:w="776"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2011</w:t>
            </w:r>
          </w:p>
        </w:tc>
        <w:tc>
          <w:tcPr>
            <w:tcW w:w="969"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2012</w:t>
            </w:r>
          </w:p>
        </w:tc>
        <w:tc>
          <w:tcPr>
            <w:tcW w:w="969"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2013</w:t>
            </w:r>
          </w:p>
        </w:tc>
        <w:tc>
          <w:tcPr>
            <w:tcW w:w="970"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2014</w:t>
            </w:r>
          </w:p>
        </w:tc>
        <w:tc>
          <w:tcPr>
            <w:tcW w:w="969"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2015</w:t>
            </w:r>
          </w:p>
        </w:tc>
        <w:tc>
          <w:tcPr>
            <w:tcW w:w="842"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2016</w:t>
            </w:r>
          </w:p>
        </w:tc>
        <w:tc>
          <w:tcPr>
            <w:tcW w:w="745"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2017</w:t>
            </w:r>
          </w:p>
        </w:tc>
      </w:tr>
      <w:tr w:rsidR="005B7855" w:rsidRPr="008E04A6" w:rsidTr="009E2DA2">
        <w:trPr>
          <w:jc w:val="center"/>
        </w:trPr>
        <w:tc>
          <w:tcPr>
            <w:tcW w:w="2163" w:type="dxa"/>
          </w:tcPr>
          <w:p w:rsidR="005B7855" w:rsidRPr="008E04A6" w:rsidRDefault="005B7855" w:rsidP="008E04A6">
            <w:pPr>
              <w:spacing w:before="120"/>
              <w:jc w:val="both"/>
              <w:rPr>
                <w:rFonts w:ascii="Arial" w:hAnsi="Arial" w:cs="Arial"/>
                <w:color w:val="000000"/>
                <w:sz w:val="20"/>
                <w:szCs w:val="20"/>
              </w:rPr>
            </w:pPr>
            <w:r w:rsidRPr="008E04A6">
              <w:rPr>
                <w:rFonts w:ascii="Arial" w:hAnsi="Arial" w:cs="Arial"/>
                <w:color w:val="000000"/>
                <w:sz w:val="20"/>
                <w:szCs w:val="20"/>
              </w:rPr>
              <w:t>Ngân hàng thương mại cổ phần</w:t>
            </w:r>
          </w:p>
        </w:tc>
        <w:tc>
          <w:tcPr>
            <w:tcW w:w="777" w:type="dxa"/>
          </w:tcPr>
          <w:p w:rsidR="005B7855" w:rsidRPr="008E04A6" w:rsidRDefault="006F6811" w:rsidP="008E04A6">
            <w:pPr>
              <w:spacing w:before="120"/>
              <w:jc w:val="both"/>
              <w:rPr>
                <w:rFonts w:ascii="Arial" w:hAnsi="Arial" w:cs="Arial"/>
                <w:color w:val="000000"/>
                <w:sz w:val="20"/>
                <w:szCs w:val="20"/>
              </w:rPr>
            </w:pPr>
            <w:r w:rsidRPr="008E04A6">
              <w:rPr>
                <w:rFonts w:ascii="Arial" w:hAnsi="Arial" w:cs="Arial"/>
                <w:color w:val="000000"/>
                <w:sz w:val="20"/>
                <w:szCs w:val="20"/>
              </w:rPr>
              <w:t>42</w:t>
            </w:r>
          </w:p>
        </w:tc>
        <w:tc>
          <w:tcPr>
            <w:tcW w:w="776" w:type="dxa"/>
          </w:tcPr>
          <w:p w:rsidR="005B7855" w:rsidRPr="008E04A6" w:rsidRDefault="006F6811" w:rsidP="008E04A6">
            <w:pPr>
              <w:spacing w:before="120"/>
              <w:jc w:val="both"/>
              <w:rPr>
                <w:rFonts w:ascii="Arial" w:hAnsi="Arial" w:cs="Arial"/>
                <w:color w:val="000000"/>
                <w:sz w:val="20"/>
                <w:szCs w:val="20"/>
              </w:rPr>
            </w:pPr>
            <w:r w:rsidRPr="008E04A6">
              <w:rPr>
                <w:rFonts w:ascii="Arial" w:hAnsi="Arial" w:cs="Arial"/>
                <w:color w:val="000000"/>
                <w:sz w:val="20"/>
                <w:szCs w:val="20"/>
              </w:rPr>
              <w:t>31</w:t>
            </w:r>
          </w:p>
        </w:tc>
        <w:tc>
          <w:tcPr>
            <w:tcW w:w="969" w:type="dxa"/>
          </w:tcPr>
          <w:p w:rsidR="005B7855" w:rsidRPr="008E04A6" w:rsidRDefault="006F6811" w:rsidP="008E04A6">
            <w:pPr>
              <w:spacing w:before="120"/>
              <w:jc w:val="both"/>
              <w:rPr>
                <w:rFonts w:ascii="Arial" w:hAnsi="Arial" w:cs="Arial"/>
                <w:color w:val="000000"/>
                <w:sz w:val="20"/>
                <w:szCs w:val="20"/>
              </w:rPr>
            </w:pPr>
            <w:r w:rsidRPr="008E04A6">
              <w:rPr>
                <w:rFonts w:ascii="Arial" w:hAnsi="Arial" w:cs="Arial"/>
                <w:color w:val="000000"/>
                <w:sz w:val="20"/>
                <w:szCs w:val="20"/>
              </w:rPr>
              <w:t>41</w:t>
            </w:r>
          </w:p>
        </w:tc>
        <w:tc>
          <w:tcPr>
            <w:tcW w:w="969" w:type="dxa"/>
          </w:tcPr>
          <w:p w:rsidR="005B7855" w:rsidRPr="008E04A6" w:rsidRDefault="006F6811" w:rsidP="008E04A6">
            <w:pPr>
              <w:spacing w:before="120"/>
              <w:jc w:val="both"/>
              <w:rPr>
                <w:rFonts w:ascii="Arial" w:hAnsi="Arial" w:cs="Arial"/>
                <w:color w:val="000000"/>
                <w:sz w:val="20"/>
                <w:szCs w:val="20"/>
              </w:rPr>
            </w:pPr>
            <w:r w:rsidRPr="008E04A6">
              <w:rPr>
                <w:rFonts w:ascii="Arial" w:hAnsi="Arial" w:cs="Arial"/>
                <w:color w:val="000000"/>
                <w:sz w:val="20"/>
                <w:szCs w:val="20"/>
              </w:rPr>
              <w:t>34</w:t>
            </w:r>
          </w:p>
        </w:tc>
        <w:tc>
          <w:tcPr>
            <w:tcW w:w="970" w:type="dxa"/>
          </w:tcPr>
          <w:p w:rsidR="005B7855" w:rsidRPr="008E04A6" w:rsidRDefault="006F6811" w:rsidP="008E04A6">
            <w:pPr>
              <w:spacing w:before="120"/>
              <w:jc w:val="both"/>
              <w:rPr>
                <w:rFonts w:ascii="Arial" w:hAnsi="Arial" w:cs="Arial"/>
                <w:color w:val="000000"/>
                <w:sz w:val="20"/>
                <w:szCs w:val="20"/>
              </w:rPr>
            </w:pPr>
            <w:r w:rsidRPr="008E04A6">
              <w:rPr>
                <w:rFonts w:ascii="Arial" w:hAnsi="Arial" w:cs="Arial"/>
                <w:color w:val="000000"/>
                <w:sz w:val="20"/>
                <w:szCs w:val="20"/>
              </w:rPr>
              <w:t>50</w:t>
            </w:r>
          </w:p>
        </w:tc>
        <w:tc>
          <w:tcPr>
            <w:tcW w:w="969" w:type="dxa"/>
          </w:tcPr>
          <w:p w:rsidR="005B7855" w:rsidRPr="008E04A6" w:rsidRDefault="006F6811" w:rsidP="008E04A6">
            <w:pPr>
              <w:spacing w:before="120"/>
              <w:jc w:val="both"/>
              <w:rPr>
                <w:rFonts w:ascii="Arial" w:hAnsi="Arial" w:cs="Arial"/>
                <w:color w:val="000000"/>
                <w:sz w:val="20"/>
                <w:szCs w:val="20"/>
              </w:rPr>
            </w:pPr>
            <w:r w:rsidRPr="008E04A6">
              <w:rPr>
                <w:rFonts w:ascii="Arial" w:hAnsi="Arial" w:cs="Arial"/>
                <w:color w:val="000000"/>
                <w:sz w:val="20"/>
                <w:szCs w:val="20"/>
              </w:rPr>
              <w:t>41</w:t>
            </w:r>
          </w:p>
        </w:tc>
        <w:tc>
          <w:tcPr>
            <w:tcW w:w="842" w:type="dxa"/>
          </w:tcPr>
          <w:p w:rsidR="005B7855" w:rsidRPr="008E04A6" w:rsidRDefault="006F6811" w:rsidP="008E04A6">
            <w:pPr>
              <w:spacing w:before="120"/>
              <w:jc w:val="both"/>
              <w:rPr>
                <w:rFonts w:ascii="Arial" w:hAnsi="Arial" w:cs="Arial"/>
                <w:color w:val="000000"/>
                <w:sz w:val="20"/>
                <w:szCs w:val="20"/>
              </w:rPr>
            </w:pPr>
            <w:r w:rsidRPr="008E04A6">
              <w:rPr>
                <w:rFonts w:ascii="Arial" w:hAnsi="Arial" w:cs="Arial"/>
                <w:color w:val="000000"/>
                <w:sz w:val="20"/>
                <w:szCs w:val="20"/>
              </w:rPr>
              <w:t>42</w:t>
            </w:r>
          </w:p>
        </w:tc>
        <w:tc>
          <w:tcPr>
            <w:tcW w:w="745" w:type="dxa"/>
          </w:tcPr>
          <w:p w:rsidR="005B7855" w:rsidRPr="008E04A6" w:rsidRDefault="006F6811" w:rsidP="008E04A6">
            <w:pPr>
              <w:spacing w:before="120"/>
              <w:jc w:val="both"/>
              <w:rPr>
                <w:rFonts w:ascii="Arial" w:hAnsi="Arial" w:cs="Arial"/>
                <w:color w:val="000000"/>
                <w:sz w:val="20"/>
                <w:szCs w:val="20"/>
              </w:rPr>
            </w:pPr>
            <w:r w:rsidRPr="008E04A6">
              <w:rPr>
                <w:rFonts w:ascii="Arial" w:hAnsi="Arial" w:cs="Arial"/>
                <w:color w:val="000000"/>
                <w:sz w:val="20"/>
                <w:szCs w:val="20"/>
              </w:rPr>
              <w:t>45</w:t>
            </w:r>
          </w:p>
        </w:tc>
      </w:tr>
      <w:tr w:rsidR="002046B3" w:rsidRPr="008E04A6" w:rsidTr="009E2DA2">
        <w:trPr>
          <w:jc w:val="center"/>
        </w:trPr>
        <w:tc>
          <w:tcPr>
            <w:tcW w:w="2163"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Tổ chức tài chính vi mô</w:t>
            </w:r>
          </w:p>
        </w:tc>
        <w:tc>
          <w:tcPr>
            <w:tcW w:w="777"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3</w:t>
            </w:r>
          </w:p>
        </w:tc>
        <w:tc>
          <w:tcPr>
            <w:tcW w:w="776"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0</w:t>
            </w:r>
          </w:p>
        </w:tc>
        <w:tc>
          <w:tcPr>
            <w:tcW w:w="969"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0</w:t>
            </w:r>
          </w:p>
        </w:tc>
        <w:tc>
          <w:tcPr>
            <w:tcW w:w="969"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0</w:t>
            </w:r>
          </w:p>
        </w:tc>
        <w:tc>
          <w:tcPr>
            <w:tcW w:w="970"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0</w:t>
            </w:r>
          </w:p>
        </w:tc>
        <w:tc>
          <w:tcPr>
            <w:tcW w:w="969"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0</w:t>
            </w:r>
          </w:p>
        </w:tc>
        <w:tc>
          <w:tcPr>
            <w:tcW w:w="842"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w:t>
            </w:r>
          </w:p>
        </w:tc>
        <w:tc>
          <w:tcPr>
            <w:tcW w:w="745"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01</w:t>
            </w:r>
          </w:p>
        </w:tc>
      </w:tr>
      <w:tr w:rsidR="002046B3" w:rsidRPr="008E04A6" w:rsidTr="009E2DA2">
        <w:trPr>
          <w:jc w:val="center"/>
        </w:trPr>
        <w:tc>
          <w:tcPr>
            <w:tcW w:w="2163"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Quỹ tín dụng nhân dân</w:t>
            </w:r>
          </w:p>
        </w:tc>
        <w:tc>
          <w:tcPr>
            <w:tcW w:w="777"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24</w:t>
            </w:r>
            <w:r w:rsidR="006F6811" w:rsidRPr="008E04A6">
              <w:rPr>
                <w:rFonts w:ascii="Arial" w:hAnsi="Arial" w:cs="Arial"/>
                <w:color w:val="000000"/>
                <w:sz w:val="20"/>
                <w:szCs w:val="20"/>
              </w:rPr>
              <w:t>9</w:t>
            </w:r>
          </w:p>
        </w:tc>
        <w:tc>
          <w:tcPr>
            <w:tcW w:w="776"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264</w:t>
            </w:r>
          </w:p>
        </w:tc>
        <w:tc>
          <w:tcPr>
            <w:tcW w:w="969"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252</w:t>
            </w:r>
          </w:p>
        </w:tc>
        <w:tc>
          <w:tcPr>
            <w:tcW w:w="969"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307</w:t>
            </w:r>
          </w:p>
        </w:tc>
        <w:tc>
          <w:tcPr>
            <w:tcW w:w="970"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349</w:t>
            </w:r>
          </w:p>
        </w:tc>
        <w:tc>
          <w:tcPr>
            <w:tcW w:w="969"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356</w:t>
            </w:r>
          </w:p>
        </w:tc>
        <w:tc>
          <w:tcPr>
            <w:tcW w:w="842"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419</w:t>
            </w:r>
          </w:p>
        </w:tc>
        <w:tc>
          <w:tcPr>
            <w:tcW w:w="745"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386</w:t>
            </w:r>
          </w:p>
        </w:tc>
      </w:tr>
      <w:tr w:rsidR="002046B3" w:rsidRPr="008E04A6" w:rsidTr="009E2DA2">
        <w:trPr>
          <w:jc w:val="center"/>
        </w:trPr>
        <w:tc>
          <w:tcPr>
            <w:tcW w:w="2163"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Tổng</w:t>
            </w:r>
            <w:r w:rsidR="00AD70A6" w:rsidRPr="008E04A6">
              <w:rPr>
                <w:rFonts w:ascii="Arial" w:hAnsi="Arial" w:cs="Arial"/>
                <w:color w:val="000000"/>
                <w:sz w:val="20"/>
                <w:szCs w:val="20"/>
              </w:rPr>
              <w:t xml:space="preserve"> số tổ chức được kiểm tra</w:t>
            </w:r>
          </w:p>
        </w:tc>
        <w:tc>
          <w:tcPr>
            <w:tcW w:w="777"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294</w:t>
            </w:r>
          </w:p>
        </w:tc>
        <w:tc>
          <w:tcPr>
            <w:tcW w:w="776"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29</w:t>
            </w:r>
            <w:r w:rsidR="006F6811" w:rsidRPr="008E04A6">
              <w:rPr>
                <w:rFonts w:ascii="Arial" w:hAnsi="Arial" w:cs="Arial"/>
                <w:color w:val="000000"/>
                <w:sz w:val="20"/>
                <w:szCs w:val="20"/>
              </w:rPr>
              <w:t>5</w:t>
            </w:r>
          </w:p>
        </w:tc>
        <w:tc>
          <w:tcPr>
            <w:tcW w:w="969"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293</w:t>
            </w:r>
          </w:p>
        </w:tc>
        <w:tc>
          <w:tcPr>
            <w:tcW w:w="969"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341</w:t>
            </w:r>
          </w:p>
        </w:tc>
        <w:tc>
          <w:tcPr>
            <w:tcW w:w="970"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399</w:t>
            </w:r>
          </w:p>
        </w:tc>
        <w:tc>
          <w:tcPr>
            <w:tcW w:w="969"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397</w:t>
            </w:r>
          </w:p>
        </w:tc>
        <w:tc>
          <w:tcPr>
            <w:tcW w:w="842"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463</w:t>
            </w:r>
          </w:p>
        </w:tc>
        <w:tc>
          <w:tcPr>
            <w:tcW w:w="745" w:type="dxa"/>
          </w:tcPr>
          <w:p w:rsidR="002046B3" w:rsidRPr="008E04A6" w:rsidRDefault="002046B3" w:rsidP="008E04A6">
            <w:pPr>
              <w:spacing w:before="120"/>
              <w:jc w:val="both"/>
              <w:rPr>
                <w:rFonts w:ascii="Arial" w:hAnsi="Arial" w:cs="Arial"/>
                <w:color w:val="000000"/>
                <w:sz w:val="20"/>
                <w:szCs w:val="20"/>
              </w:rPr>
            </w:pPr>
            <w:r w:rsidRPr="008E04A6">
              <w:rPr>
                <w:rFonts w:ascii="Arial" w:hAnsi="Arial" w:cs="Arial"/>
                <w:color w:val="000000"/>
                <w:sz w:val="20"/>
                <w:szCs w:val="20"/>
              </w:rPr>
              <w:t>432</w:t>
            </w:r>
          </w:p>
        </w:tc>
      </w:tr>
    </w:tbl>
    <w:p w:rsidR="009E2DA2" w:rsidRDefault="006F6811" w:rsidP="009E2DA2">
      <w:pPr>
        <w:spacing w:before="120" w:after="0" w:line="240" w:lineRule="auto"/>
        <w:ind w:firstLine="720"/>
        <w:jc w:val="center"/>
        <w:rPr>
          <w:rFonts w:ascii="Arial" w:hAnsi="Arial" w:cs="Arial"/>
          <w:i/>
          <w:color w:val="000000"/>
          <w:sz w:val="20"/>
          <w:szCs w:val="20"/>
        </w:rPr>
      </w:pPr>
      <w:r w:rsidRPr="008E04A6">
        <w:rPr>
          <w:rFonts w:ascii="Arial" w:hAnsi="Arial" w:cs="Arial"/>
          <w:i/>
          <w:color w:val="000000"/>
          <w:sz w:val="20"/>
          <w:szCs w:val="20"/>
        </w:rPr>
        <w:t>Nguồn: BHTGVN</w:t>
      </w:r>
      <w:r w:rsidR="001B30AE" w:rsidRPr="008E04A6">
        <w:rPr>
          <w:rFonts w:ascii="Arial" w:hAnsi="Arial" w:cs="Arial"/>
          <w:i/>
          <w:color w:val="000000"/>
          <w:sz w:val="20"/>
          <w:szCs w:val="20"/>
        </w:rPr>
        <w:t>, 2018</w:t>
      </w:r>
    </w:p>
    <w:p w:rsidR="005920DA" w:rsidRPr="009E2DA2" w:rsidRDefault="007C2037" w:rsidP="009E2DA2">
      <w:pPr>
        <w:spacing w:before="120" w:after="0" w:line="240" w:lineRule="auto"/>
        <w:jc w:val="both"/>
        <w:rPr>
          <w:rFonts w:ascii="Arial" w:hAnsi="Arial" w:cs="Arial"/>
          <w:i/>
          <w:color w:val="000000"/>
          <w:sz w:val="20"/>
          <w:szCs w:val="20"/>
        </w:rPr>
      </w:pPr>
      <w:r w:rsidRPr="008E04A6">
        <w:rPr>
          <w:rFonts w:ascii="Arial" w:hAnsi="Arial" w:cs="Arial"/>
          <w:color w:val="000000"/>
          <w:sz w:val="20"/>
          <w:szCs w:val="20"/>
        </w:rPr>
        <w:t>Với kết quả đã đạt được, h</w:t>
      </w:r>
      <w:r w:rsidR="006E44D0" w:rsidRPr="008E04A6">
        <w:rPr>
          <w:rFonts w:ascii="Arial" w:hAnsi="Arial" w:cs="Arial"/>
          <w:color w:val="000000"/>
          <w:sz w:val="20"/>
          <w:szCs w:val="20"/>
        </w:rPr>
        <w:t xml:space="preserve">oạt động kiểm tra của BHTGVN đã góp phần </w:t>
      </w:r>
      <w:r w:rsidR="007D3557" w:rsidRPr="008E04A6">
        <w:rPr>
          <w:rFonts w:ascii="Arial" w:hAnsi="Arial" w:cs="Arial"/>
          <w:color w:val="000000"/>
          <w:sz w:val="20"/>
          <w:szCs w:val="20"/>
        </w:rPr>
        <w:t xml:space="preserve">đáng kể </w:t>
      </w:r>
      <w:r w:rsidR="006E44D0" w:rsidRPr="008E04A6">
        <w:rPr>
          <w:rFonts w:ascii="Arial" w:hAnsi="Arial" w:cs="Arial"/>
          <w:color w:val="000000"/>
          <w:sz w:val="20"/>
          <w:szCs w:val="20"/>
        </w:rPr>
        <w:t xml:space="preserve">bảo vệ quyền và lợi ích hợp pháp của người gửi tiền, </w:t>
      </w:r>
      <w:r w:rsidR="001B30AE" w:rsidRPr="008E04A6">
        <w:rPr>
          <w:rFonts w:ascii="Arial" w:hAnsi="Arial" w:cs="Arial"/>
          <w:color w:val="000000"/>
          <w:sz w:val="20"/>
          <w:szCs w:val="20"/>
        </w:rPr>
        <w:t xml:space="preserve">góp phần </w:t>
      </w:r>
      <w:r w:rsidR="006E44D0" w:rsidRPr="008E04A6">
        <w:rPr>
          <w:rFonts w:ascii="Arial" w:hAnsi="Arial" w:cs="Arial"/>
          <w:color w:val="000000"/>
          <w:sz w:val="20"/>
          <w:szCs w:val="20"/>
        </w:rPr>
        <w:t>đảm bảo an toàn</w:t>
      </w:r>
      <w:r w:rsidR="001B30AE" w:rsidRPr="008E04A6">
        <w:rPr>
          <w:rFonts w:ascii="Arial" w:hAnsi="Arial" w:cs="Arial"/>
          <w:color w:val="000000"/>
          <w:sz w:val="20"/>
          <w:szCs w:val="20"/>
        </w:rPr>
        <w:t>,</w:t>
      </w:r>
      <w:r w:rsidR="006E44D0" w:rsidRPr="008E04A6">
        <w:rPr>
          <w:rFonts w:ascii="Arial" w:hAnsi="Arial" w:cs="Arial"/>
          <w:color w:val="000000"/>
          <w:sz w:val="20"/>
          <w:szCs w:val="20"/>
        </w:rPr>
        <w:t xml:space="preserve"> lành mạnh hoạt động ngân hàng</w:t>
      </w:r>
      <w:r w:rsidR="001B30AE" w:rsidRPr="008E04A6">
        <w:rPr>
          <w:rFonts w:ascii="Arial" w:hAnsi="Arial" w:cs="Arial"/>
          <w:color w:val="000000"/>
          <w:sz w:val="20"/>
          <w:szCs w:val="20"/>
        </w:rPr>
        <w:t>.</w:t>
      </w:r>
    </w:p>
    <w:p w:rsidR="009E2DA2" w:rsidRDefault="001B30AE" w:rsidP="009E2DA2">
      <w:pPr>
        <w:spacing w:before="120" w:after="0" w:line="240" w:lineRule="auto"/>
        <w:jc w:val="both"/>
        <w:rPr>
          <w:rFonts w:ascii="Arial" w:hAnsi="Arial" w:cs="Arial"/>
          <w:b/>
          <w:i/>
          <w:sz w:val="20"/>
          <w:szCs w:val="20"/>
        </w:rPr>
      </w:pPr>
      <w:r w:rsidRPr="008E04A6">
        <w:rPr>
          <w:rFonts w:ascii="Arial" w:hAnsi="Arial" w:cs="Arial"/>
          <w:b/>
          <w:i/>
          <w:sz w:val="20"/>
          <w:szCs w:val="20"/>
        </w:rPr>
        <w:t xml:space="preserve">Định hướng </w:t>
      </w:r>
      <w:r w:rsidR="00E17BE5" w:rsidRPr="008E04A6">
        <w:rPr>
          <w:rFonts w:ascii="Arial" w:hAnsi="Arial" w:cs="Arial"/>
          <w:b/>
          <w:i/>
          <w:sz w:val="20"/>
          <w:szCs w:val="20"/>
        </w:rPr>
        <w:t>đối với</w:t>
      </w:r>
      <w:r w:rsidR="007D3557" w:rsidRPr="008E04A6">
        <w:rPr>
          <w:rFonts w:ascii="Arial" w:hAnsi="Arial" w:cs="Arial"/>
          <w:b/>
          <w:i/>
          <w:sz w:val="20"/>
          <w:szCs w:val="20"/>
        </w:rPr>
        <w:t xml:space="preserve"> công tác kiểm tra của</w:t>
      </w:r>
      <w:r w:rsidR="00E17BE5" w:rsidRPr="008E04A6">
        <w:rPr>
          <w:rFonts w:ascii="Arial" w:hAnsi="Arial" w:cs="Arial"/>
          <w:b/>
          <w:i/>
          <w:sz w:val="20"/>
          <w:szCs w:val="20"/>
        </w:rPr>
        <w:t xml:space="preserve"> Bảo hiể</w:t>
      </w:r>
      <w:r w:rsidR="009E2DA2">
        <w:rPr>
          <w:rFonts w:ascii="Arial" w:hAnsi="Arial" w:cs="Arial"/>
          <w:b/>
          <w:i/>
          <w:sz w:val="20"/>
          <w:szCs w:val="20"/>
        </w:rPr>
        <w:t>m T</w:t>
      </w:r>
      <w:r w:rsidR="00E17BE5" w:rsidRPr="008E04A6">
        <w:rPr>
          <w:rFonts w:ascii="Arial" w:hAnsi="Arial" w:cs="Arial"/>
          <w:b/>
          <w:i/>
          <w:sz w:val="20"/>
          <w:szCs w:val="20"/>
        </w:rPr>
        <w:t>iền gửi Việt Nam</w:t>
      </w:r>
    </w:p>
    <w:p w:rsidR="009E2DA2" w:rsidRDefault="007C2037" w:rsidP="009E2DA2">
      <w:pPr>
        <w:spacing w:before="120" w:after="0" w:line="240" w:lineRule="auto"/>
        <w:jc w:val="both"/>
        <w:rPr>
          <w:rFonts w:ascii="Arial" w:hAnsi="Arial" w:cs="Arial"/>
          <w:sz w:val="20"/>
          <w:szCs w:val="20"/>
        </w:rPr>
      </w:pPr>
      <w:r w:rsidRPr="008E04A6">
        <w:rPr>
          <w:rFonts w:ascii="Arial" w:hAnsi="Arial" w:cs="Arial"/>
          <w:i/>
          <w:sz w:val="20"/>
          <w:szCs w:val="20"/>
        </w:rPr>
        <w:t>V</w:t>
      </w:r>
      <w:r w:rsidR="00E17BE5" w:rsidRPr="008E04A6">
        <w:rPr>
          <w:rFonts w:ascii="Arial" w:hAnsi="Arial" w:cs="Arial"/>
          <w:i/>
          <w:sz w:val="20"/>
          <w:szCs w:val="20"/>
        </w:rPr>
        <w:t>ề mô hình hoạt động của tổ chức BHTG</w:t>
      </w:r>
      <w:r w:rsidR="00E17BE5" w:rsidRPr="008E04A6">
        <w:rPr>
          <w:rFonts w:ascii="Arial" w:hAnsi="Arial" w:cs="Arial"/>
          <w:sz w:val="20"/>
          <w:szCs w:val="20"/>
        </w:rPr>
        <w:t xml:space="preserve">: Tổ chức BHTG cần có điều kiện phù hợp để triển khai có hiệu quả các hoạt động nghiệp vụ, trên cơ sở mô hình hoạt động phù hợp với từng giai đoạn phát triển. </w:t>
      </w:r>
      <w:r w:rsidR="001B30AE" w:rsidRPr="008E04A6">
        <w:rPr>
          <w:rFonts w:ascii="Arial" w:hAnsi="Arial" w:cs="Arial"/>
          <w:sz w:val="20"/>
          <w:szCs w:val="20"/>
        </w:rPr>
        <w:t>K</w:t>
      </w:r>
      <w:r w:rsidR="00E17BE5" w:rsidRPr="008E04A6">
        <w:rPr>
          <w:rFonts w:ascii="Arial" w:hAnsi="Arial" w:cs="Arial"/>
          <w:sz w:val="20"/>
          <w:szCs w:val="20"/>
        </w:rPr>
        <w:t>inh nghiệm của BHTG Mỹ</w:t>
      </w:r>
      <w:r w:rsidR="001B30AE" w:rsidRPr="008E04A6">
        <w:rPr>
          <w:rFonts w:ascii="Arial" w:hAnsi="Arial" w:cs="Arial"/>
          <w:sz w:val="20"/>
          <w:szCs w:val="20"/>
        </w:rPr>
        <w:t xml:space="preserve"> và </w:t>
      </w:r>
      <w:r w:rsidR="00E17BE5" w:rsidRPr="008E04A6">
        <w:rPr>
          <w:rFonts w:ascii="Arial" w:hAnsi="Arial" w:cs="Arial"/>
          <w:sz w:val="20"/>
          <w:szCs w:val="20"/>
        </w:rPr>
        <w:t>Nhật Bản cho thấy thành công trong hoạt động là nhờ sự chuyển hướng mô hình hoạt động kịp thời</w:t>
      </w:r>
      <w:r w:rsidR="001B30AE" w:rsidRPr="008E04A6">
        <w:rPr>
          <w:rFonts w:ascii="Arial" w:hAnsi="Arial" w:cs="Arial"/>
          <w:sz w:val="20"/>
          <w:szCs w:val="20"/>
        </w:rPr>
        <w:t>,</w:t>
      </w:r>
      <w:r w:rsidR="00E17BE5" w:rsidRPr="008E04A6">
        <w:rPr>
          <w:rFonts w:ascii="Arial" w:hAnsi="Arial" w:cs="Arial"/>
          <w:sz w:val="20"/>
          <w:szCs w:val="20"/>
        </w:rPr>
        <w:t xml:space="preserve"> mô hình giảm thiểu rủi ro, cùng các nghiệp vụ được bổ sung là kiểm soát rủi ro và xử lý các ngân hàng có vần đề thông qua các nghiệp vụ cho vay hỗ trợ, bảo lãnh, mua lại nợ, ngân hàng bắc cầu, sáp nhập. </w:t>
      </w:r>
    </w:p>
    <w:p w:rsidR="009E2DA2" w:rsidRDefault="00E17BE5" w:rsidP="008E04A6">
      <w:pPr>
        <w:spacing w:before="120" w:after="0" w:line="240" w:lineRule="auto"/>
        <w:jc w:val="both"/>
        <w:rPr>
          <w:rFonts w:ascii="Arial" w:hAnsi="Arial" w:cs="Arial"/>
          <w:b/>
          <w:i/>
          <w:sz w:val="20"/>
          <w:szCs w:val="20"/>
        </w:rPr>
      </w:pPr>
      <w:r w:rsidRPr="008E04A6">
        <w:rPr>
          <w:rFonts w:ascii="Arial" w:hAnsi="Arial" w:cs="Arial"/>
          <w:sz w:val="20"/>
          <w:szCs w:val="20"/>
        </w:rPr>
        <w:lastRenderedPageBreak/>
        <w:t>Ở Việt Nam, mô hình tổ chức BHTG hiện nay được xác định là mô hình chi trả với quyền hạn mở rộng với các nghiệp vụ</w:t>
      </w:r>
      <w:r w:rsidR="001B30AE" w:rsidRPr="008E04A6">
        <w:rPr>
          <w:rFonts w:ascii="Arial" w:hAnsi="Arial" w:cs="Arial"/>
          <w:sz w:val="20"/>
          <w:szCs w:val="20"/>
        </w:rPr>
        <w:t xml:space="preserve"> có giới hạn nhất định</w:t>
      </w:r>
      <w:r w:rsidR="007D3557" w:rsidRPr="008E04A6">
        <w:rPr>
          <w:rFonts w:ascii="Arial" w:hAnsi="Arial" w:cs="Arial"/>
          <w:sz w:val="20"/>
          <w:szCs w:val="20"/>
        </w:rPr>
        <w:t>. Do vậy</w:t>
      </w:r>
      <w:r w:rsidRPr="008E04A6">
        <w:rPr>
          <w:rFonts w:ascii="Arial" w:hAnsi="Arial" w:cs="Arial"/>
          <w:sz w:val="20"/>
          <w:szCs w:val="20"/>
        </w:rPr>
        <w:t>, hoạt động kiểm tra của BHTGVN</w:t>
      </w:r>
      <w:r w:rsidR="001B30AE" w:rsidRPr="008E04A6">
        <w:rPr>
          <w:rFonts w:ascii="Arial" w:hAnsi="Arial" w:cs="Arial"/>
          <w:sz w:val="20"/>
          <w:szCs w:val="20"/>
        </w:rPr>
        <w:t xml:space="preserve"> tập trung </w:t>
      </w:r>
      <w:r w:rsidRPr="008E04A6">
        <w:rPr>
          <w:rFonts w:ascii="Arial" w:hAnsi="Arial" w:cs="Arial"/>
          <w:sz w:val="20"/>
          <w:szCs w:val="20"/>
        </w:rPr>
        <w:t>kiểm tra việc chấp hành các quy định về BHTG. Trong tiến trình hội nhập kinh tế quốc tế, cùng với sự phát triển ngày càng lớn mạnh củ</w:t>
      </w:r>
      <w:r w:rsidR="009E2DA2">
        <w:rPr>
          <w:rFonts w:ascii="Arial" w:hAnsi="Arial" w:cs="Arial"/>
          <w:sz w:val="20"/>
          <w:szCs w:val="20"/>
        </w:rPr>
        <w:t xml:space="preserve">a BHTGVN </w:t>
      </w:r>
      <w:r w:rsidRPr="008E04A6">
        <w:rPr>
          <w:rFonts w:ascii="Arial" w:hAnsi="Arial" w:cs="Arial"/>
          <w:sz w:val="20"/>
          <w:szCs w:val="20"/>
        </w:rPr>
        <w:t>và để thực hiện tốt mục tiêu hoạt động của tổ chức BHTG, Việt Nam nên hướng tới vận dụng mô hình giảm thiểu rủi ro và mở rộng chức năng</w:t>
      </w:r>
      <w:r w:rsidR="001B30AE" w:rsidRPr="008E04A6">
        <w:rPr>
          <w:rFonts w:ascii="Arial" w:hAnsi="Arial" w:cs="Arial"/>
          <w:sz w:val="20"/>
          <w:szCs w:val="20"/>
        </w:rPr>
        <w:t>,</w:t>
      </w:r>
      <w:r w:rsidRPr="008E04A6">
        <w:rPr>
          <w:rFonts w:ascii="Arial" w:hAnsi="Arial" w:cs="Arial"/>
          <w:sz w:val="20"/>
          <w:szCs w:val="20"/>
        </w:rPr>
        <w:t xml:space="preserve"> nhiệm vụ</w:t>
      </w:r>
      <w:r w:rsidR="001E02DE" w:rsidRPr="008E04A6">
        <w:rPr>
          <w:rFonts w:ascii="Arial" w:hAnsi="Arial" w:cs="Arial"/>
          <w:sz w:val="20"/>
          <w:szCs w:val="20"/>
        </w:rPr>
        <w:t>,</w:t>
      </w:r>
      <w:r w:rsidRPr="008E04A6">
        <w:rPr>
          <w:rFonts w:ascii="Arial" w:hAnsi="Arial" w:cs="Arial"/>
          <w:sz w:val="20"/>
          <w:szCs w:val="20"/>
        </w:rPr>
        <w:t xml:space="preserve"> trong đó </w:t>
      </w:r>
      <w:r w:rsidR="001E02DE" w:rsidRPr="008E04A6">
        <w:rPr>
          <w:rFonts w:ascii="Arial" w:hAnsi="Arial" w:cs="Arial"/>
          <w:sz w:val="20"/>
          <w:szCs w:val="20"/>
        </w:rPr>
        <w:t>nội dung</w:t>
      </w:r>
      <w:r w:rsidRPr="008E04A6">
        <w:rPr>
          <w:rFonts w:ascii="Arial" w:hAnsi="Arial" w:cs="Arial"/>
          <w:sz w:val="20"/>
          <w:szCs w:val="20"/>
        </w:rPr>
        <w:t xml:space="preserve"> kiểm tra an toàn</w:t>
      </w:r>
      <w:r w:rsidR="001E02DE" w:rsidRPr="008E04A6">
        <w:rPr>
          <w:rFonts w:ascii="Arial" w:hAnsi="Arial" w:cs="Arial"/>
          <w:sz w:val="20"/>
          <w:szCs w:val="20"/>
        </w:rPr>
        <w:t xml:space="preserve"> tổ chức tham gia BHTG có thể được xem xét trong giai đoạn phát triển thích hợp của BHTGVN</w:t>
      </w:r>
      <w:r w:rsidR="001B30AE" w:rsidRPr="008E04A6">
        <w:rPr>
          <w:rFonts w:ascii="Arial" w:hAnsi="Arial" w:cs="Arial"/>
          <w:sz w:val="20"/>
          <w:szCs w:val="20"/>
        </w:rPr>
        <w:t>. T</w:t>
      </w:r>
      <w:r w:rsidRPr="008E04A6">
        <w:rPr>
          <w:rFonts w:ascii="Arial" w:hAnsi="Arial" w:cs="Arial"/>
          <w:sz w:val="20"/>
          <w:szCs w:val="20"/>
          <w:lang w:val="nl-NL"/>
        </w:rPr>
        <w:t>rước mắt</w:t>
      </w:r>
      <w:r w:rsidR="001E02DE" w:rsidRPr="008E04A6">
        <w:rPr>
          <w:rFonts w:ascii="Arial" w:hAnsi="Arial" w:cs="Arial"/>
          <w:sz w:val="20"/>
          <w:szCs w:val="20"/>
          <w:lang w:val="nl-NL"/>
        </w:rPr>
        <w:t>, nội dung</w:t>
      </w:r>
      <w:r w:rsidRPr="008E04A6">
        <w:rPr>
          <w:rFonts w:ascii="Arial" w:hAnsi="Arial" w:cs="Arial"/>
          <w:sz w:val="20"/>
          <w:szCs w:val="20"/>
          <w:lang w:val="nl-NL"/>
        </w:rPr>
        <w:t xml:space="preserve"> kiểm tra an toàn đối với hệ thống quỹ tín dụng nhân dân</w:t>
      </w:r>
      <w:r w:rsidR="001E02DE" w:rsidRPr="008E04A6">
        <w:rPr>
          <w:rFonts w:ascii="Arial" w:hAnsi="Arial" w:cs="Arial"/>
          <w:sz w:val="20"/>
          <w:szCs w:val="20"/>
        </w:rPr>
        <w:t xml:space="preserve"> có thể được triển khai trong giai đoạn thí điểm giao nhiệm vụ kiểm tra an toàn cho tổ chức BHTGVN</w:t>
      </w:r>
      <w:r w:rsidRPr="008E04A6">
        <w:rPr>
          <w:rFonts w:ascii="Arial" w:hAnsi="Arial" w:cs="Arial"/>
          <w:sz w:val="20"/>
          <w:szCs w:val="20"/>
        </w:rPr>
        <w:t>.</w:t>
      </w:r>
    </w:p>
    <w:p w:rsidR="006F6811" w:rsidRPr="009E2DA2" w:rsidRDefault="007C2037" w:rsidP="009E2DA2">
      <w:pPr>
        <w:spacing w:before="120" w:after="0" w:line="240" w:lineRule="auto"/>
        <w:jc w:val="both"/>
        <w:rPr>
          <w:rFonts w:ascii="Arial" w:hAnsi="Arial" w:cs="Arial"/>
          <w:b/>
          <w:i/>
          <w:sz w:val="20"/>
          <w:szCs w:val="20"/>
        </w:rPr>
      </w:pPr>
      <w:r w:rsidRPr="008E04A6">
        <w:rPr>
          <w:rFonts w:ascii="Arial" w:eastAsia="Arial Unicode MS" w:hAnsi="Arial" w:cs="Arial"/>
          <w:bCs/>
          <w:noProof/>
          <w:sz w:val="20"/>
          <w:szCs w:val="20"/>
        </w:rPr>
        <w:t>V</w:t>
      </w:r>
      <w:r w:rsidR="00E17BE5" w:rsidRPr="008E04A6">
        <w:rPr>
          <w:rFonts w:ascii="Arial" w:eastAsia="Arial Unicode MS" w:hAnsi="Arial" w:cs="Arial"/>
          <w:bCs/>
          <w:i/>
          <w:noProof/>
          <w:sz w:val="20"/>
          <w:szCs w:val="20"/>
        </w:rPr>
        <w:t>ấn đề về nguồn nhân lực và cơ sở hạ tầ</w:t>
      </w:r>
      <w:r w:rsidR="009E2DA2">
        <w:rPr>
          <w:rFonts w:ascii="Arial" w:eastAsia="Arial Unicode MS" w:hAnsi="Arial" w:cs="Arial"/>
          <w:bCs/>
          <w:i/>
          <w:noProof/>
          <w:sz w:val="20"/>
          <w:szCs w:val="20"/>
        </w:rPr>
        <w:t xml:space="preserve">ng thông tin: </w:t>
      </w:r>
      <w:r w:rsidR="007D3557" w:rsidRPr="008E04A6">
        <w:rPr>
          <w:rFonts w:ascii="Arial" w:eastAsia="Arial Unicode MS" w:hAnsi="Arial" w:cs="Arial"/>
          <w:bCs/>
          <w:noProof/>
          <w:sz w:val="20"/>
          <w:szCs w:val="20"/>
        </w:rPr>
        <w:t>K</w:t>
      </w:r>
      <w:r w:rsidR="00E17BE5" w:rsidRPr="008E04A6">
        <w:rPr>
          <w:rFonts w:ascii="Arial" w:eastAsia="Arial Unicode MS" w:hAnsi="Arial" w:cs="Arial"/>
          <w:bCs/>
          <w:noProof/>
          <w:sz w:val="20"/>
          <w:szCs w:val="20"/>
        </w:rPr>
        <w:t xml:space="preserve">inh nghiệm của FDIC cho thấy, FDIC đặc biệt chú trọng đến nguồn nhân lực và cơ sở hạ tầng thông tin, </w:t>
      </w:r>
      <w:r w:rsidR="00DC37DF" w:rsidRPr="008E04A6">
        <w:rPr>
          <w:rFonts w:ascii="Arial" w:eastAsia="Arial Unicode MS" w:hAnsi="Arial" w:cs="Arial"/>
          <w:bCs/>
          <w:noProof/>
          <w:sz w:val="20"/>
          <w:szCs w:val="20"/>
        </w:rPr>
        <w:t xml:space="preserve">bình quân </w:t>
      </w:r>
      <w:r w:rsidR="00E17BE5" w:rsidRPr="008E04A6">
        <w:rPr>
          <w:rFonts w:ascii="Arial" w:eastAsia="Arial Unicode MS" w:hAnsi="Arial" w:cs="Arial"/>
          <w:bCs/>
          <w:noProof/>
          <w:sz w:val="20"/>
          <w:szCs w:val="20"/>
        </w:rPr>
        <w:t>trong một năm</w:t>
      </w:r>
      <w:r w:rsidR="00DC37DF" w:rsidRPr="008E04A6">
        <w:rPr>
          <w:rFonts w:ascii="Arial" w:eastAsia="Arial Unicode MS" w:hAnsi="Arial" w:cs="Arial"/>
          <w:bCs/>
          <w:noProof/>
          <w:sz w:val="20"/>
          <w:szCs w:val="20"/>
        </w:rPr>
        <w:t xml:space="preserve"> (trong khoảng từ 2015-2017) </w:t>
      </w:r>
      <w:r w:rsidR="00E17BE5" w:rsidRPr="008E04A6">
        <w:rPr>
          <w:rFonts w:ascii="Arial" w:hAnsi="Arial" w:cs="Arial"/>
          <w:sz w:val="20"/>
          <w:szCs w:val="20"/>
        </w:rPr>
        <w:t xml:space="preserve">đã </w:t>
      </w:r>
      <w:r w:rsidR="00911FB7" w:rsidRPr="008E04A6">
        <w:rPr>
          <w:rFonts w:ascii="Arial" w:hAnsi="Arial" w:cs="Arial"/>
          <w:sz w:val="20"/>
          <w:szCs w:val="20"/>
        </w:rPr>
        <w:t>thực hiện</w:t>
      </w:r>
      <w:r w:rsidR="007D3557" w:rsidRPr="008E04A6">
        <w:rPr>
          <w:rFonts w:ascii="Arial" w:hAnsi="Arial" w:cs="Arial"/>
          <w:sz w:val="20"/>
          <w:szCs w:val="20"/>
        </w:rPr>
        <w:t xml:space="preserve"> </w:t>
      </w:r>
      <w:r w:rsidR="00911FB7" w:rsidRPr="008E04A6">
        <w:rPr>
          <w:rFonts w:ascii="Arial" w:hAnsi="Arial" w:cs="Arial"/>
          <w:sz w:val="20"/>
          <w:szCs w:val="20"/>
        </w:rPr>
        <w:t xml:space="preserve">hơn </w:t>
      </w:r>
      <w:r w:rsidR="00DC37DF" w:rsidRPr="008E04A6">
        <w:rPr>
          <w:rFonts w:ascii="Arial" w:hAnsi="Arial" w:cs="Arial"/>
          <w:sz w:val="20"/>
          <w:szCs w:val="20"/>
        </w:rPr>
        <w:t>1.7</w:t>
      </w:r>
      <w:r w:rsidR="00911FB7" w:rsidRPr="008E04A6">
        <w:rPr>
          <w:rFonts w:ascii="Arial" w:hAnsi="Arial" w:cs="Arial"/>
          <w:sz w:val="20"/>
          <w:szCs w:val="20"/>
        </w:rPr>
        <w:t>00</w:t>
      </w:r>
      <w:r w:rsidR="00E17BE5" w:rsidRPr="008E04A6">
        <w:rPr>
          <w:rFonts w:ascii="Arial" w:hAnsi="Arial" w:cs="Arial"/>
          <w:sz w:val="20"/>
          <w:szCs w:val="20"/>
        </w:rPr>
        <w:t xml:space="preserve"> cuộc kiểm tra an toàn hoạt động ngân hàng; </w:t>
      </w:r>
      <w:r w:rsidR="00911FB7" w:rsidRPr="008E04A6">
        <w:rPr>
          <w:rFonts w:ascii="Arial" w:hAnsi="Arial" w:cs="Arial"/>
          <w:sz w:val="20"/>
          <w:szCs w:val="20"/>
        </w:rPr>
        <w:t>1.200</w:t>
      </w:r>
      <w:r w:rsidR="00E17BE5" w:rsidRPr="008E04A6">
        <w:rPr>
          <w:rFonts w:ascii="Arial" w:hAnsi="Arial" w:cs="Arial"/>
          <w:sz w:val="20"/>
          <w:szCs w:val="20"/>
        </w:rPr>
        <w:t xml:space="preserve"> cuộc kiểm tra tuân thủ và 3.</w:t>
      </w:r>
      <w:r w:rsidR="00911FB7" w:rsidRPr="008E04A6">
        <w:rPr>
          <w:rFonts w:ascii="Arial" w:hAnsi="Arial" w:cs="Arial"/>
          <w:sz w:val="20"/>
          <w:szCs w:val="20"/>
        </w:rPr>
        <w:t>800</w:t>
      </w:r>
      <w:r w:rsidR="00E17BE5" w:rsidRPr="008E04A6">
        <w:rPr>
          <w:rFonts w:ascii="Arial" w:hAnsi="Arial" w:cs="Arial"/>
          <w:sz w:val="20"/>
          <w:szCs w:val="20"/>
        </w:rPr>
        <w:t xml:space="preserve"> cuộc kiểm tra đặc biệt [*]. Vì vậy, đ</w:t>
      </w:r>
      <w:r w:rsidR="00E17BE5" w:rsidRPr="008E04A6">
        <w:rPr>
          <w:rFonts w:ascii="Arial" w:eastAsia="Arial Unicode MS" w:hAnsi="Arial" w:cs="Arial"/>
          <w:bCs/>
          <w:noProof/>
          <w:sz w:val="20"/>
          <w:szCs w:val="20"/>
        </w:rPr>
        <w:t>ể thực hiện tốt nghiệp vụ kiểm tra vấn đề về nguồn nhân lực, phương tiện làm việc cũng như khung pháp lý cho hoạt động BHTG cũng cần được quan tâm thỏa đáng. Đồng thời hoạt độ</w:t>
      </w:r>
      <w:r w:rsidR="007D3557" w:rsidRPr="008E04A6">
        <w:rPr>
          <w:rFonts w:ascii="Arial" w:eastAsia="Arial Unicode MS" w:hAnsi="Arial" w:cs="Arial"/>
          <w:bCs/>
          <w:noProof/>
          <w:sz w:val="20"/>
          <w:szCs w:val="20"/>
        </w:rPr>
        <w:t>ng BHTG</w:t>
      </w:r>
      <w:r w:rsidR="00E17BE5" w:rsidRPr="008E04A6">
        <w:rPr>
          <w:rFonts w:ascii="Arial" w:eastAsia="Arial Unicode MS" w:hAnsi="Arial" w:cs="Arial"/>
          <w:bCs/>
          <w:noProof/>
          <w:sz w:val="20"/>
          <w:szCs w:val="20"/>
        </w:rPr>
        <w:t xml:space="preserve"> cần tạo ra cơ chế khuyến khích các tổ chức tham gia BHTG chấp hành nghiêm các quy định về an toàn trong hoạt động và giám sát lẫn nhau để thúc đẩy tính tự giác chấp hành quy định bảo đảm an toàn trong hoạt động của hệ thống.</w:t>
      </w:r>
      <w:r w:rsidR="0000146C" w:rsidRPr="008E04A6">
        <w:rPr>
          <w:rFonts w:ascii="Arial" w:eastAsia="Arial Unicode MS" w:hAnsi="Arial" w:cs="Arial"/>
          <w:bCs/>
          <w:noProof/>
          <w:sz w:val="20"/>
          <w:szCs w:val="20"/>
        </w:rPr>
        <w:t xml:space="preserve"> Đầu tư nhiều hơn cho công tác kiểm tra tổ chức tham gia BHTG sẽ khẳng định rõ nét sức mạnh của công cụ BHTG. Hy vọng xu hướng này sẽ là chủ đạo trong hoạt động của tổ chức Bảo hiểm tiền gửi Việt Nam.</w:t>
      </w:r>
    </w:p>
    <w:p w:rsidR="00E81FD1" w:rsidRPr="008E04A6" w:rsidRDefault="00E81FD1" w:rsidP="008E04A6">
      <w:pPr>
        <w:widowControl w:val="0"/>
        <w:autoSpaceDE w:val="0"/>
        <w:autoSpaceDN w:val="0"/>
        <w:adjustRightInd w:val="0"/>
        <w:spacing w:before="120" w:after="0" w:line="240" w:lineRule="auto"/>
        <w:ind w:right="51"/>
        <w:rPr>
          <w:rFonts w:ascii="Arial" w:eastAsia="Arial Unicode MS" w:hAnsi="Arial" w:cs="Arial"/>
          <w:bCs/>
          <w:i/>
          <w:noProof/>
          <w:sz w:val="20"/>
          <w:szCs w:val="20"/>
        </w:rPr>
      </w:pPr>
      <w:r w:rsidRPr="008E04A6">
        <w:rPr>
          <w:rFonts w:ascii="Arial" w:eastAsia="Arial Unicode MS" w:hAnsi="Arial" w:cs="Arial"/>
          <w:bCs/>
          <w:i/>
          <w:noProof/>
          <w:sz w:val="20"/>
          <w:szCs w:val="20"/>
        </w:rPr>
        <w:t>Nguyễn Việt Trung, Ths. BHTGVN</w:t>
      </w:r>
    </w:p>
    <w:p w:rsidR="009D7930" w:rsidRPr="008E04A6" w:rsidRDefault="00E81FD1" w:rsidP="008E04A6">
      <w:pPr>
        <w:widowControl w:val="0"/>
        <w:autoSpaceDE w:val="0"/>
        <w:autoSpaceDN w:val="0"/>
        <w:adjustRightInd w:val="0"/>
        <w:spacing w:before="120" w:after="0" w:line="240" w:lineRule="auto"/>
        <w:ind w:right="51"/>
        <w:rPr>
          <w:rFonts w:ascii="Arial" w:eastAsia="Arial Unicode MS" w:hAnsi="Arial" w:cs="Arial"/>
          <w:bCs/>
          <w:i/>
          <w:noProof/>
          <w:sz w:val="20"/>
          <w:szCs w:val="20"/>
        </w:rPr>
      </w:pPr>
      <w:r w:rsidRPr="008E04A6">
        <w:rPr>
          <w:rFonts w:ascii="Arial" w:eastAsia="Arial Unicode MS" w:hAnsi="Arial" w:cs="Arial"/>
          <w:bCs/>
          <w:i/>
          <w:noProof/>
          <w:sz w:val="20"/>
          <w:szCs w:val="20"/>
        </w:rPr>
        <w:t>Nguyễn Thị Kim Oanh,</w:t>
      </w:r>
      <w:r w:rsidR="009E2DA2">
        <w:rPr>
          <w:rFonts w:ascii="Arial" w:eastAsia="Arial Unicode MS" w:hAnsi="Arial" w:cs="Arial"/>
          <w:bCs/>
          <w:i/>
          <w:noProof/>
          <w:sz w:val="20"/>
          <w:szCs w:val="20"/>
        </w:rPr>
        <w:t xml:space="preserve"> TS</w:t>
      </w:r>
      <w:r w:rsidR="00A92CF9" w:rsidRPr="008E04A6">
        <w:rPr>
          <w:rFonts w:ascii="Arial" w:eastAsia="Arial Unicode MS" w:hAnsi="Arial" w:cs="Arial"/>
          <w:bCs/>
          <w:i/>
          <w:noProof/>
          <w:sz w:val="20"/>
          <w:szCs w:val="20"/>
        </w:rPr>
        <w:t>, Giảng viên HSB, ĐHQGHN</w:t>
      </w:r>
    </w:p>
    <w:p w:rsidR="00E81FD1" w:rsidRPr="008E04A6" w:rsidRDefault="00E81FD1" w:rsidP="008E04A6">
      <w:pPr>
        <w:widowControl w:val="0"/>
        <w:autoSpaceDE w:val="0"/>
        <w:autoSpaceDN w:val="0"/>
        <w:adjustRightInd w:val="0"/>
        <w:spacing w:before="120" w:after="0" w:line="240" w:lineRule="auto"/>
        <w:ind w:right="51"/>
        <w:rPr>
          <w:rFonts w:ascii="Arial" w:eastAsia="Arial Unicode MS" w:hAnsi="Arial" w:cs="Arial"/>
          <w:bCs/>
          <w:i/>
          <w:noProof/>
          <w:sz w:val="20"/>
          <w:szCs w:val="20"/>
        </w:rPr>
      </w:pPr>
      <w:r w:rsidRPr="008E04A6">
        <w:rPr>
          <w:rFonts w:ascii="Arial" w:eastAsia="Arial Unicode MS" w:hAnsi="Arial" w:cs="Arial"/>
          <w:bCs/>
          <w:i/>
          <w:noProof/>
          <w:sz w:val="20"/>
          <w:szCs w:val="20"/>
        </w:rPr>
        <w:t>Nghiên cứu viên tại QUT, Australia</w:t>
      </w:r>
    </w:p>
    <w:p w:rsidR="00E17BE5" w:rsidRPr="008E04A6" w:rsidRDefault="007C2037" w:rsidP="008E04A6">
      <w:pPr>
        <w:widowControl w:val="0"/>
        <w:autoSpaceDE w:val="0"/>
        <w:autoSpaceDN w:val="0"/>
        <w:adjustRightInd w:val="0"/>
        <w:spacing w:before="120" w:after="0" w:line="240" w:lineRule="auto"/>
        <w:ind w:right="51"/>
        <w:jc w:val="both"/>
        <w:rPr>
          <w:rFonts w:ascii="Arial" w:eastAsia="Arial Unicode MS" w:hAnsi="Arial" w:cs="Arial"/>
          <w:bCs/>
          <w:i/>
          <w:noProof/>
          <w:sz w:val="20"/>
          <w:szCs w:val="20"/>
        </w:rPr>
      </w:pPr>
      <w:r w:rsidRPr="008E04A6">
        <w:rPr>
          <w:rFonts w:ascii="Arial" w:eastAsia="Arial Unicode MS" w:hAnsi="Arial" w:cs="Arial"/>
          <w:bCs/>
          <w:i/>
          <w:noProof/>
          <w:sz w:val="20"/>
          <w:szCs w:val="20"/>
        </w:rPr>
        <w:t>Tài liệu tham khảo</w:t>
      </w:r>
    </w:p>
    <w:p w:rsidR="00E17BE5" w:rsidRPr="008E04A6" w:rsidRDefault="00E17BE5" w:rsidP="008E04A6">
      <w:pPr>
        <w:pStyle w:val="ListParagraph"/>
        <w:numPr>
          <w:ilvl w:val="0"/>
          <w:numId w:val="1"/>
        </w:numPr>
        <w:spacing w:before="120" w:after="0" w:line="240" w:lineRule="auto"/>
        <w:jc w:val="both"/>
        <w:rPr>
          <w:rFonts w:ascii="Arial" w:hAnsi="Arial" w:cs="Arial"/>
          <w:color w:val="000000"/>
          <w:sz w:val="20"/>
          <w:szCs w:val="20"/>
        </w:rPr>
      </w:pPr>
      <w:r w:rsidRPr="008E04A6">
        <w:rPr>
          <w:rFonts w:ascii="Arial" w:hAnsi="Arial" w:cs="Arial"/>
          <w:color w:val="000000"/>
          <w:sz w:val="20"/>
          <w:szCs w:val="20"/>
        </w:rPr>
        <w:t>[*</w:t>
      </w:r>
      <w:r w:rsidR="00793964" w:rsidRPr="008E04A6">
        <w:rPr>
          <w:rFonts w:ascii="Arial" w:hAnsi="Arial" w:cs="Arial"/>
          <w:color w:val="000000"/>
          <w:sz w:val="20"/>
          <w:szCs w:val="20"/>
        </w:rPr>
        <w:t xml:space="preserve">]   </w:t>
      </w:r>
      <w:hyperlink r:id="rId8" w:history="1">
        <w:r w:rsidR="00793964" w:rsidRPr="008E04A6">
          <w:rPr>
            <w:rStyle w:val="Hyperlink"/>
            <w:rFonts w:ascii="Arial" w:hAnsi="Arial" w:cs="Arial"/>
            <w:sz w:val="20"/>
            <w:szCs w:val="20"/>
          </w:rPr>
          <w:t>www.fdic.gov</w:t>
        </w:r>
      </w:hyperlink>
    </w:p>
    <w:p w:rsidR="00793964" w:rsidRPr="008E04A6" w:rsidRDefault="00E17BE5" w:rsidP="008E04A6">
      <w:pPr>
        <w:pStyle w:val="ListParagraph"/>
        <w:numPr>
          <w:ilvl w:val="0"/>
          <w:numId w:val="1"/>
        </w:numPr>
        <w:spacing w:before="120" w:after="0" w:line="240" w:lineRule="auto"/>
        <w:jc w:val="both"/>
        <w:rPr>
          <w:rFonts w:ascii="Arial" w:hAnsi="Arial" w:cs="Arial"/>
          <w:sz w:val="20"/>
          <w:szCs w:val="20"/>
        </w:rPr>
      </w:pPr>
      <w:r w:rsidRPr="008E04A6">
        <w:rPr>
          <w:rFonts w:ascii="Arial" w:hAnsi="Arial" w:cs="Arial"/>
          <w:color w:val="000000"/>
          <w:sz w:val="20"/>
          <w:szCs w:val="20"/>
        </w:rPr>
        <w:t xml:space="preserve">[**] </w:t>
      </w:r>
      <w:hyperlink r:id="rId9" w:history="1">
        <w:r w:rsidRPr="008E04A6">
          <w:rPr>
            <w:rStyle w:val="Hyperlink"/>
            <w:rFonts w:ascii="Arial" w:hAnsi="Arial" w:cs="Arial"/>
            <w:sz w:val="20"/>
            <w:szCs w:val="20"/>
          </w:rPr>
          <w:t>www.dic.go.jp</w:t>
        </w:r>
      </w:hyperlink>
    </w:p>
    <w:p w:rsidR="006F6811" w:rsidRPr="008E04A6" w:rsidRDefault="006F6811" w:rsidP="008E04A6">
      <w:pPr>
        <w:pStyle w:val="ListParagraph"/>
        <w:numPr>
          <w:ilvl w:val="0"/>
          <w:numId w:val="1"/>
        </w:numPr>
        <w:spacing w:before="120" w:after="0" w:line="240" w:lineRule="auto"/>
        <w:jc w:val="both"/>
        <w:rPr>
          <w:rFonts w:ascii="Arial" w:hAnsi="Arial" w:cs="Arial"/>
          <w:sz w:val="20"/>
          <w:szCs w:val="20"/>
        </w:rPr>
      </w:pPr>
      <w:r w:rsidRPr="008E04A6">
        <w:rPr>
          <w:rFonts w:ascii="Arial" w:hAnsi="Arial" w:cs="Arial"/>
          <w:sz w:val="20"/>
          <w:szCs w:val="20"/>
        </w:rPr>
        <w:t xml:space="preserve">Báo cáo </w:t>
      </w:r>
      <w:r w:rsidR="00793964" w:rsidRPr="008E04A6">
        <w:rPr>
          <w:rFonts w:ascii="Arial" w:hAnsi="Arial" w:cs="Arial"/>
          <w:sz w:val="20"/>
          <w:szCs w:val="20"/>
        </w:rPr>
        <w:t xml:space="preserve">2017 </w:t>
      </w:r>
      <w:r w:rsidRPr="008E04A6">
        <w:rPr>
          <w:rFonts w:ascii="Arial" w:hAnsi="Arial" w:cs="Arial"/>
          <w:sz w:val="20"/>
          <w:szCs w:val="20"/>
        </w:rPr>
        <w:t>của BHTGVN</w:t>
      </w:r>
      <w:r w:rsidR="00793964" w:rsidRPr="008E04A6">
        <w:rPr>
          <w:rFonts w:ascii="Arial" w:hAnsi="Arial" w:cs="Arial"/>
          <w:sz w:val="20"/>
          <w:szCs w:val="20"/>
        </w:rPr>
        <w:t>, FDIC và DICJ</w:t>
      </w:r>
    </w:p>
    <w:p w:rsidR="007C2037" w:rsidRPr="008E04A6" w:rsidRDefault="007C2037" w:rsidP="008E04A6">
      <w:pPr>
        <w:spacing w:before="120" w:after="0" w:line="240" w:lineRule="auto"/>
        <w:ind w:left="720" w:hanging="720"/>
        <w:jc w:val="both"/>
        <w:rPr>
          <w:rFonts w:ascii="Arial" w:hAnsi="Arial" w:cs="Arial"/>
          <w:sz w:val="20"/>
          <w:szCs w:val="20"/>
        </w:rPr>
      </w:pPr>
    </w:p>
    <w:p w:rsidR="007C2037" w:rsidRPr="008E04A6" w:rsidRDefault="007C2037" w:rsidP="008E04A6">
      <w:pPr>
        <w:spacing w:before="120" w:after="0" w:line="240" w:lineRule="auto"/>
        <w:ind w:left="720" w:hanging="720"/>
        <w:jc w:val="both"/>
        <w:rPr>
          <w:rFonts w:ascii="Arial" w:hAnsi="Arial" w:cs="Arial"/>
          <w:color w:val="000000"/>
          <w:sz w:val="20"/>
          <w:szCs w:val="20"/>
        </w:rPr>
      </w:pPr>
    </w:p>
    <w:p w:rsidR="00613D9C" w:rsidRPr="008E04A6" w:rsidRDefault="00613D9C" w:rsidP="008E04A6">
      <w:pPr>
        <w:spacing w:before="120" w:after="0" w:line="240" w:lineRule="auto"/>
        <w:jc w:val="both"/>
        <w:rPr>
          <w:rFonts w:ascii="Arial" w:hAnsi="Arial" w:cs="Arial"/>
          <w:sz w:val="20"/>
          <w:szCs w:val="20"/>
        </w:rPr>
      </w:pPr>
    </w:p>
    <w:sectPr w:rsidR="00613D9C" w:rsidRPr="008E04A6" w:rsidSect="009E2DA2">
      <w:footerReference w:type="default" r:id="rId10"/>
      <w:pgSz w:w="12240" w:h="15840"/>
      <w:pgMar w:top="851"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3BA" w:rsidRDefault="009933BA" w:rsidP="00936252">
      <w:pPr>
        <w:spacing w:after="0" w:line="240" w:lineRule="auto"/>
      </w:pPr>
      <w:r>
        <w:separator/>
      </w:r>
    </w:p>
  </w:endnote>
  <w:endnote w:type="continuationSeparator" w:id="0">
    <w:p w:rsidR="009933BA" w:rsidRDefault="009933BA" w:rsidP="0093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023"/>
      <w:docPartObj>
        <w:docPartGallery w:val="Page Numbers (Bottom of Page)"/>
        <w:docPartUnique/>
      </w:docPartObj>
    </w:sdtPr>
    <w:sdtEndPr/>
    <w:sdtContent>
      <w:p w:rsidR="00E81FD1" w:rsidRDefault="009933BA">
        <w:pPr>
          <w:pStyle w:val="Footer"/>
          <w:jc w:val="center"/>
        </w:pPr>
        <w:r>
          <w:fldChar w:fldCharType="begin"/>
        </w:r>
        <w:r>
          <w:instrText xml:space="preserve"> PAGE   \* MERGEFORMAT </w:instrText>
        </w:r>
        <w:r>
          <w:fldChar w:fldCharType="separate"/>
        </w:r>
        <w:r w:rsidR="00C237BA">
          <w:rPr>
            <w:noProof/>
          </w:rPr>
          <w:t>1</w:t>
        </w:r>
        <w:r>
          <w:rPr>
            <w:noProof/>
          </w:rPr>
          <w:fldChar w:fldCharType="end"/>
        </w:r>
      </w:p>
    </w:sdtContent>
  </w:sdt>
  <w:p w:rsidR="00E81FD1" w:rsidRDefault="00E81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3BA" w:rsidRDefault="009933BA" w:rsidP="00936252">
      <w:pPr>
        <w:spacing w:after="0" w:line="240" w:lineRule="auto"/>
      </w:pPr>
      <w:r>
        <w:separator/>
      </w:r>
    </w:p>
  </w:footnote>
  <w:footnote w:type="continuationSeparator" w:id="0">
    <w:p w:rsidR="009933BA" w:rsidRDefault="009933BA" w:rsidP="00936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20976"/>
    <w:multiLevelType w:val="hybridMultilevel"/>
    <w:tmpl w:val="DC843914"/>
    <w:lvl w:ilvl="0" w:tplc="6AB4E3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E5"/>
    <w:rsid w:val="0000146C"/>
    <w:rsid w:val="000028DF"/>
    <w:rsid w:val="000F58A8"/>
    <w:rsid w:val="0010451E"/>
    <w:rsid w:val="00133B73"/>
    <w:rsid w:val="001B30AE"/>
    <w:rsid w:val="001E02DE"/>
    <w:rsid w:val="002046B3"/>
    <w:rsid w:val="00256A69"/>
    <w:rsid w:val="002D6167"/>
    <w:rsid w:val="002F24F2"/>
    <w:rsid w:val="003470AA"/>
    <w:rsid w:val="00380499"/>
    <w:rsid w:val="004013E6"/>
    <w:rsid w:val="004029A7"/>
    <w:rsid w:val="00447209"/>
    <w:rsid w:val="004512F3"/>
    <w:rsid w:val="00464C1E"/>
    <w:rsid w:val="00490393"/>
    <w:rsid w:val="004B5F9B"/>
    <w:rsid w:val="004E0522"/>
    <w:rsid w:val="004E6802"/>
    <w:rsid w:val="005920DA"/>
    <w:rsid w:val="005B7855"/>
    <w:rsid w:val="005F453E"/>
    <w:rsid w:val="00613D9C"/>
    <w:rsid w:val="00624C89"/>
    <w:rsid w:val="00631337"/>
    <w:rsid w:val="00662622"/>
    <w:rsid w:val="006828E1"/>
    <w:rsid w:val="00685BCD"/>
    <w:rsid w:val="006E44D0"/>
    <w:rsid w:val="006F6811"/>
    <w:rsid w:val="0072767D"/>
    <w:rsid w:val="0076375C"/>
    <w:rsid w:val="00793964"/>
    <w:rsid w:val="007C2037"/>
    <w:rsid w:val="007D3557"/>
    <w:rsid w:val="00812E72"/>
    <w:rsid w:val="00820FA9"/>
    <w:rsid w:val="00847BEC"/>
    <w:rsid w:val="008D6A45"/>
    <w:rsid w:val="008E04A6"/>
    <w:rsid w:val="008E201E"/>
    <w:rsid w:val="00911FB7"/>
    <w:rsid w:val="00936252"/>
    <w:rsid w:val="00937698"/>
    <w:rsid w:val="009933BA"/>
    <w:rsid w:val="009A2F41"/>
    <w:rsid w:val="009B4897"/>
    <w:rsid w:val="009D7930"/>
    <w:rsid w:val="009E05FD"/>
    <w:rsid w:val="009E2DA2"/>
    <w:rsid w:val="00A13B91"/>
    <w:rsid w:val="00A236D1"/>
    <w:rsid w:val="00A514C4"/>
    <w:rsid w:val="00A5283E"/>
    <w:rsid w:val="00A550DD"/>
    <w:rsid w:val="00A6355F"/>
    <w:rsid w:val="00A92CF9"/>
    <w:rsid w:val="00AB5EB4"/>
    <w:rsid w:val="00AD70A6"/>
    <w:rsid w:val="00B6549E"/>
    <w:rsid w:val="00BE2189"/>
    <w:rsid w:val="00C237BA"/>
    <w:rsid w:val="00C3448E"/>
    <w:rsid w:val="00C9747F"/>
    <w:rsid w:val="00CE3A21"/>
    <w:rsid w:val="00D057FB"/>
    <w:rsid w:val="00D36070"/>
    <w:rsid w:val="00D667D2"/>
    <w:rsid w:val="00D848EC"/>
    <w:rsid w:val="00D87C6A"/>
    <w:rsid w:val="00DC37DF"/>
    <w:rsid w:val="00DD5067"/>
    <w:rsid w:val="00DE45DF"/>
    <w:rsid w:val="00E16F95"/>
    <w:rsid w:val="00E17BE5"/>
    <w:rsid w:val="00E3428B"/>
    <w:rsid w:val="00E646E9"/>
    <w:rsid w:val="00E679A2"/>
    <w:rsid w:val="00E74F85"/>
    <w:rsid w:val="00E81FD1"/>
    <w:rsid w:val="00F530DC"/>
    <w:rsid w:val="00F64DC2"/>
    <w:rsid w:val="00F836ED"/>
    <w:rsid w:val="00F84A50"/>
    <w:rsid w:val="00FA0D8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E4810-69F4-451B-A76E-AA8737EE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BE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17BE5"/>
    <w:rPr>
      <w:color w:val="0000FF"/>
      <w:u w:val="single"/>
    </w:rPr>
  </w:style>
  <w:style w:type="table" w:styleId="TableGrid">
    <w:name w:val="Table Grid"/>
    <w:basedOn w:val="TableNormal"/>
    <w:uiPriority w:val="39"/>
    <w:rsid w:val="00E17BE5"/>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C2037"/>
    <w:pPr>
      <w:ind w:left="720"/>
      <w:contextualSpacing/>
    </w:pPr>
  </w:style>
  <w:style w:type="paragraph" w:styleId="Header">
    <w:name w:val="header"/>
    <w:basedOn w:val="Normal"/>
    <w:link w:val="HeaderChar"/>
    <w:uiPriority w:val="99"/>
    <w:semiHidden/>
    <w:unhideWhenUsed/>
    <w:rsid w:val="009362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6252"/>
    <w:rPr>
      <w:rFonts w:asciiTheme="minorHAnsi" w:hAnsiTheme="minorHAnsi"/>
      <w:sz w:val="22"/>
    </w:rPr>
  </w:style>
  <w:style w:type="paragraph" w:styleId="Footer">
    <w:name w:val="footer"/>
    <w:basedOn w:val="Normal"/>
    <w:link w:val="FooterChar"/>
    <w:uiPriority w:val="99"/>
    <w:unhideWhenUsed/>
    <w:rsid w:val="00936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252"/>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2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i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c.g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0CB3-51D2-40BE-BA0E-F1C631AD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Hewlett-Packard Company</cp:lastModifiedBy>
  <cp:revision>2</cp:revision>
  <dcterms:created xsi:type="dcterms:W3CDTF">2018-12-24T07:55:00Z</dcterms:created>
  <dcterms:modified xsi:type="dcterms:W3CDTF">2018-12-24T07:55:00Z</dcterms:modified>
</cp:coreProperties>
</file>