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2A1" w:rsidRPr="00576157" w:rsidRDefault="002472A1" w:rsidP="00576157">
      <w:pPr>
        <w:spacing w:after="0" w:line="240" w:lineRule="auto"/>
        <w:jc w:val="both"/>
        <w:rPr>
          <w:rFonts w:ascii="Arial" w:eastAsia="Times New Roman" w:hAnsi="Arial" w:cs="Arial"/>
          <w:b/>
          <w:sz w:val="20"/>
          <w:szCs w:val="20"/>
        </w:rPr>
      </w:pPr>
      <w:r w:rsidRPr="00576157">
        <w:rPr>
          <w:rFonts w:ascii="Arial" w:eastAsia="Times New Roman" w:hAnsi="Arial" w:cs="Arial"/>
          <w:b/>
          <w:sz w:val="20"/>
          <w:szCs w:val="20"/>
        </w:rPr>
        <w:t>Niềm tin của cộng đồng đối với ngân hàng</w:t>
      </w:r>
    </w:p>
    <w:p w:rsidR="005B5E0B" w:rsidRPr="00576157" w:rsidRDefault="005B5E0B" w:rsidP="00576157">
      <w:pPr>
        <w:spacing w:after="0" w:line="240" w:lineRule="auto"/>
        <w:jc w:val="both"/>
        <w:rPr>
          <w:rFonts w:ascii="Arial" w:eastAsia="Times New Roman" w:hAnsi="Arial" w:cs="Arial"/>
          <w:sz w:val="20"/>
          <w:szCs w:val="20"/>
        </w:rPr>
      </w:pPr>
      <w:r w:rsidRPr="00576157">
        <w:rPr>
          <w:rFonts w:ascii="Arial" w:eastAsia="Times New Roman" w:hAnsi="Arial" w:cs="Arial"/>
          <w:sz w:val="20"/>
          <w:szCs w:val="20"/>
        </w:rPr>
        <w:t xml:space="preserve">Ngân hàng là tổ chức </w:t>
      </w:r>
      <w:r w:rsidR="005E6D4A" w:rsidRPr="00576157">
        <w:rPr>
          <w:rFonts w:ascii="Arial" w:eastAsia="Times New Roman" w:hAnsi="Arial" w:cs="Arial"/>
          <w:sz w:val="20"/>
          <w:szCs w:val="20"/>
        </w:rPr>
        <w:t xml:space="preserve">hoạt động kinh doanh đặc thù </w:t>
      </w:r>
      <w:r w:rsidRPr="00576157">
        <w:rPr>
          <w:rFonts w:ascii="Arial" w:eastAsia="Times New Roman" w:hAnsi="Arial" w:cs="Arial"/>
          <w:sz w:val="20"/>
          <w:szCs w:val="20"/>
        </w:rPr>
        <w:t>trong lĩnh vực tiền tệ</w:t>
      </w:r>
      <w:r w:rsidR="005E6D4A" w:rsidRPr="00576157">
        <w:rPr>
          <w:rFonts w:ascii="Arial" w:eastAsia="Times New Roman" w:hAnsi="Arial" w:cs="Arial"/>
          <w:sz w:val="20"/>
          <w:szCs w:val="20"/>
        </w:rPr>
        <w:t xml:space="preserve">, </w:t>
      </w:r>
      <w:r w:rsidR="004D2BE6" w:rsidRPr="00576157">
        <w:rPr>
          <w:rFonts w:ascii="Arial" w:eastAsia="Times New Roman" w:hAnsi="Arial" w:cs="Arial"/>
          <w:sz w:val="20"/>
          <w:szCs w:val="20"/>
        </w:rPr>
        <w:t xml:space="preserve">tín </w:t>
      </w:r>
      <w:r w:rsidR="005E6D4A" w:rsidRPr="00576157">
        <w:rPr>
          <w:rFonts w:ascii="Arial" w:eastAsia="Times New Roman" w:hAnsi="Arial" w:cs="Arial"/>
          <w:sz w:val="20"/>
          <w:szCs w:val="20"/>
        </w:rPr>
        <w:t>dụng và thanh toán. Tiền tệ là loại hàng hóa đặc biệt</w:t>
      </w:r>
      <w:r w:rsidR="00A03D13" w:rsidRPr="00576157">
        <w:rPr>
          <w:rFonts w:ascii="Arial" w:eastAsia="Times New Roman" w:hAnsi="Arial" w:cs="Arial"/>
          <w:sz w:val="20"/>
          <w:szCs w:val="20"/>
        </w:rPr>
        <w:t>,</w:t>
      </w:r>
      <w:r w:rsidR="005E6D4A" w:rsidRPr="00576157">
        <w:rPr>
          <w:rFonts w:ascii="Arial" w:eastAsia="Times New Roman" w:hAnsi="Arial" w:cs="Arial"/>
          <w:sz w:val="20"/>
          <w:szCs w:val="20"/>
        </w:rPr>
        <w:t xml:space="preserve"> là </w:t>
      </w:r>
      <w:r w:rsidR="006F2F05" w:rsidRPr="00576157">
        <w:rPr>
          <w:rFonts w:ascii="Arial" w:eastAsia="Times New Roman" w:hAnsi="Arial" w:cs="Arial"/>
          <w:sz w:val="20"/>
          <w:szCs w:val="20"/>
        </w:rPr>
        <w:t>phương tiện</w:t>
      </w:r>
      <w:r w:rsidR="005E6D4A" w:rsidRPr="00576157">
        <w:rPr>
          <w:rFonts w:ascii="Arial" w:eastAsia="Times New Roman" w:hAnsi="Arial" w:cs="Arial"/>
          <w:sz w:val="20"/>
          <w:szCs w:val="20"/>
        </w:rPr>
        <w:t xml:space="preserve"> thanh toán, đại </w:t>
      </w:r>
      <w:r w:rsidR="006F2F05" w:rsidRPr="00576157">
        <w:rPr>
          <w:rFonts w:ascii="Arial" w:eastAsia="Times New Roman" w:hAnsi="Arial" w:cs="Arial"/>
          <w:sz w:val="20"/>
          <w:szCs w:val="20"/>
        </w:rPr>
        <w:t xml:space="preserve">diện cho </w:t>
      </w:r>
      <w:r w:rsidR="00C15146" w:rsidRPr="00576157">
        <w:rPr>
          <w:rFonts w:ascii="Arial" w:eastAsia="Times New Roman" w:hAnsi="Arial" w:cs="Arial"/>
          <w:sz w:val="20"/>
          <w:szCs w:val="20"/>
        </w:rPr>
        <w:t xml:space="preserve">giá trị của </w:t>
      </w:r>
      <w:r w:rsidR="006F2F05" w:rsidRPr="00576157">
        <w:rPr>
          <w:rFonts w:ascii="Arial" w:eastAsia="Times New Roman" w:hAnsi="Arial" w:cs="Arial"/>
          <w:sz w:val="20"/>
          <w:szCs w:val="20"/>
        </w:rPr>
        <w:t>tất cả hàng hóa và dịch vụ. Y</w:t>
      </w:r>
      <w:r w:rsidR="00E94D5E" w:rsidRPr="00576157">
        <w:rPr>
          <w:rFonts w:ascii="Arial" w:eastAsia="Times New Roman" w:hAnsi="Arial" w:cs="Arial"/>
          <w:sz w:val="20"/>
          <w:szCs w:val="20"/>
        </w:rPr>
        <w:t xml:space="preserve">ếu tố niềm tin đối với ngân hàng từ cộng đồng </w:t>
      </w:r>
      <w:r w:rsidR="006F2F05" w:rsidRPr="00576157">
        <w:rPr>
          <w:rFonts w:ascii="Arial" w:eastAsia="Times New Roman" w:hAnsi="Arial" w:cs="Arial"/>
          <w:sz w:val="20"/>
          <w:szCs w:val="20"/>
        </w:rPr>
        <w:t xml:space="preserve">trong kinh doanh ngân hàng </w:t>
      </w:r>
      <w:r w:rsidR="00E94D5E" w:rsidRPr="00576157">
        <w:rPr>
          <w:rFonts w:ascii="Arial" w:eastAsia="Times New Roman" w:hAnsi="Arial" w:cs="Arial"/>
          <w:sz w:val="20"/>
          <w:szCs w:val="20"/>
        </w:rPr>
        <w:t xml:space="preserve">có tầm quan trọng </w:t>
      </w:r>
      <w:r w:rsidR="008835EB" w:rsidRPr="00576157">
        <w:rPr>
          <w:rFonts w:ascii="Arial" w:eastAsia="Times New Roman" w:hAnsi="Arial" w:cs="Arial"/>
          <w:sz w:val="20"/>
          <w:szCs w:val="20"/>
        </w:rPr>
        <w:t>đặc biệt</w:t>
      </w:r>
      <w:r w:rsidR="00B131F2" w:rsidRPr="00576157">
        <w:rPr>
          <w:rFonts w:ascii="Arial" w:eastAsia="Times New Roman" w:hAnsi="Arial" w:cs="Arial"/>
          <w:sz w:val="20"/>
          <w:szCs w:val="20"/>
        </w:rPr>
        <w:t xml:space="preserve">, </w:t>
      </w:r>
      <w:r w:rsidR="00E94D5E" w:rsidRPr="00576157">
        <w:rPr>
          <w:rFonts w:ascii="Arial" w:eastAsia="Times New Roman" w:hAnsi="Arial" w:cs="Arial"/>
          <w:sz w:val="20"/>
          <w:szCs w:val="20"/>
        </w:rPr>
        <w:t xml:space="preserve">quyết định sự tồn tại và phát triển của ngân hàng. </w:t>
      </w:r>
      <w:r w:rsidR="008835EB" w:rsidRPr="00576157">
        <w:rPr>
          <w:rFonts w:ascii="Arial" w:eastAsia="Times New Roman" w:hAnsi="Arial" w:cs="Arial"/>
          <w:sz w:val="20"/>
          <w:szCs w:val="20"/>
        </w:rPr>
        <w:t>Ngân hàng sau khi được thành lập, với số vốn nhất định ban đầu, để triển khai được đồng bộ các hoạt động, mở chi nhánh, xâm nhập thị trường trong và ngoài nước, ứng dụng công nghệ v.v. phụ thuộc rất lớn vào niềm tin của cộng đ</w:t>
      </w:r>
      <w:r w:rsidR="00C15146" w:rsidRPr="00576157">
        <w:rPr>
          <w:rFonts w:ascii="Arial" w:eastAsia="Times New Roman" w:hAnsi="Arial" w:cs="Arial"/>
          <w:sz w:val="20"/>
          <w:szCs w:val="20"/>
        </w:rPr>
        <w:t>ồng</w:t>
      </w:r>
      <w:r w:rsidR="008835EB" w:rsidRPr="00576157">
        <w:rPr>
          <w:rFonts w:ascii="Arial" w:eastAsia="Times New Roman" w:hAnsi="Arial" w:cs="Arial"/>
          <w:sz w:val="20"/>
          <w:szCs w:val="20"/>
        </w:rPr>
        <w:t xml:space="preserve">. </w:t>
      </w:r>
      <w:r w:rsidR="00D56596" w:rsidRPr="00576157">
        <w:rPr>
          <w:rFonts w:ascii="Arial" w:eastAsia="Times New Roman" w:hAnsi="Arial" w:cs="Arial"/>
          <w:sz w:val="20"/>
          <w:szCs w:val="20"/>
        </w:rPr>
        <w:t xml:space="preserve">Với niềm tin </w:t>
      </w:r>
      <w:r w:rsidR="00263A37" w:rsidRPr="00576157">
        <w:rPr>
          <w:rFonts w:ascii="Arial" w:eastAsia="Times New Roman" w:hAnsi="Arial" w:cs="Arial"/>
          <w:sz w:val="20"/>
          <w:szCs w:val="20"/>
        </w:rPr>
        <w:t>l</w:t>
      </w:r>
      <w:r w:rsidR="001E6BC5" w:rsidRPr="00576157">
        <w:rPr>
          <w:rFonts w:ascii="Arial" w:eastAsia="Times New Roman" w:hAnsi="Arial" w:cs="Arial"/>
          <w:sz w:val="20"/>
          <w:szCs w:val="20"/>
        </w:rPr>
        <w:t xml:space="preserve">ớn từ </w:t>
      </w:r>
      <w:r w:rsidR="00D56596" w:rsidRPr="00576157">
        <w:rPr>
          <w:rFonts w:ascii="Arial" w:eastAsia="Times New Roman" w:hAnsi="Arial" w:cs="Arial"/>
          <w:sz w:val="20"/>
          <w:szCs w:val="20"/>
        </w:rPr>
        <w:t>cộng đ</w:t>
      </w:r>
      <w:r w:rsidR="006A25BE" w:rsidRPr="00576157">
        <w:rPr>
          <w:rFonts w:ascii="Arial" w:eastAsia="Times New Roman" w:hAnsi="Arial" w:cs="Arial"/>
          <w:sz w:val="20"/>
          <w:szCs w:val="20"/>
        </w:rPr>
        <w:t>ồng</w:t>
      </w:r>
      <w:r w:rsidR="00D56596" w:rsidRPr="00576157">
        <w:rPr>
          <w:rFonts w:ascii="Arial" w:eastAsia="Times New Roman" w:hAnsi="Arial" w:cs="Arial"/>
          <w:sz w:val="20"/>
          <w:szCs w:val="20"/>
        </w:rPr>
        <w:t>, ngân hàng có kh</w:t>
      </w:r>
      <w:r w:rsidR="001E6BC5" w:rsidRPr="00576157">
        <w:rPr>
          <w:rFonts w:ascii="Arial" w:eastAsia="Times New Roman" w:hAnsi="Arial" w:cs="Arial"/>
          <w:sz w:val="20"/>
          <w:szCs w:val="20"/>
        </w:rPr>
        <w:t>ả</w:t>
      </w:r>
      <w:r w:rsidR="00D56596" w:rsidRPr="00576157">
        <w:rPr>
          <w:rFonts w:ascii="Arial" w:eastAsia="Times New Roman" w:hAnsi="Arial" w:cs="Arial"/>
          <w:sz w:val="20"/>
          <w:szCs w:val="20"/>
        </w:rPr>
        <w:t xml:space="preserve"> năng huy động vốn, bán sản phẩm và dịch vụ. Nguồn vốn huy động hoàn toàn phụ thuộc vào niềm tin mà ngân hàng có được từ cộng đồng. Nguồn vốn </w:t>
      </w:r>
      <w:r w:rsidR="006F2F05" w:rsidRPr="00576157">
        <w:rPr>
          <w:rFonts w:ascii="Arial" w:eastAsia="Times New Roman" w:hAnsi="Arial" w:cs="Arial"/>
          <w:sz w:val="20"/>
          <w:szCs w:val="20"/>
        </w:rPr>
        <w:t xml:space="preserve">chủ sở hữu, vốn </w:t>
      </w:r>
      <w:r w:rsidR="00D56596" w:rsidRPr="00576157">
        <w:rPr>
          <w:rFonts w:ascii="Arial" w:eastAsia="Times New Roman" w:hAnsi="Arial" w:cs="Arial"/>
          <w:sz w:val="20"/>
          <w:szCs w:val="20"/>
        </w:rPr>
        <w:t>huy động, hoạt động tài sản nợ của ngân hàng là cơ sở để ngân hàng triển khai hoạt động tài sản có</w:t>
      </w:r>
      <w:r w:rsidR="00F73A71" w:rsidRPr="00576157">
        <w:rPr>
          <w:rFonts w:ascii="Arial" w:eastAsia="Times New Roman" w:hAnsi="Arial" w:cs="Arial"/>
          <w:sz w:val="20"/>
          <w:szCs w:val="20"/>
        </w:rPr>
        <w:t>, là nền tảng đóng góp cho xây dựng và đầu tư phát triển kinh tế</w:t>
      </w:r>
      <w:r w:rsidR="00D56596" w:rsidRPr="00576157">
        <w:rPr>
          <w:rFonts w:ascii="Arial" w:eastAsia="Times New Roman" w:hAnsi="Arial" w:cs="Arial"/>
          <w:sz w:val="20"/>
          <w:szCs w:val="20"/>
        </w:rPr>
        <w:t xml:space="preserve">. Với một qui mô </w:t>
      </w:r>
      <w:r w:rsidR="006F2F05" w:rsidRPr="00576157">
        <w:rPr>
          <w:rFonts w:ascii="Arial" w:eastAsia="Times New Roman" w:hAnsi="Arial" w:cs="Arial"/>
          <w:sz w:val="20"/>
          <w:szCs w:val="20"/>
        </w:rPr>
        <w:t xml:space="preserve">vốn chủ sở hữu lớn và </w:t>
      </w:r>
      <w:r w:rsidR="00D56596" w:rsidRPr="00576157">
        <w:rPr>
          <w:rFonts w:ascii="Arial" w:eastAsia="Times New Roman" w:hAnsi="Arial" w:cs="Arial"/>
          <w:sz w:val="20"/>
          <w:szCs w:val="20"/>
        </w:rPr>
        <w:t>tài sản</w:t>
      </w:r>
      <w:r w:rsidR="006F2F05" w:rsidRPr="00576157">
        <w:rPr>
          <w:rFonts w:ascii="Arial" w:eastAsia="Times New Roman" w:hAnsi="Arial" w:cs="Arial"/>
          <w:sz w:val="20"/>
          <w:szCs w:val="20"/>
        </w:rPr>
        <w:t xml:space="preserve"> nợ lớn, ngân hàng có điều kiện thực hiện ngày càng đa dạng ho</w:t>
      </w:r>
      <w:r w:rsidR="00B131F2" w:rsidRPr="00576157">
        <w:rPr>
          <w:rFonts w:ascii="Arial" w:eastAsia="Times New Roman" w:hAnsi="Arial" w:cs="Arial"/>
          <w:sz w:val="20"/>
          <w:szCs w:val="20"/>
        </w:rPr>
        <w:t>ạt động tài sản có, là cơ sở</w:t>
      </w:r>
      <w:r w:rsidR="006F2F05" w:rsidRPr="00576157">
        <w:rPr>
          <w:rFonts w:ascii="Arial" w:eastAsia="Times New Roman" w:hAnsi="Arial" w:cs="Arial"/>
          <w:sz w:val="20"/>
          <w:szCs w:val="20"/>
        </w:rPr>
        <w:t xml:space="preserve"> tạo ra doanh thu và lợi nhuận cho ngân hàng</w:t>
      </w:r>
      <w:r w:rsidR="00B131F2" w:rsidRPr="00576157">
        <w:rPr>
          <w:rFonts w:ascii="Arial" w:eastAsia="Times New Roman" w:hAnsi="Arial" w:cs="Arial"/>
          <w:sz w:val="20"/>
          <w:szCs w:val="20"/>
        </w:rPr>
        <w:t xml:space="preserve">, phong phú và thịnh vượn của </w:t>
      </w:r>
      <w:r w:rsidR="00F73A71" w:rsidRPr="00576157">
        <w:rPr>
          <w:rFonts w:ascii="Arial" w:eastAsia="Times New Roman" w:hAnsi="Arial" w:cs="Arial"/>
          <w:sz w:val="20"/>
          <w:szCs w:val="20"/>
        </w:rPr>
        <w:t>nền kinh tế</w:t>
      </w:r>
      <w:r w:rsidR="006F2F05" w:rsidRPr="00576157">
        <w:rPr>
          <w:rFonts w:ascii="Arial" w:eastAsia="Times New Roman" w:hAnsi="Arial" w:cs="Arial"/>
          <w:sz w:val="20"/>
          <w:szCs w:val="20"/>
        </w:rPr>
        <w:t>.</w:t>
      </w:r>
      <w:r w:rsidR="001C24C6" w:rsidRPr="00576157">
        <w:rPr>
          <w:rFonts w:ascii="Arial" w:eastAsia="Times New Roman" w:hAnsi="Arial" w:cs="Arial"/>
          <w:sz w:val="20"/>
          <w:szCs w:val="20"/>
        </w:rPr>
        <w:t>V</w:t>
      </w:r>
      <w:r w:rsidR="006F2F05" w:rsidRPr="00576157">
        <w:rPr>
          <w:rFonts w:ascii="Arial" w:eastAsia="Times New Roman" w:hAnsi="Arial" w:cs="Arial"/>
          <w:sz w:val="20"/>
          <w:szCs w:val="20"/>
        </w:rPr>
        <w:t xml:space="preserve">ốn </w:t>
      </w:r>
      <w:r w:rsidR="00E57949" w:rsidRPr="00576157">
        <w:rPr>
          <w:rFonts w:ascii="Arial" w:eastAsia="Times New Roman" w:hAnsi="Arial" w:cs="Arial"/>
          <w:sz w:val="20"/>
          <w:szCs w:val="20"/>
        </w:rPr>
        <w:t xml:space="preserve">hoạt động </w:t>
      </w:r>
      <w:r w:rsidR="006F2F05" w:rsidRPr="00576157">
        <w:rPr>
          <w:rFonts w:ascii="Arial" w:eastAsia="Times New Roman" w:hAnsi="Arial" w:cs="Arial"/>
          <w:sz w:val="20"/>
          <w:szCs w:val="20"/>
        </w:rPr>
        <w:t xml:space="preserve">của ngân hàng </w:t>
      </w:r>
      <w:r w:rsidR="00CD34F5" w:rsidRPr="00576157">
        <w:rPr>
          <w:rFonts w:ascii="Arial" w:eastAsia="Times New Roman" w:hAnsi="Arial" w:cs="Arial"/>
          <w:sz w:val="20"/>
          <w:szCs w:val="20"/>
        </w:rPr>
        <w:t>phụ thuộc rất lớn vào</w:t>
      </w:r>
      <w:r w:rsidR="006F2F05" w:rsidRPr="00576157">
        <w:rPr>
          <w:rFonts w:ascii="Arial" w:eastAsia="Times New Roman" w:hAnsi="Arial" w:cs="Arial"/>
          <w:sz w:val="20"/>
          <w:szCs w:val="20"/>
        </w:rPr>
        <w:t xml:space="preserve"> hoạt động tài sản nợ. Niềm tin vào ngân hàng càng lớn, </w:t>
      </w:r>
      <w:r w:rsidR="00C3317F" w:rsidRPr="00576157">
        <w:rPr>
          <w:rFonts w:ascii="Arial" w:eastAsia="Times New Roman" w:hAnsi="Arial" w:cs="Arial"/>
          <w:sz w:val="20"/>
          <w:szCs w:val="20"/>
        </w:rPr>
        <w:t xml:space="preserve">tính bền vững </w:t>
      </w:r>
      <w:r w:rsidR="006A25BE" w:rsidRPr="00576157">
        <w:rPr>
          <w:rFonts w:ascii="Arial" w:eastAsia="Times New Roman" w:hAnsi="Arial" w:cs="Arial"/>
          <w:sz w:val="20"/>
          <w:szCs w:val="20"/>
        </w:rPr>
        <w:t xml:space="preserve">và qui mô hoạt động tài sản nợ của ngân hàng được đảm bảo và phát triển, nhờ đó đảm bảo cho hoạt động tài sản có được khả thi và có lợi nhuận. </w:t>
      </w:r>
    </w:p>
    <w:p w:rsidR="00D21136" w:rsidRPr="00576157" w:rsidRDefault="00D21136" w:rsidP="00576157">
      <w:pPr>
        <w:spacing w:after="0" w:line="240" w:lineRule="auto"/>
        <w:jc w:val="both"/>
        <w:rPr>
          <w:rFonts w:ascii="Arial" w:eastAsia="Times New Roman" w:hAnsi="Arial" w:cs="Arial"/>
          <w:b/>
          <w:sz w:val="20"/>
          <w:szCs w:val="20"/>
        </w:rPr>
      </w:pPr>
      <w:r w:rsidRPr="00576157">
        <w:rPr>
          <w:rFonts w:ascii="Arial" w:eastAsia="Times New Roman" w:hAnsi="Arial" w:cs="Arial"/>
          <w:b/>
          <w:sz w:val="20"/>
          <w:szCs w:val="20"/>
        </w:rPr>
        <w:t xml:space="preserve">Kỳ vọng ngân hàng </w:t>
      </w:r>
      <w:r w:rsidR="008E52D5" w:rsidRPr="00576157">
        <w:rPr>
          <w:rFonts w:ascii="Arial" w:eastAsia="Times New Roman" w:hAnsi="Arial" w:cs="Arial"/>
          <w:b/>
          <w:sz w:val="20"/>
          <w:szCs w:val="20"/>
        </w:rPr>
        <w:t xml:space="preserve">đóng góp lớn </w:t>
      </w:r>
      <w:r w:rsidRPr="00576157">
        <w:rPr>
          <w:rFonts w:ascii="Arial" w:eastAsia="Times New Roman" w:hAnsi="Arial" w:cs="Arial"/>
          <w:b/>
          <w:sz w:val="20"/>
          <w:szCs w:val="20"/>
        </w:rPr>
        <w:t>cho phát triển kinh tế quốc gia</w:t>
      </w:r>
    </w:p>
    <w:p w:rsidR="00D21136" w:rsidRPr="00576157" w:rsidRDefault="006A25BE" w:rsidP="00576157">
      <w:pPr>
        <w:spacing w:after="0" w:line="240" w:lineRule="auto"/>
        <w:jc w:val="both"/>
        <w:rPr>
          <w:rFonts w:ascii="Arial" w:eastAsia="Times New Roman" w:hAnsi="Arial" w:cs="Arial"/>
          <w:sz w:val="20"/>
          <w:szCs w:val="20"/>
        </w:rPr>
      </w:pPr>
      <w:r w:rsidRPr="00576157">
        <w:rPr>
          <w:rFonts w:ascii="Arial" w:eastAsia="Times New Roman" w:hAnsi="Arial" w:cs="Arial"/>
          <w:sz w:val="20"/>
          <w:szCs w:val="20"/>
        </w:rPr>
        <w:t xml:space="preserve">Hoạt động ngân hàng mang lại tiện lợi, cơ hội đầu tư, tạo việc làm, </w:t>
      </w:r>
      <w:proofErr w:type="gramStart"/>
      <w:r w:rsidRPr="00576157">
        <w:rPr>
          <w:rFonts w:ascii="Arial" w:eastAsia="Times New Roman" w:hAnsi="Arial" w:cs="Arial"/>
          <w:sz w:val="20"/>
          <w:szCs w:val="20"/>
        </w:rPr>
        <w:t>thu</w:t>
      </w:r>
      <w:proofErr w:type="gramEnd"/>
      <w:r w:rsidRPr="00576157">
        <w:rPr>
          <w:rFonts w:ascii="Arial" w:eastAsia="Times New Roman" w:hAnsi="Arial" w:cs="Arial"/>
          <w:sz w:val="20"/>
          <w:szCs w:val="20"/>
        </w:rPr>
        <w:t xml:space="preserve"> nhập và lợi nhuận cho tổ chức và cá nhân.</w:t>
      </w:r>
      <w:r w:rsidR="00194007" w:rsidRPr="00576157">
        <w:rPr>
          <w:rFonts w:ascii="Arial" w:eastAsia="Times New Roman" w:hAnsi="Arial" w:cs="Arial"/>
          <w:sz w:val="20"/>
          <w:szCs w:val="20"/>
        </w:rPr>
        <w:t xml:space="preserve"> </w:t>
      </w:r>
      <w:r w:rsidR="00670104" w:rsidRPr="00576157">
        <w:rPr>
          <w:rFonts w:ascii="Arial" w:hAnsi="Arial" w:cs="Arial"/>
          <w:sz w:val="20"/>
          <w:szCs w:val="20"/>
        </w:rPr>
        <w:t>Mankiw (1992)</w:t>
      </w:r>
      <w:r w:rsidRPr="00576157">
        <w:rPr>
          <w:rFonts w:ascii="Arial" w:eastAsia="Times New Roman" w:hAnsi="Arial" w:cs="Arial"/>
          <w:sz w:val="20"/>
          <w:szCs w:val="20"/>
        </w:rPr>
        <w:t xml:space="preserve"> nhận định, </w:t>
      </w:r>
      <w:r w:rsidR="00884EA6" w:rsidRPr="00576157">
        <w:rPr>
          <w:rFonts w:ascii="Arial" w:eastAsia="Times New Roman" w:hAnsi="Arial" w:cs="Arial"/>
          <w:sz w:val="20"/>
          <w:szCs w:val="20"/>
        </w:rPr>
        <w:t xml:space="preserve">tiền tiết kiệm </w:t>
      </w:r>
      <w:r w:rsidR="001E6BC5" w:rsidRPr="00576157">
        <w:rPr>
          <w:rFonts w:ascii="Arial" w:eastAsia="Times New Roman" w:hAnsi="Arial" w:cs="Arial"/>
          <w:sz w:val="20"/>
          <w:szCs w:val="20"/>
        </w:rPr>
        <w:t xml:space="preserve">nội địa </w:t>
      </w:r>
      <w:r w:rsidR="00884EA6" w:rsidRPr="00576157">
        <w:rPr>
          <w:rFonts w:ascii="Arial" w:eastAsia="Times New Roman" w:hAnsi="Arial" w:cs="Arial"/>
          <w:sz w:val="20"/>
          <w:szCs w:val="20"/>
        </w:rPr>
        <w:t xml:space="preserve">là nguồn vốn </w:t>
      </w:r>
      <w:r w:rsidR="000735F5" w:rsidRPr="00576157">
        <w:rPr>
          <w:rFonts w:ascii="Arial" w:eastAsia="Times New Roman" w:hAnsi="Arial" w:cs="Arial"/>
          <w:sz w:val="20"/>
          <w:szCs w:val="20"/>
        </w:rPr>
        <w:t xml:space="preserve">quan trọng </w:t>
      </w:r>
      <w:r w:rsidR="00884EA6" w:rsidRPr="00576157">
        <w:rPr>
          <w:rFonts w:ascii="Arial" w:eastAsia="Times New Roman" w:hAnsi="Arial" w:cs="Arial"/>
          <w:sz w:val="20"/>
          <w:szCs w:val="20"/>
        </w:rPr>
        <w:t xml:space="preserve">cho đầu tư phát triển bền vững và </w:t>
      </w:r>
      <w:proofErr w:type="gramStart"/>
      <w:r w:rsidR="00884EA6" w:rsidRPr="00576157">
        <w:rPr>
          <w:rFonts w:ascii="Arial" w:eastAsia="Times New Roman" w:hAnsi="Arial" w:cs="Arial"/>
          <w:sz w:val="20"/>
          <w:szCs w:val="20"/>
        </w:rPr>
        <w:t>an</w:t>
      </w:r>
      <w:proofErr w:type="gramEnd"/>
      <w:r w:rsidR="00884EA6" w:rsidRPr="00576157">
        <w:rPr>
          <w:rFonts w:ascii="Arial" w:eastAsia="Times New Roman" w:hAnsi="Arial" w:cs="Arial"/>
          <w:sz w:val="20"/>
          <w:szCs w:val="20"/>
        </w:rPr>
        <w:t xml:space="preserve"> toàn cho các</w:t>
      </w:r>
      <w:r w:rsidR="00430179" w:rsidRPr="00576157">
        <w:rPr>
          <w:rFonts w:ascii="Arial" w:eastAsia="Times New Roman" w:hAnsi="Arial" w:cs="Arial"/>
          <w:sz w:val="20"/>
          <w:szCs w:val="20"/>
        </w:rPr>
        <w:t xml:space="preserve"> nền kinh tế đang phát triển. Nhận định này định hướng cho các nhà kinh tế tập trung khơi dậy tiết kiệm nội địa cho đầu tư phát triển kinh tế trong nước hơn là chú trọng huy động nguồn lực đi vay từ quốc tế.</w:t>
      </w:r>
      <w:r w:rsidR="008E52D5" w:rsidRPr="00576157">
        <w:rPr>
          <w:rFonts w:ascii="Arial" w:eastAsia="Times New Roman" w:hAnsi="Arial" w:cs="Arial"/>
          <w:sz w:val="20"/>
          <w:szCs w:val="20"/>
        </w:rPr>
        <w:t xml:space="preserve"> Trong khuôn khổ đó, vai trò của ngân hàng rất quan trọng. Tính </w:t>
      </w:r>
      <w:proofErr w:type="gramStart"/>
      <w:r w:rsidR="008E52D5" w:rsidRPr="00576157">
        <w:rPr>
          <w:rFonts w:ascii="Arial" w:eastAsia="Times New Roman" w:hAnsi="Arial" w:cs="Arial"/>
          <w:sz w:val="20"/>
          <w:szCs w:val="20"/>
        </w:rPr>
        <w:t>an</w:t>
      </w:r>
      <w:proofErr w:type="gramEnd"/>
      <w:r w:rsidR="008E52D5" w:rsidRPr="00576157">
        <w:rPr>
          <w:rFonts w:ascii="Arial" w:eastAsia="Times New Roman" w:hAnsi="Arial" w:cs="Arial"/>
          <w:sz w:val="20"/>
          <w:szCs w:val="20"/>
        </w:rPr>
        <w:t xml:space="preserve"> toàn, tiện lợi, tạo ra nguồn lợi (tiền lãi) là những lợi ích chính mà hoạt động tài sản nợ ngân hàng có thể mang đến cho cộng đồng. Hơn nữa, tài trợ các ý tưởng kinh doanh, sản xuất, kết nối đối tác, xây dựng và tạo ra niềm tin cho khách hàng</w:t>
      </w:r>
      <w:r w:rsidR="00C15146" w:rsidRPr="00576157">
        <w:rPr>
          <w:rFonts w:ascii="Arial" w:eastAsia="Times New Roman" w:hAnsi="Arial" w:cs="Arial"/>
          <w:sz w:val="20"/>
          <w:szCs w:val="20"/>
        </w:rPr>
        <w:t xml:space="preserve"> (hợp đồng bảo lãnh)</w:t>
      </w:r>
      <w:r w:rsidR="008E52D5" w:rsidRPr="00576157">
        <w:rPr>
          <w:rFonts w:ascii="Arial" w:eastAsia="Times New Roman" w:hAnsi="Arial" w:cs="Arial"/>
          <w:sz w:val="20"/>
          <w:szCs w:val="20"/>
        </w:rPr>
        <w:t xml:space="preserve"> v.v. là hoạt động tài sản có </w:t>
      </w:r>
      <w:r w:rsidR="000B0608" w:rsidRPr="00576157">
        <w:rPr>
          <w:rFonts w:ascii="Arial" w:eastAsia="Times New Roman" w:hAnsi="Arial" w:cs="Arial"/>
          <w:sz w:val="20"/>
          <w:szCs w:val="20"/>
        </w:rPr>
        <w:t xml:space="preserve">(nội và ngoại bảng) </w:t>
      </w:r>
      <w:r w:rsidR="008E52D5" w:rsidRPr="00576157">
        <w:rPr>
          <w:rFonts w:ascii="Arial" w:eastAsia="Times New Roman" w:hAnsi="Arial" w:cs="Arial"/>
          <w:sz w:val="20"/>
          <w:szCs w:val="20"/>
        </w:rPr>
        <w:t>mà ngân hàng cung ứng</w:t>
      </w:r>
      <w:r w:rsidR="000B0608" w:rsidRPr="00576157">
        <w:rPr>
          <w:rFonts w:ascii="Arial" w:eastAsia="Times New Roman" w:hAnsi="Arial" w:cs="Arial"/>
          <w:sz w:val="20"/>
          <w:szCs w:val="20"/>
        </w:rPr>
        <w:t xml:space="preserve"> cho nền kinh tế</w:t>
      </w:r>
      <w:r w:rsidR="008E52D5" w:rsidRPr="00576157">
        <w:rPr>
          <w:rFonts w:ascii="Arial" w:eastAsia="Times New Roman" w:hAnsi="Arial" w:cs="Arial"/>
          <w:sz w:val="20"/>
          <w:szCs w:val="20"/>
        </w:rPr>
        <w:t xml:space="preserve">. </w:t>
      </w:r>
    </w:p>
    <w:p w:rsidR="008E52D5" w:rsidRPr="00576157" w:rsidRDefault="008E52D5" w:rsidP="00576157">
      <w:pPr>
        <w:spacing w:after="0" w:line="240" w:lineRule="auto"/>
        <w:jc w:val="both"/>
        <w:rPr>
          <w:rFonts w:ascii="Arial" w:eastAsia="Times New Roman" w:hAnsi="Arial" w:cs="Arial"/>
          <w:sz w:val="20"/>
          <w:szCs w:val="20"/>
        </w:rPr>
      </w:pPr>
      <w:r w:rsidRPr="00576157">
        <w:rPr>
          <w:rFonts w:ascii="Arial" w:eastAsia="Times New Roman" w:hAnsi="Arial" w:cs="Arial"/>
          <w:sz w:val="20"/>
          <w:szCs w:val="20"/>
        </w:rPr>
        <w:t>Khối tài chính khổng lồ dưới dạng tiền nhàn r</w:t>
      </w:r>
      <w:r w:rsidR="00876902" w:rsidRPr="00576157">
        <w:rPr>
          <w:rFonts w:ascii="Arial" w:eastAsia="Times New Roman" w:hAnsi="Arial" w:cs="Arial"/>
          <w:sz w:val="20"/>
          <w:szCs w:val="20"/>
        </w:rPr>
        <w:t>ỗi</w:t>
      </w:r>
      <w:r w:rsidRPr="00576157">
        <w:rPr>
          <w:rFonts w:ascii="Arial" w:eastAsia="Times New Roman" w:hAnsi="Arial" w:cs="Arial"/>
          <w:sz w:val="20"/>
          <w:szCs w:val="20"/>
        </w:rPr>
        <w:t xml:space="preserve"> tạm thời và lâu dài trong cộng đồng được ngân hàng</w:t>
      </w:r>
      <w:r w:rsidR="00C15146" w:rsidRPr="00576157">
        <w:rPr>
          <w:rFonts w:ascii="Arial" w:eastAsia="Times New Roman" w:hAnsi="Arial" w:cs="Arial"/>
          <w:sz w:val="20"/>
          <w:szCs w:val="20"/>
        </w:rPr>
        <w:t>,</w:t>
      </w:r>
      <w:r w:rsidRPr="00576157">
        <w:rPr>
          <w:rFonts w:ascii="Arial" w:eastAsia="Times New Roman" w:hAnsi="Arial" w:cs="Arial"/>
          <w:sz w:val="20"/>
          <w:szCs w:val="20"/>
        </w:rPr>
        <w:t xml:space="preserve"> với niềm tin vững chắc</w:t>
      </w:r>
      <w:r w:rsidR="00C15146" w:rsidRPr="00576157">
        <w:rPr>
          <w:rFonts w:ascii="Arial" w:eastAsia="Times New Roman" w:hAnsi="Arial" w:cs="Arial"/>
          <w:sz w:val="20"/>
          <w:szCs w:val="20"/>
        </w:rPr>
        <w:t>,</w:t>
      </w:r>
      <w:r w:rsidRPr="00576157">
        <w:rPr>
          <w:rFonts w:ascii="Arial" w:eastAsia="Times New Roman" w:hAnsi="Arial" w:cs="Arial"/>
          <w:sz w:val="20"/>
          <w:szCs w:val="20"/>
        </w:rPr>
        <w:t xml:space="preserve"> huy động cho đầu tư phát triển kinh tế quốc gia. Dịch vụ thanh toán online, </w:t>
      </w:r>
      <w:proofErr w:type="gramStart"/>
      <w:r w:rsidRPr="00576157">
        <w:rPr>
          <w:rFonts w:ascii="Arial" w:eastAsia="Times New Roman" w:hAnsi="Arial" w:cs="Arial"/>
          <w:sz w:val="20"/>
          <w:szCs w:val="20"/>
        </w:rPr>
        <w:t>thanh</w:t>
      </w:r>
      <w:proofErr w:type="gramEnd"/>
      <w:r w:rsidRPr="00576157">
        <w:rPr>
          <w:rFonts w:ascii="Arial" w:eastAsia="Times New Roman" w:hAnsi="Arial" w:cs="Arial"/>
          <w:sz w:val="20"/>
          <w:szCs w:val="20"/>
        </w:rPr>
        <w:t xml:space="preserve"> toán có bảo lãnh của ngân hàng, dịch vụ ứng dụng điện tử cho các nhu cầu thanh toán mang lại lợi ích to lớn cho cá nhân, tổ chức và cộng đồng. </w:t>
      </w:r>
      <w:r w:rsidR="00BC496D" w:rsidRPr="00576157">
        <w:rPr>
          <w:rFonts w:ascii="Arial" w:eastAsia="Times New Roman" w:hAnsi="Arial" w:cs="Arial"/>
          <w:sz w:val="20"/>
          <w:szCs w:val="20"/>
        </w:rPr>
        <w:t>Dịch vụ tài sản có, tài trợ dự án ở các qui mô khác nhau, không những chuyển tích tụ tài chính nhỏ lẻ trong cộng đồng thực thi các dự án xây dựng cơ sở hạ tầng, nhà máy, khu kinh tế, mà còn là kênh truyền dẫn đầu tư nước ngoài cho hợp tác phát triển kinh tế, quốc phòng quốc gia.</w:t>
      </w:r>
    </w:p>
    <w:p w:rsidR="006D12E2" w:rsidRPr="00576157" w:rsidRDefault="00C15146" w:rsidP="00576157">
      <w:pPr>
        <w:spacing w:after="0" w:line="240" w:lineRule="auto"/>
        <w:jc w:val="both"/>
        <w:rPr>
          <w:rFonts w:ascii="Arial" w:eastAsia="Times New Roman" w:hAnsi="Arial" w:cs="Arial"/>
          <w:sz w:val="20"/>
          <w:szCs w:val="20"/>
        </w:rPr>
      </w:pPr>
      <w:r w:rsidRPr="00576157">
        <w:rPr>
          <w:rFonts w:ascii="Arial" w:eastAsia="Times New Roman" w:hAnsi="Arial" w:cs="Arial"/>
          <w:sz w:val="20"/>
          <w:szCs w:val="20"/>
        </w:rPr>
        <w:t xml:space="preserve">Với ý nghĩa lớn lao của hoạt động ngân hàng </w:t>
      </w:r>
      <w:r w:rsidR="00653D97" w:rsidRPr="00576157">
        <w:rPr>
          <w:rFonts w:ascii="Arial" w:eastAsia="Times New Roman" w:hAnsi="Arial" w:cs="Arial"/>
          <w:sz w:val="20"/>
          <w:szCs w:val="20"/>
        </w:rPr>
        <w:t xml:space="preserve">đối với nền kinh tế </w:t>
      </w:r>
      <w:r w:rsidRPr="00576157">
        <w:rPr>
          <w:rFonts w:ascii="Arial" w:eastAsia="Times New Roman" w:hAnsi="Arial" w:cs="Arial"/>
          <w:sz w:val="20"/>
          <w:szCs w:val="20"/>
        </w:rPr>
        <w:t xml:space="preserve">và vai trò của niềm tin vào ngân hàng từ cộng đồng, các ngân hàng luôn quan tâm xây dựng, nuôi dưỡng và phát triển uy tín, hình ảnh, thương hiệu và giá trị của mình. Là yếu tố cốt lõi trong cạnh tranh trên thị trường trong nước và quốc tế của mỗi ngân hàng. </w:t>
      </w:r>
    </w:p>
    <w:p w:rsidR="00D21136" w:rsidRPr="00576157" w:rsidRDefault="002472A1" w:rsidP="00576157">
      <w:pPr>
        <w:spacing w:after="0" w:line="240" w:lineRule="auto"/>
        <w:jc w:val="both"/>
        <w:rPr>
          <w:rFonts w:ascii="Arial" w:eastAsia="Times New Roman" w:hAnsi="Arial" w:cs="Arial"/>
          <w:b/>
          <w:sz w:val="20"/>
          <w:szCs w:val="20"/>
        </w:rPr>
      </w:pPr>
      <w:r w:rsidRPr="00576157">
        <w:rPr>
          <w:rFonts w:ascii="Arial" w:eastAsia="Times New Roman" w:hAnsi="Arial" w:cs="Arial"/>
          <w:b/>
          <w:sz w:val="20"/>
          <w:szCs w:val="20"/>
        </w:rPr>
        <w:t xml:space="preserve">Bào hiểm tiền gửi – giải pháp cho củng cố, duy trì và nâng cao niềm tin </w:t>
      </w:r>
    </w:p>
    <w:p w:rsidR="00B618F6" w:rsidRPr="00576157" w:rsidRDefault="00B618F6" w:rsidP="00576157">
      <w:pPr>
        <w:spacing w:after="0" w:line="240" w:lineRule="auto"/>
        <w:jc w:val="both"/>
        <w:rPr>
          <w:rFonts w:ascii="Arial" w:eastAsia="Times New Roman" w:hAnsi="Arial" w:cs="Arial"/>
          <w:sz w:val="20"/>
          <w:szCs w:val="20"/>
        </w:rPr>
      </w:pPr>
      <w:r w:rsidRPr="00576157">
        <w:rPr>
          <w:rFonts w:ascii="Arial" w:eastAsia="Times New Roman" w:hAnsi="Arial" w:cs="Arial"/>
          <w:sz w:val="20"/>
          <w:szCs w:val="20"/>
        </w:rPr>
        <w:t>Công cụ bảo hiểm tiền gửi (BHTG) được thử nghiệm nhiều năm ở Mỹ. Sau nhiều lần thử nghiệm, đồng thời trước thực tiễn nhiều ngân hàng dồn dập gặp khó khăn, đóng cửa, công cụ BHTG đã được khởi xướng và chính thức được áp dụng trên tất cả các bang của Mỹ từ 1/</w:t>
      </w:r>
      <w:r w:rsidR="00293067" w:rsidRPr="00576157">
        <w:rPr>
          <w:rFonts w:ascii="Arial" w:eastAsia="Times New Roman" w:hAnsi="Arial" w:cs="Arial"/>
          <w:sz w:val="20"/>
          <w:szCs w:val="20"/>
        </w:rPr>
        <w:t>1</w:t>
      </w:r>
      <w:r w:rsidRPr="00576157">
        <w:rPr>
          <w:rFonts w:ascii="Arial" w:eastAsia="Times New Roman" w:hAnsi="Arial" w:cs="Arial"/>
          <w:sz w:val="20"/>
          <w:szCs w:val="20"/>
        </w:rPr>
        <w:t>/1934 tới nay. Kinh nghiện và thành công của công cụ BHTG ở Mỹ đã nhanh chóng được khởi xướng ở nhiều quốc gia và châu lục trên toàn cầu. Tới nay, có trên 1</w:t>
      </w:r>
      <w:r w:rsidR="00974FF6" w:rsidRPr="00576157">
        <w:rPr>
          <w:rFonts w:ascii="Arial" w:eastAsia="Times New Roman" w:hAnsi="Arial" w:cs="Arial"/>
          <w:sz w:val="20"/>
          <w:szCs w:val="20"/>
        </w:rPr>
        <w:t>40</w:t>
      </w:r>
      <w:r w:rsidRPr="00576157">
        <w:rPr>
          <w:rFonts w:ascii="Arial" w:eastAsia="Times New Roman" w:hAnsi="Arial" w:cs="Arial"/>
          <w:sz w:val="20"/>
          <w:szCs w:val="20"/>
        </w:rPr>
        <w:t xml:space="preserve"> quốc gia và vùng lãnh thổ đã </w:t>
      </w:r>
      <w:r w:rsidR="00974FF6" w:rsidRPr="00576157">
        <w:rPr>
          <w:rFonts w:ascii="Arial" w:eastAsia="Times New Roman" w:hAnsi="Arial" w:cs="Arial"/>
          <w:sz w:val="20"/>
          <w:szCs w:val="20"/>
        </w:rPr>
        <w:t xml:space="preserve">công khai </w:t>
      </w:r>
      <w:r w:rsidRPr="00576157">
        <w:rPr>
          <w:rFonts w:ascii="Arial" w:eastAsia="Times New Roman" w:hAnsi="Arial" w:cs="Arial"/>
          <w:sz w:val="20"/>
          <w:szCs w:val="20"/>
        </w:rPr>
        <w:t xml:space="preserve">triển khai công cụ BHTG. Hiệp hội BHTG quốc tế </w:t>
      </w:r>
      <w:r w:rsidR="0008519C" w:rsidRPr="00576157">
        <w:rPr>
          <w:rFonts w:ascii="Arial" w:eastAsia="Times New Roman" w:hAnsi="Arial" w:cs="Arial"/>
          <w:sz w:val="20"/>
          <w:szCs w:val="20"/>
        </w:rPr>
        <w:t xml:space="preserve">(IADI) </w:t>
      </w:r>
      <w:r w:rsidRPr="00576157">
        <w:rPr>
          <w:rFonts w:ascii="Arial" w:eastAsia="Times New Roman" w:hAnsi="Arial" w:cs="Arial"/>
          <w:sz w:val="20"/>
          <w:szCs w:val="20"/>
        </w:rPr>
        <w:t>ra đời</w:t>
      </w:r>
      <w:r w:rsidR="0048234E" w:rsidRPr="00576157">
        <w:rPr>
          <w:rFonts w:ascii="Arial" w:eastAsia="Times New Roman" w:hAnsi="Arial" w:cs="Arial"/>
          <w:sz w:val="20"/>
          <w:szCs w:val="20"/>
        </w:rPr>
        <w:t xml:space="preserve"> ngày 06/05/2002</w:t>
      </w:r>
      <w:r w:rsidRPr="00576157">
        <w:rPr>
          <w:rFonts w:ascii="Arial" w:eastAsia="Times New Roman" w:hAnsi="Arial" w:cs="Arial"/>
          <w:sz w:val="20"/>
          <w:szCs w:val="20"/>
        </w:rPr>
        <w:t>, đánh dấu sự thành công của công cụ BHT</w:t>
      </w:r>
      <w:r w:rsidR="00661D25" w:rsidRPr="00576157">
        <w:rPr>
          <w:rFonts w:ascii="Arial" w:eastAsia="Times New Roman" w:hAnsi="Arial" w:cs="Arial"/>
          <w:sz w:val="20"/>
          <w:szCs w:val="20"/>
        </w:rPr>
        <w:t>G</w:t>
      </w:r>
      <w:r w:rsidRPr="00576157">
        <w:rPr>
          <w:rFonts w:ascii="Arial" w:eastAsia="Times New Roman" w:hAnsi="Arial" w:cs="Arial"/>
          <w:sz w:val="20"/>
          <w:szCs w:val="20"/>
        </w:rPr>
        <w:t xml:space="preserve"> trong nỗ lực giải quyết khó khăn ngân hàng, thúc đẩy phổ cập nhiều hơn và chuẩ</w:t>
      </w:r>
      <w:r w:rsidR="0048234E" w:rsidRPr="00576157">
        <w:rPr>
          <w:rFonts w:ascii="Arial" w:eastAsia="Times New Roman" w:hAnsi="Arial" w:cs="Arial"/>
          <w:sz w:val="20"/>
          <w:szCs w:val="20"/>
        </w:rPr>
        <w:t>n</w:t>
      </w:r>
      <w:r w:rsidRPr="00576157">
        <w:rPr>
          <w:rFonts w:ascii="Arial" w:eastAsia="Times New Roman" w:hAnsi="Arial" w:cs="Arial"/>
          <w:sz w:val="20"/>
          <w:szCs w:val="20"/>
        </w:rPr>
        <w:t xml:space="preserve"> hóa hoạt động BHTG. </w:t>
      </w:r>
      <w:r w:rsidR="00293067" w:rsidRPr="00576157">
        <w:rPr>
          <w:rFonts w:ascii="Arial" w:eastAsia="Times New Roman" w:hAnsi="Arial" w:cs="Arial"/>
          <w:sz w:val="20"/>
          <w:szCs w:val="20"/>
        </w:rPr>
        <w:t xml:space="preserve">Sức mạnh của công cụ BHTG đã làm thăng hoa </w:t>
      </w:r>
      <w:r w:rsidR="000132CD" w:rsidRPr="00576157">
        <w:rPr>
          <w:rFonts w:ascii="Arial" w:eastAsia="Times New Roman" w:hAnsi="Arial" w:cs="Arial"/>
          <w:sz w:val="20"/>
          <w:szCs w:val="20"/>
        </w:rPr>
        <w:t xml:space="preserve">“sức mạnh” </w:t>
      </w:r>
      <w:r w:rsidR="00293067" w:rsidRPr="00576157">
        <w:rPr>
          <w:rFonts w:ascii="Arial" w:eastAsia="Times New Roman" w:hAnsi="Arial" w:cs="Arial"/>
          <w:sz w:val="20"/>
          <w:szCs w:val="20"/>
        </w:rPr>
        <w:t xml:space="preserve">cá nhân của nhân sự tổ chức thực hiện chính sách BHTG, điều </w:t>
      </w:r>
      <w:r w:rsidR="000132CD" w:rsidRPr="00576157">
        <w:rPr>
          <w:rFonts w:ascii="Arial" w:eastAsia="Times New Roman" w:hAnsi="Arial" w:cs="Arial"/>
          <w:sz w:val="20"/>
          <w:szCs w:val="20"/>
        </w:rPr>
        <w:t xml:space="preserve">này </w:t>
      </w:r>
      <w:r w:rsidR="00293067" w:rsidRPr="00576157">
        <w:rPr>
          <w:rFonts w:ascii="Arial" w:eastAsia="Times New Roman" w:hAnsi="Arial" w:cs="Arial"/>
          <w:sz w:val="20"/>
          <w:szCs w:val="20"/>
        </w:rPr>
        <w:t>chưa từng có trong tiền lệ</w:t>
      </w:r>
      <w:r w:rsidR="001977B2" w:rsidRPr="00576157">
        <w:rPr>
          <w:rFonts w:ascii="Arial" w:eastAsia="Times New Roman" w:hAnsi="Arial" w:cs="Arial"/>
          <w:sz w:val="20"/>
          <w:szCs w:val="20"/>
        </w:rPr>
        <w:t xml:space="preserve"> ở Mỹ</w:t>
      </w:r>
      <w:r w:rsidR="00293067" w:rsidRPr="00576157">
        <w:rPr>
          <w:rFonts w:ascii="Arial" w:eastAsia="Times New Roman" w:hAnsi="Arial" w:cs="Arial"/>
          <w:sz w:val="20"/>
          <w:szCs w:val="20"/>
        </w:rPr>
        <w:t xml:space="preserve">. Khả năng giải quyết </w:t>
      </w:r>
      <w:r w:rsidR="002A65FF" w:rsidRPr="00576157">
        <w:rPr>
          <w:rFonts w:ascii="Arial" w:eastAsia="Times New Roman" w:hAnsi="Arial" w:cs="Arial"/>
          <w:sz w:val="20"/>
          <w:szCs w:val="20"/>
        </w:rPr>
        <w:t>c</w:t>
      </w:r>
      <w:r w:rsidR="00AA3108" w:rsidRPr="00576157">
        <w:rPr>
          <w:rFonts w:ascii="Arial" w:eastAsia="Times New Roman" w:hAnsi="Arial" w:cs="Arial"/>
          <w:sz w:val="20"/>
          <w:szCs w:val="20"/>
        </w:rPr>
        <w:t xml:space="preserve">ó </w:t>
      </w:r>
      <w:r w:rsidR="00293067" w:rsidRPr="00576157">
        <w:rPr>
          <w:rFonts w:ascii="Arial" w:eastAsia="Times New Roman" w:hAnsi="Arial" w:cs="Arial"/>
          <w:sz w:val="20"/>
          <w:szCs w:val="20"/>
        </w:rPr>
        <w:t>hiệu quả xuất sắc của công cụ BHTG ở Mỹ</w:t>
      </w:r>
      <w:r w:rsidR="001C3802" w:rsidRPr="00576157">
        <w:rPr>
          <w:rFonts w:ascii="Arial" w:eastAsia="Times New Roman" w:hAnsi="Arial" w:cs="Arial"/>
          <w:sz w:val="20"/>
          <w:szCs w:val="20"/>
        </w:rPr>
        <w:t xml:space="preserve"> đối với khó khăn ngân hàng</w:t>
      </w:r>
      <w:r w:rsidR="00293067" w:rsidRPr="00576157">
        <w:rPr>
          <w:rFonts w:ascii="Arial" w:eastAsia="Times New Roman" w:hAnsi="Arial" w:cs="Arial"/>
          <w:sz w:val="20"/>
          <w:szCs w:val="20"/>
        </w:rPr>
        <w:t xml:space="preserve"> đã nâng vai trò của nhà lãnh đạo tổ chức BHTG Mỹ</w:t>
      </w:r>
      <w:r w:rsidR="00836BE0" w:rsidRPr="00576157">
        <w:rPr>
          <w:rFonts w:ascii="Arial" w:eastAsia="Times New Roman" w:hAnsi="Arial" w:cs="Arial"/>
          <w:sz w:val="20"/>
          <w:szCs w:val="20"/>
        </w:rPr>
        <w:t>. B</w:t>
      </w:r>
      <w:r w:rsidR="002A65FF" w:rsidRPr="00576157">
        <w:rPr>
          <w:rFonts w:ascii="Arial" w:hAnsi="Arial" w:cs="Arial"/>
          <w:color w:val="000000"/>
          <w:sz w:val="20"/>
          <w:szCs w:val="20"/>
          <w:shd w:val="clear" w:color="auto" w:fill="FFFFFF"/>
          <w:lang w:val="vi-VN"/>
        </w:rPr>
        <w:t>à Sheila Bair</w:t>
      </w:r>
      <w:r w:rsidR="002A65FF" w:rsidRPr="00576157">
        <w:rPr>
          <w:rFonts w:ascii="Arial" w:hAnsi="Arial" w:cs="Arial"/>
          <w:color w:val="000000"/>
          <w:sz w:val="20"/>
          <w:szCs w:val="20"/>
          <w:shd w:val="clear" w:color="auto" w:fill="FFFFFF"/>
        </w:rPr>
        <w:t>,</w:t>
      </w:r>
      <w:r w:rsidR="002A65FF" w:rsidRPr="00576157">
        <w:rPr>
          <w:rFonts w:ascii="Arial" w:hAnsi="Arial" w:cs="Arial"/>
          <w:color w:val="5F5F5F"/>
          <w:sz w:val="20"/>
          <w:szCs w:val="20"/>
          <w:lang w:val="vi-VN"/>
        </w:rPr>
        <w:t> </w:t>
      </w:r>
      <w:r w:rsidR="002A65FF" w:rsidRPr="00576157">
        <w:rPr>
          <w:rFonts w:ascii="Arial" w:hAnsi="Arial" w:cs="Arial"/>
          <w:color w:val="000000"/>
          <w:sz w:val="20"/>
          <w:szCs w:val="20"/>
          <w:shd w:val="clear" w:color="auto" w:fill="FFFFFF"/>
          <w:lang w:val="vi-VN"/>
        </w:rPr>
        <w:t>Chủ tịch FDIC</w:t>
      </w:r>
      <w:r w:rsidR="00AA3108" w:rsidRPr="00576157">
        <w:rPr>
          <w:rFonts w:ascii="Arial" w:hAnsi="Arial" w:cs="Arial"/>
          <w:color w:val="000000"/>
          <w:sz w:val="20"/>
          <w:szCs w:val="20"/>
          <w:shd w:val="clear" w:color="auto" w:fill="FFFFFF"/>
        </w:rPr>
        <w:t xml:space="preserve">, </w:t>
      </w:r>
      <w:r w:rsidR="00DC356B" w:rsidRPr="00576157">
        <w:rPr>
          <w:rFonts w:ascii="Arial" w:hAnsi="Arial" w:cs="Arial"/>
          <w:color w:val="000000"/>
          <w:sz w:val="20"/>
          <w:szCs w:val="20"/>
          <w:shd w:val="clear" w:color="auto" w:fill="FFFFFF"/>
        </w:rPr>
        <w:t xml:space="preserve">được Forbes đánh giá </w:t>
      </w:r>
      <w:r w:rsidR="002A65FF" w:rsidRPr="00576157">
        <w:rPr>
          <w:rFonts w:ascii="Arial" w:hAnsi="Arial" w:cs="Arial"/>
          <w:color w:val="000000"/>
          <w:sz w:val="20"/>
          <w:szCs w:val="20"/>
          <w:shd w:val="clear" w:color="auto" w:fill="FFFFFF"/>
          <w:lang w:val="vi-VN"/>
        </w:rPr>
        <w:t>là người phụ nữ quyền lực thứ 2 thế giới</w:t>
      </w:r>
      <w:r w:rsidR="00E35ADE" w:rsidRPr="00576157">
        <w:rPr>
          <w:rFonts w:ascii="Arial" w:hAnsi="Arial" w:cs="Arial"/>
          <w:color w:val="000000"/>
          <w:sz w:val="20"/>
          <w:szCs w:val="20"/>
          <w:shd w:val="clear" w:color="auto" w:fill="FFFFFF"/>
        </w:rPr>
        <w:t xml:space="preserve"> trong năm 2008-2009</w:t>
      </w:r>
      <w:r w:rsidR="00A362ED" w:rsidRPr="00576157">
        <w:rPr>
          <w:rFonts w:ascii="Arial" w:hAnsi="Arial" w:cs="Arial"/>
          <w:color w:val="000000"/>
          <w:sz w:val="20"/>
          <w:szCs w:val="20"/>
          <w:shd w:val="clear" w:color="auto" w:fill="FFFFFF"/>
        </w:rPr>
        <w:t xml:space="preserve"> </w:t>
      </w:r>
      <w:r w:rsidR="002A65FF" w:rsidRPr="00576157">
        <w:rPr>
          <w:rFonts w:ascii="Arial" w:hAnsi="Arial" w:cs="Arial"/>
          <w:color w:val="333333"/>
          <w:sz w:val="20"/>
          <w:szCs w:val="20"/>
          <w:shd w:val="clear" w:color="auto" w:fill="FFFFFF"/>
        </w:rPr>
        <w:t xml:space="preserve">nhờ vai trò ngày càng quan trọng của bà </w:t>
      </w:r>
      <w:r w:rsidR="00E35ADE" w:rsidRPr="00576157">
        <w:rPr>
          <w:rFonts w:ascii="Arial" w:hAnsi="Arial" w:cs="Arial"/>
          <w:color w:val="333333"/>
          <w:sz w:val="20"/>
          <w:szCs w:val="20"/>
          <w:shd w:val="clear" w:color="auto" w:fill="FFFFFF"/>
        </w:rPr>
        <w:t xml:space="preserve">trong triển khai chính sách BHTG </w:t>
      </w:r>
      <w:r w:rsidR="002A65FF" w:rsidRPr="00576157">
        <w:rPr>
          <w:rFonts w:ascii="Arial" w:hAnsi="Arial" w:cs="Arial"/>
          <w:color w:val="333333"/>
          <w:sz w:val="20"/>
          <w:szCs w:val="20"/>
          <w:shd w:val="clear" w:color="auto" w:fill="FFFFFF"/>
        </w:rPr>
        <w:t>giữa lúc nền kinh tế Mỹ đang có dấu hiệu suy thoái</w:t>
      </w:r>
      <w:r w:rsidR="00A52097" w:rsidRPr="00576157">
        <w:rPr>
          <w:rFonts w:ascii="Arial" w:hAnsi="Arial" w:cs="Arial"/>
          <w:color w:val="5F5F5F"/>
          <w:sz w:val="20"/>
          <w:szCs w:val="20"/>
        </w:rPr>
        <w:t xml:space="preserve"> (tham chiế</w:t>
      </w:r>
      <w:r w:rsidR="00094476" w:rsidRPr="00576157">
        <w:rPr>
          <w:rFonts w:ascii="Arial" w:hAnsi="Arial" w:cs="Arial"/>
          <w:color w:val="5F5F5F"/>
          <w:sz w:val="20"/>
          <w:szCs w:val="20"/>
        </w:rPr>
        <w:t>u Hình 1</w:t>
      </w:r>
      <w:r w:rsidR="00A52097" w:rsidRPr="00576157">
        <w:rPr>
          <w:rFonts w:ascii="Arial" w:hAnsi="Arial" w:cs="Arial"/>
          <w:color w:val="5F5F5F"/>
          <w:sz w:val="20"/>
          <w:szCs w:val="20"/>
        </w:rPr>
        <w:t>)</w:t>
      </w:r>
      <w:r w:rsidR="002A65FF" w:rsidRPr="00576157">
        <w:rPr>
          <w:rFonts w:ascii="Arial" w:hAnsi="Arial" w:cs="Arial"/>
          <w:color w:val="333333"/>
          <w:sz w:val="20"/>
          <w:szCs w:val="20"/>
          <w:shd w:val="clear" w:color="auto" w:fill="FFFFFF"/>
        </w:rPr>
        <w:t>.</w:t>
      </w:r>
    </w:p>
    <w:p w:rsidR="00B66F77" w:rsidRPr="00576157" w:rsidRDefault="00094476" w:rsidP="00576157">
      <w:pPr>
        <w:spacing w:after="0" w:line="240" w:lineRule="auto"/>
        <w:jc w:val="center"/>
        <w:rPr>
          <w:rFonts w:ascii="Arial" w:eastAsia="Times New Roman" w:hAnsi="Arial" w:cs="Arial"/>
          <w:sz w:val="20"/>
          <w:szCs w:val="20"/>
        </w:rPr>
      </w:pPr>
      <w:r w:rsidRPr="00576157">
        <w:rPr>
          <w:rFonts w:ascii="Arial" w:eastAsia="Times New Roman" w:hAnsi="Arial" w:cs="Arial"/>
          <w:sz w:val="20"/>
          <w:szCs w:val="20"/>
        </w:rPr>
        <w:t>Hình 1</w:t>
      </w:r>
      <w:r w:rsidR="00B66F77" w:rsidRPr="00576157">
        <w:rPr>
          <w:rFonts w:ascii="Arial" w:eastAsia="Times New Roman" w:hAnsi="Arial" w:cs="Arial"/>
          <w:sz w:val="20"/>
          <w:szCs w:val="20"/>
        </w:rPr>
        <w:t xml:space="preserve">: </w:t>
      </w:r>
      <w:r w:rsidR="00544F38" w:rsidRPr="00576157">
        <w:rPr>
          <w:rFonts w:ascii="Arial" w:eastAsia="Times New Roman" w:hAnsi="Arial" w:cs="Arial"/>
          <w:sz w:val="20"/>
          <w:szCs w:val="20"/>
        </w:rPr>
        <w:t xml:space="preserve">Công cụ BHTG tham gia </w:t>
      </w:r>
      <w:r w:rsidR="00B66F77" w:rsidRPr="00576157">
        <w:rPr>
          <w:rFonts w:ascii="Arial" w:eastAsia="Times New Roman" w:hAnsi="Arial" w:cs="Arial"/>
          <w:sz w:val="20"/>
          <w:szCs w:val="20"/>
        </w:rPr>
        <w:t xml:space="preserve">xử lý </w:t>
      </w:r>
      <w:r w:rsidR="00544F38" w:rsidRPr="00576157">
        <w:rPr>
          <w:rFonts w:ascii="Arial" w:eastAsia="Times New Roman" w:hAnsi="Arial" w:cs="Arial"/>
          <w:sz w:val="20"/>
          <w:szCs w:val="20"/>
        </w:rPr>
        <w:t xml:space="preserve">khó khăn </w:t>
      </w:r>
      <w:r w:rsidR="00B66F77" w:rsidRPr="00576157">
        <w:rPr>
          <w:rFonts w:ascii="Arial" w:eastAsia="Times New Roman" w:hAnsi="Arial" w:cs="Arial"/>
          <w:sz w:val="20"/>
          <w:szCs w:val="20"/>
        </w:rPr>
        <w:t>ngân hàng ở Mỹ 2001-2018</w:t>
      </w:r>
    </w:p>
    <w:p w:rsidR="009A343E" w:rsidRDefault="009A343E">
      <w:pPr>
        <w:spacing w:after="0" w:line="360" w:lineRule="auto"/>
        <w:jc w:val="both"/>
        <w:rPr>
          <w:rFonts w:ascii="Times New Roman" w:eastAsia="Times New Roman" w:hAnsi="Times New Roman" w:cs="Times New Roman"/>
          <w:sz w:val="28"/>
        </w:rPr>
      </w:pPr>
      <w:r>
        <w:rPr>
          <w:rFonts w:ascii="Helvetica" w:hAnsi="Helvetica"/>
          <w:noProof/>
          <w:color w:val="333333"/>
          <w:sz w:val="20"/>
          <w:szCs w:val="20"/>
          <w:lang w:val="en-US" w:eastAsia="en-US"/>
        </w:rPr>
        <w:lastRenderedPageBreak/>
        <w:drawing>
          <wp:inline distT="0" distB="0" distL="0" distR="0">
            <wp:extent cx="5731510" cy="4770486"/>
            <wp:effectExtent l="0" t="0" r="2540" b="0"/>
            <wp:docPr id="6" name="bf" descr="Bank Closing Summary - 2001 through 2018 - Detailed table below th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 descr="Bank Closing Summary - 2001 through 2018 - Detailed table below the graph"/>
                    <pic:cNvPicPr>
                      <a:picLocks noChangeAspect="1" noChangeArrowheads="1"/>
                    </pic:cNvPicPr>
                  </pic:nvPicPr>
                  <pic:blipFill>
                    <a:blip r:embed="rId8" cstate="print"/>
                    <a:srcRect/>
                    <a:stretch>
                      <a:fillRect/>
                    </a:stretch>
                  </pic:blipFill>
                  <pic:spPr bwMode="auto">
                    <a:xfrm>
                      <a:off x="0" y="0"/>
                      <a:ext cx="5731510" cy="4770486"/>
                    </a:xfrm>
                    <a:prstGeom prst="rect">
                      <a:avLst/>
                    </a:prstGeom>
                    <a:noFill/>
                    <a:ln w="9525">
                      <a:noFill/>
                      <a:miter lim="800000"/>
                      <a:headEnd/>
                      <a:tailEnd/>
                    </a:ln>
                  </pic:spPr>
                </pic:pic>
              </a:graphicData>
            </a:graphic>
          </wp:inline>
        </w:drawing>
      </w:r>
    </w:p>
    <w:tbl>
      <w:tblPr>
        <w:tblW w:w="9907" w:type="dxa"/>
        <w:tblCellSpacing w:w="7" w:type="dxa"/>
        <w:tblBorders>
          <w:top w:val="outset" w:sz="6" w:space="0" w:color="auto"/>
          <w:left w:val="outset" w:sz="6" w:space="0" w:color="auto"/>
          <w:bottom w:val="outset" w:sz="6" w:space="0" w:color="auto"/>
          <w:right w:val="outset" w:sz="6" w:space="0" w:color="auto"/>
        </w:tblBorders>
        <w:shd w:val="clear" w:color="auto" w:fill="CDCDCD"/>
        <w:tblCellMar>
          <w:top w:w="15" w:type="dxa"/>
          <w:left w:w="15" w:type="dxa"/>
          <w:bottom w:w="15" w:type="dxa"/>
          <w:right w:w="15" w:type="dxa"/>
        </w:tblCellMar>
        <w:tblLook w:val="04A0" w:firstRow="1" w:lastRow="0" w:firstColumn="1" w:lastColumn="0" w:noHBand="0" w:noVBand="1"/>
      </w:tblPr>
      <w:tblGrid>
        <w:gridCol w:w="608"/>
        <w:gridCol w:w="565"/>
        <w:gridCol w:w="565"/>
        <w:gridCol w:w="532"/>
        <w:gridCol w:w="465"/>
        <w:gridCol w:w="341"/>
        <w:gridCol w:w="341"/>
        <w:gridCol w:w="565"/>
        <w:gridCol w:w="765"/>
        <w:gridCol w:w="698"/>
        <w:gridCol w:w="632"/>
        <w:gridCol w:w="632"/>
        <w:gridCol w:w="632"/>
        <w:gridCol w:w="565"/>
        <w:gridCol w:w="565"/>
        <w:gridCol w:w="565"/>
        <w:gridCol w:w="465"/>
        <w:gridCol w:w="565"/>
        <w:gridCol w:w="348"/>
      </w:tblGrid>
      <w:tr w:rsidR="00CB5C45" w:rsidRPr="00514EE1" w:rsidTr="00A9165A">
        <w:trPr>
          <w:trHeight w:val="164"/>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Year</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2001</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2002</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2003</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2004</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2005</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2006</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2007</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2008</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2009</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2010</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2011</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2012</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2013</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2014</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2015</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2016</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2017</w:t>
            </w:r>
          </w:p>
        </w:tc>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2018</w:t>
            </w:r>
          </w:p>
        </w:tc>
      </w:tr>
      <w:tr w:rsidR="00CB5C45" w:rsidRPr="00514EE1" w:rsidTr="00A9165A">
        <w:trPr>
          <w:trHeight w:val="152"/>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Bank Failures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135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157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92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51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0</w:t>
            </w:r>
          </w:p>
        </w:tc>
      </w:tr>
      <w:tr w:rsidR="00CB5C45" w:rsidRPr="00514EE1" w:rsidTr="00A9165A">
        <w:trPr>
          <w:trHeight w:val="164"/>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DCDCD"/>
            <w:vAlign w:val="center"/>
            <w:hideMark/>
          </w:tcPr>
          <w:p w:rsidR="00CB5C45" w:rsidRPr="00C41E45" w:rsidRDefault="00CB5C45" w:rsidP="00A9165A">
            <w:pPr>
              <w:spacing w:after="0" w:line="240" w:lineRule="auto"/>
              <w:jc w:val="center"/>
              <w:rPr>
                <w:rFonts w:ascii="Arial" w:eastAsia="Times New Roman" w:hAnsi="Arial" w:cs="Arial"/>
                <w:b/>
                <w:bCs/>
                <w:color w:val="333333"/>
                <w:sz w:val="12"/>
                <w:szCs w:val="12"/>
                <w:lang w:val="vi-VN" w:eastAsia="vi-VN"/>
              </w:rPr>
            </w:pPr>
            <w:r w:rsidRPr="00C41E45">
              <w:rPr>
                <w:rFonts w:ascii="Arial" w:eastAsia="Times New Roman" w:hAnsi="Arial" w:cs="Arial"/>
                <w:b/>
                <w:bCs/>
                <w:color w:val="333333"/>
                <w:sz w:val="12"/>
                <w:szCs w:val="12"/>
                <w:lang w:val="vi-VN" w:eastAsia="vi-VN"/>
              </w:rPr>
              <w:t>Total Assets (Millions)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2,358.6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2,705.4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1045.2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163.1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2,602.5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373,588.78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170,867.0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96,514.0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36,012.2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12,055.8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6,101.7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3,088.4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6,727.5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278.8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6,530.7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B5C45" w:rsidRPr="00C41E45" w:rsidRDefault="00CB5C45" w:rsidP="00A9165A">
            <w:pPr>
              <w:spacing w:after="0" w:line="240" w:lineRule="auto"/>
              <w:jc w:val="right"/>
              <w:rPr>
                <w:rFonts w:ascii="Arial" w:eastAsia="Times New Roman" w:hAnsi="Arial" w:cs="Arial"/>
                <w:color w:val="3D3D3D"/>
                <w:sz w:val="12"/>
                <w:szCs w:val="12"/>
                <w:lang w:val="vi-VN" w:eastAsia="vi-VN"/>
              </w:rPr>
            </w:pPr>
            <w:r w:rsidRPr="00C41E45">
              <w:rPr>
                <w:rFonts w:ascii="Arial" w:eastAsia="Times New Roman" w:hAnsi="Arial" w:cs="Arial"/>
                <w:b/>
                <w:bCs/>
                <w:color w:val="3D3D3D"/>
                <w:sz w:val="12"/>
                <w:szCs w:val="12"/>
                <w:lang w:val="vi-VN" w:eastAsia="vi-VN"/>
              </w:rPr>
              <w:t>0</w:t>
            </w:r>
          </w:p>
        </w:tc>
      </w:tr>
    </w:tbl>
    <w:p w:rsidR="00CB5C45" w:rsidRPr="00576157" w:rsidRDefault="00CB5C45" w:rsidP="00CB5C45">
      <w:pPr>
        <w:shd w:val="clear" w:color="auto" w:fill="FFFFFF"/>
        <w:spacing w:after="0" w:line="240" w:lineRule="auto"/>
        <w:rPr>
          <w:rFonts w:ascii="Arial" w:eastAsia="Times New Roman" w:hAnsi="Arial" w:cs="Arial"/>
          <w:color w:val="222222"/>
          <w:sz w:val="16"/>
          <w:szCs w:val="16"/>
          <w:lang w:eastAsia="vi-VN"/>
        </w:rPr>
      </w:pPr>
      <w:r w:rsidRPr="00576157">
        <w:rPr>
          <w:rFonts w:ascii="Arial" w:eastAsia="Times New Roman" w:hAnsi="Arial" w:cs="Arial"/>
          <w:color w:val="222222"/>
          <w:sz w:val="16"/>
          <w:szCs w:val="16"/>
          <w:lang w:eastAsia="vi-VN"/>
        </w:rPr>
        <w:t xml:space="preserve">Nguồn: </w:t>
      </w:r>
      <w:hyperlink r:id="rId9" w:history="1">
        <w:r w:rsidRPr="00576157">
          <w:rPr>
            <w:rStyle w:val="Hyperlink"/>
            <w:rFonts w:ascii="Arial" w:eastAsia="Times New Roman" w:hAnsi="Arial" w:cs="Arial"/>
            <w:sz w:val="16"/>
            <w:szCs w:val="16"/>
            <w:lang w:eastAsia="vi-VN"/>
          </w:rPr>
          <w:t>https://www.fdic.gov/bank/historical/bank/</w:t>
        </w:r>
      </w:hyperlink>
    </w:p>
    <w:p w:rsidR="00CB5C45" w:rsidRPr="00576157" w:rsidRDefault="00CB5C45" w:rsidP="00576157">
      <w:pPr>
        <w:spacing w:after="0" w:line="240" w:lineRule="auto"/>
        <w:jc w:val="both"/>
        <w:rPr>
          <w:rFonts w:ascii="Arial" w:eastAsia="Times New Roman" w:hAnsi="Arial" w:cs="Arial"/>
          <w:sz w:val="20"/>
          <w:szCs w:val="20"/>
        </w:rPr>
      </w:pPr>
    </w:p>
    <w:p w:rsidR="003A4987" w:rsidRPr="00576157" w:rsidRDefault="003A4987" w:rsidP="00576157">
      <w:pPr>
        <w:spacing w:after="0" w:line="240" w:lineRule="auto"/>
        <w:jc w:val="both"/>
        <w:rPr>
          <w:rFonts w:ascii="Arial" w:eastAsia="Times New Roman" w:hAnsi="Arial" w:cs="Arial"/>
          <w:sz w:val="20"/>
          <w:szCs w:val="20"/>
        </w:rPr>
      </w:pPr>
      <w:r w:rsidRPr="00576157">
        <w:rPr>
          <w:rFonts w:ascii="Arial" w:eastAsia="Times New Roman" w:hAnsi="Arial" w:cs="Arial"/>
          <w:sz w:val="20"/>
          <w:szCs w:val="20"/>
        </w:rPr>
        <w:t>Mức độ đóng góp của công cụ BHTG</w:t>
      </w:r>
      <w:r w:rsidR="00A81A5E" w:rsidRPr="00576157">
        <w:rPr>
          <w:rFonts w:ascii="Arial" w:eastAsia="Times New Roman" w:hAnsi="Arial" w:cs="Arial"/>
          <w:sz w:val="20"/>
          <w:szCs w:val="20"/>
        </w:rPr>
        <w:t xml:space="preserve"> đối với giải quyết khó khăn ngân hàng, nói </w:t>
      </w:r>
      <w:proofErr w:type="gramStart"/>
      <w:r w:rsidR="00A81A5E" w:rsidRPr="00576157">
        <w:rPr>
          <w:rFonts w:ascii="Arial" w:eastAsia="Times New Roman" w:hAnsi="Arial" w:cs="Arial"/>
          <w:sz w:val="20"/>
          <w:szCs w:val="20"/>
        </w:rPr>
        <w:t>chung</w:t>
      </w:r>
      <w:proofErr w:type="gramEnd"/>
      <w:r w:rsidR="00A81A5E" w:rsidRPr="00576157">
        <w:rPr>
          <w:rFonts w:ascii="Arial" w:eastAsia="Times New Roman" w:hAnsi="Arial" w:cs="Arial"/>
          <w:sz w:val="20"/>
          <w:szCs w:val="20"/>
        </w:rPr>
        <w:t xml:space="preserve">, và khó khăn về giảm sút niềm tin, nói riêng, ở các quốc gia khác nhau có sự khác nhau nhất định. Công cụ BHTG ở nền kinh tế Mỹ tới nay được khẳng định có thành công lỗi lạc trong giải quyết khó khăn ngân hàng. </w:t>
      </w:r>
      <w:r w:rsidR="00732EDE" w:rsidRPr="00576157">
        <w:rPr>
          <w:rFonts w:ascii="Arial" w:eastAsia="Times New Roman" w:hAnsi="Arial" w:cs="Arial"/>
          <w:sz w:val="20"/>
          <w:szCs w:val="20"/>
        </w:rPr>
        <w:t>M</w:t>
      </w:r>
      <w:r w:rsidR="00A81A5E" w:rsidRPr="00576157">
        <w:rPr>
          <w:rFonts w:ascii="Arial" w:eastAsia="Times New Roman" w:hAnsi="Arial" w:cs="Arial"/>
          <w:sz w:val="20"/>
          <w:szCs w:val="20"/>
        </w:rPr>
        <w:t xml:space="preserve">ột số thành công cơ bản của công cụ BHTG Mỹ có thể được tóm tắt như sau: </w:t>
      </w:r>
    </w:p>
    <w:p w:rsidR="00FF6699" w:rsidRPr="00576157" w:rsidRDefault="003B56D0" w:rsidP="00576157">
      <w:pPr>
        <w:pStyle w:val="ListParagraph"/>
        <w:numPr>
          <w:ilvl w:val="0"/>
          <w:numId w:val="3"/>
        </w:numPr>
        <w:tabs>
          <w:tab w:val="left" w:pos="360"/>
        </w:tabs>
        <w:spacing w:after="0" w:line="240" w:lineRule="auto"/>
        <w:ind w:left="360"/>
        <w:contextualSpacing w:val="0"/>
        <w:jc w:val="both"/>
        <w:rPr>
          <w:rFonts w:ascii="Arial" w:eastAsia="Times New Roman" w:hAnsi="Arial" w:cs="Arial"/>
          <w:sz w:val="20"/>
          <w:szCs w:val="20"/>
        </w:rPr>
      </w:pPr>
      <w:r w:rsidRPr="00576157">
        <w:rPr>
          <w:rFonts w:ascii="Arial" w:eastAsia="Times New Roman" w:hAnsi="Arial" w:cs="Arial"/>
          <w:sz w:val="20"/>
          <w:szCs w:val="20"/>
        </w:rPr>
        <w:t xml:space="preserve">Số lượng ngân hàng </w:t>
      </w:r>
      <w:r w:rsidR="00293067" w:rsidRPr="00576157">
        <w:rPr>
          <w:rFonts w:ascii="Arial" w:eastAsia="Times New Roman" w:hAnsi="Arial" w:cs="Arial"/>
          <w:sz w:val="20"/>
          <w:szCs w:val="20"/>
        </w:rPr>
        <w:t>M</w:t>
      </w:r>
      <w:r w:rsidRPr="00576157">
        <w:rPr>
          <w:rFonts w:ascii="Arial" w:eastAsia="Times New Roman" w:hAnsi="Arial" w:cs="Arial"/>
          <w:sz w:val="20"/>
          <w:szCs w:val="20"/>
        </w:rPr>
        <w:t>ỹ đóng cửa từ khi có sự can thiệp của công cụ BHTG đã giảm đáng kể;</w:t>
      </w:r>
    </w:p>
    <w:p w:rsidR="00FF6699" w:rsidRPr="00576157" w:rsidRDefault="003B56D0" w:rsidP="00576157">
      <w:pPr>
        <w:pStyle w:val="ListParagraph"/>
        <w:numPr>
          <w:ilvl w:val="0"/>
          <w:numId w:val="3"/>
        </w:numPr>
        <w:tabs>
          <w:tab w:val="left" w:pos="360"/>
        </w:tabs>
        <w:spacing w:after="0" w:line="240" w:lineRule="auto"/>
        <w:ind w:left="360"/>
        <w:contextualSpacing w:val="0"/>
        <w:jc w:val="both"/>
        <w:rPr>
          <w:rFonts w:ascii="Arial" w:eastAsia="Times New Roman" w:hAnsi="Arial" w:cs="Arial"/>
          <w:sz w:val="20"/>
          <w:szCs w:val="20"/>
        </w:rPr>
      </w:pPr>
      <w:r w:rsidRPr="00576157">
        <w:rPr>
          <w:rFonts w:ascii="Arial" w:eastAsia="Times New Roman" w:hAnsi="Arial" w:cs="Arial"/>
          <w:sz w:val="20"/>
          <w:szCs w:val="20"/>
        </w:rPr>
        <w:t>Chấm dứt tình trạng người gửi tiền bị mất tiền gửi do ngân hàng khó khăn phải đóng cửa;</w:t>
      </w:r>
    </w:p>
    <w:p w:rsidR="00724FDA" w:rsidRPr="00576157" w:rsidRDefault="003B56D0" w:rsidP="00576157">
      <w:pPr>
        <w:pStyle w:val="ListParagraph"/>
        <w:numPr>
          <w:ilvl w:val="0"/>
          <w:numId w:val="3"/>
        </w:numPr>
        <w:tabs>
          <w:tab w:val="left" w:pos="360"/>
        </w:tabs>
        <w:spacing w:after="0" w:line="240" w:lineRule="auto"/>
        <w:ind w:left="360"/>
        <w:contextualSpacing w:val="0"/>
        <w:jc w:val="both"/>
        <w:rPr>
          <w:rFonts w:ascii="Arial" w:eastAsia="Times New Roman" w:hAnsi="Arial" w:cs="Arial"/>
          <w:sz w:val="20"/>
          <w:szCs w:val="20"/>
        </w:rPr>
      </w:pPr>
      <w:r w:rsidRPr="00576157">
        <w:rPr>
          <w:rFonts w:ascii="Arial" w:eastAsia="Times New Roman" w:hAnsi="Arial" w:cs="Arial"/>
          <w:sz w:val="20"/>
          <w:szCs w:val="20"/>
        </w:rPr>
        <w:t>Hoạt động ngân hàng được kiểm soát ở mức độ cao hơn, công tác kiểm soát rủi ro trong hoạt động ngân hàng được bổ sung thêm sự giám sát của tổ chức BHTG Mỹ</w:t>
      </w:r>
      <w:r w:rsidR="00724FDA" w:rsidRPr="00576157">
        <w:rPr>
          <w:rFonts w:ascii="Arial" w:eastAsia="Times New Roman" w:hAnsi="Arial" w:cs="Arial"/>
          <w:sz w:val="20"/>
          <w:szCs w:val="20"/>
        </w:rPr>
        <w:t>;</w:t>
      </w:r>
    </w:p>
    <w:p w:rsidR="00724FDA" w:rsidRPr="00576157" w:rsidRDefault="003B56D0" w:rsidP="00576157">
      <w:pPr>
        <w:pStyle w:val="ListParagraph"/>
        <w:numPr>
          <w:ilvl w:val="0"/>
          <w:numId w:val="3"/>
        </w:numPr>
        <w:tabs>
          <w:tab w:val="left" w:pos="360"/>
        </w:tabs>
        <w:spacing w:after="0" w:line="240" w:lineRule="auto"/>
        <w:ind w:left="360"/>
        <w:contextualSpacing w:val="0"/>
        <w:jc w:val="both"/>
        <w:rPr>
          <w:rFonts w:ascii="Arial" w:eastAsia="Times New Roman" w:hAnsi="Arial" w:cs="Arial"/>
          <w:sz w:val="20"/>
          <w:szCs w:val="20"/>
        </w:rPr>
      </w:pPr>
      <w:r w:rsidRPr="00576157">
        <w:rPr>
          <w:rFonts w:ascii="Arial" w:eastAsia="Times New Roman" w:hAnsi="Arial" w:cs="Arial"/>
          <w:sz w:val="20"/>
          <w:szCs w:val="20"/>
        </w:rPr>
        <w:t>Tình trạng đột biến rút tiền gửi đơn lẻ được kiểm soát tốt hơn, hạn chế nhiều đối với tình trạng phát sinh hiệu ứng dây chuyền đột biến rút tiền gửi;</w:t>
      </w:r>
    </w:p>
    <w:p w:rsidR="00724FDA" w:rsidRPr="00576157" w:rsidRDefault="003B56D0" w:rsidP="00576157">
      <w:pPr>
        <w:pStyle w:val="ListParagraph"/>
        <w:numPr>
          <w:ilvl w:val="0"/>
          <w:numId w:val="3"/>
        </w:numPr>
        <w:tabs>
          <w:tab w:val="left" w:pos="360"/>
        </w:tabs>
        <w:spacing w:after="0" w:line="240" w:lineRule="auto"/>
        <w:ind w:left="360"/>
        <w:contextualSpacing w:val="0"/>
        <w:jc w:val="both"/>
        <w:rPr>
          <w:rFonts w:ascii="Arial" w:eastAsia="Times New Roman" w:hAnsi="Arial" w:cs="Arial"/>
          <w:sz w:val="20"/>
          <w:szCs w:val="20"/>
        </w:rPr>
      </w:pPr>
      <w:r w:rsidRPr="00576157">
        <w:rPr>
          <w:rFonts w:ascii="Arial" w:eastAsia="Times New Roman" w:hAnsi="Arial" w:cs="Arial"/>
          <w:sz w:val="20"/>
          <w:szCs w:val="20"/>
        </w:rPr>
        <w:t xml:space="preserve"> Khó khăn đơn lẻ của từng ngân hàng được tổ chức BHTG hỗ trợ, giải quyết hiệu quả; khó khăn hệ thống ngân hàng được kiểm soát tốt hơn</w:t>
      </w:r>
      <w:r w:rsidR="00094476" w:rsidRPr="00576157">
        <w:rPr>
          <w:rFonts w:ascii="Arial" w:eastAsia="Times New Roman" w:hAnsi="Arial" w:cs="Arial"/>
          <w:sz w:val="20"/>
          <w:szCs w:val="20"/>
        </w:rPr>
        <w:t xml:space="preserve"> (Hình 1</w:t>
      </w:r>
      <w:r w:rsidR="004C6ECF" w:rsidRPr="00576157">
        <w:rPr>
          <w:rFonts w:ascii="Arial" w:eastAsia="Times New Roman" w:hAnsi="Arial" w:cs="Arial"/>
          <w:sz w:val="20"/>
          <w:szCs w:val="20"/>
        </w:rPr>
        <w:t>)</w:t>
      </w:r>
      <w:r w:rsidR="00732EDE" w:rsidRPr="00576157">
        <w:rPr>
          <w:rFonts w:ascii="Arial" w:eastAsia="Times New Roman" w:hAnsi="Arial" w:cs="Arial"/>
          <w:sz w:val="20"/>
          <w:szCs w:val="20"/>
        </w:rPr>
        <w:t>;</w:t>
      </w:r>
    </w:p>
    <w:p w:rsidR="00724FDA" w:rsidRPr="00576157" w:rsidRDefault="00732EDE" w:rsidP="00576157">
      <w:pPr>
        <w:pStyle w:val="ListParagraph"/>
        <w:numPr>
          <w:ilvl w:val="0"/>
          <w:numId w:val="3"/>
        </w:numPr>
        <w:tabs>
          <w:tab w:val="left" w:pos="360"/>
        </w:tabs>
        <w:spacing w:after="0" w:line="240" w:lineRule="auto"/>
        <w:ind w:left="360"/>
        <w:contextualSpacing w:val="0"/>
        <w:jc w:val="both"/>
        <w:rPr>
          <w:rFonts w:ascii="Arial" w:eastAsia="Times New Roman" w:hAnsi="Arial" w:cs="Arial"/>
          <w:sz w:val="20"/>
          <w:szCs w:val="20"/>
        </w:rPr>
      </w:pPr>
      <w:r w:rsidRPr="00576157">
        <w:rPr>
          <w:rFonts w:ascii="Arial" w:eastAsia="Times New Roman" w:hAnsi="Arial" w:cs="Arial"/>
          <w:sz w:val="20"/>
          <w:szCs w:val="20"/>
        </w:rPr>
        <w:t xml:space="preserve"> Nguồn lực giải quyết khó khăn ngân hàng được hình thành từ đóng góp của tất cả ngân hàng kinh doanh</w:t>
      </w:r>
      <w:r w:rsidR="000C6940" w:rsidRPr="00576157">
        <w:rPr>
          <w:rFonts w:ascii="Arial" w:eastAsia="Times New Roman" w:hAnsi="Arial" w:cs="Arial"/>
          <w:sz w:val="20"/>
          <w:szCs w:val="20"/>
        </w:rPr>
        <w:t>.T</w:t>
      </w:r>
      <w:r w:rsidRPr="00576157">
        <w:rPr>
          <w:rFonts w:ascii="Arial" w:eastAsia="Times New Roman" w:hAnsi="Arial" w:cs="Arial"/>
          <w:sz w:val="20"/>
          <w:szCs w:val="20"/>
        </w:rPr>
        <w:t>iền thuế của cộng đồng không sử dụng cho giải quyết khó khăn ngân hàng;</w:t>
      </w:r>
      <w:r w:rsidR="00724FDA" w:rsidRPr="00576157">
        <w:rPr>
          <w:rFonts w:ascii="Arial" w:eastAsia="Times New Roman" w:hAnsi="Arial" w:cs="Arial"/>
          <w:sz w:val="20"/>
          <w:szCs w:val="20"/>
        </w:rPr>
        <w:t xml:space="preserve"> và</w:t>
      </w:r>
    </w:p>
    <w:p w:rsidR="00732EDE" w:rsidRPr="00576157" w:rsidRDefault="00732EDE" w:rsidP="00576157">
      <w:pPr>
        <w:pStyle w:val="ListParagraph"/>
        <w:numPr>
          <w:ilvl w:val="0"/>
          <w:numId w:val="3"/>
        </w:numPr>
        <w:tabs>
          <w:tab w:val="left" w:pos="360"/>
        </w:tabs>
        <w:spacing w:after="0" w:line="240" w:lineRule="auto"/>
        <w:ind w:left="360"/>
        <w:contextualSpacing w:val="0"/>
        <w:jc w:val="both"/>
        <w:rPr>
          <w:rFonts w:ascii="Arial" w:eastAsia="Times New Roman" w:hAnsi="Arial" w:cs="Arial"/>
          <w:sz w:val="20"/>
          <w:szCs w:val="20"/>
        </w:rPr>
      </w:pPr>
      <w:r w:rsidRPr="00576157">
        <w:rPr>
          <w:rFonts w:ascii="Arial" w:eastAsia="Times New Roman" w:hAnsi="Arial" w:cs="Arial"/>
          <w:sz w:val="20"/>
          <w:szCs w:val="20"/>
        </w:rPr>
        <w:t xml:space="preserve"> Công cụ BHTG có tác dụng trực tiếp củng cố, duy trì và phát triển niềm tin của người gửi tiền đối với ngân hàng.</w:t>
      </w:r>
    </w:p>
    <w:p w:rsidR="002472A1" w:rsidRPr="00576157" w:rsidRDefault="002472A1" w:rsidP="00576157">
      <w:pPr>
        <w:spacing w:after="0" w:line="240" w:lineRule="auto"/>
        <w:jc w:val="both"/>
        <w:rPr>
          <w:rFonts w:ascii="Arial" w:eastAsia="Times New Roman" w:hAnsi="Arial" w:cs="Arial"/>
          <w:b/>
          <w:sz w:val="20"/>
          <w:szCs w:val="20"/>
        </w:rPr>
      </w:pPr>
      <w:r w:rsidRPr="00576157">
        <w:rPr>
          <w:rFonts w:ascii="Arial" w:eastAsia="Times New Roman" w:hAnsi="Arial" w:cs="Arial"/>
          <w:b/>
          <w:sz w:val="20"/>
          <w:szCs w:val="20"/>
        </w:rPr>
        <w:t>Hàm ý chính sách</w:t>
      </w:r>
    </w:p>
    <w:p w:rsidR="00597188" w:rsidRPr="00576157" w:rsidRDefault="007800FD" w:rsidP="00576157">
      <w:pPr>
        <w:spacing w:after="0" w:line="240" w:lineRule="auto"/>
        <w:jc w:val="both"/>
        <w:rPr>
          <w:rFonts w:ascii="Arial" w:eastAsia="Times New Roman" w:hAnsi="Arial" w:cs="Arial"/>
          <w:sz w:val="20"/>
          <w:szCs w:val="20"/>
        </w:rPr>
      </w:pPr>
      <w:r w:rsidRPr="00576157">
        <w:rPr>
          <w:rFonts w:ascii="Arial" w:eastAsia="Times New Roman" w:hAnsi="Arial" w:cs="Arial"/>
          <w:sz w:val="20"/>
          <w:szCs w:val="20"/>
        </w:rPr>
        <w:t>Thành công trong sử dụng công cụ BHTG giải quyết khó khăn ngân hàng được chứng minh ở Mỹ và một số nền kinh tế</w:t>
      </w:r>
      <w:r w:rsidR="00544F38" w:rsidRPr="00576157">
        <w:rPr>
          <w:rFonts w:ascii="Arial" w:eastAsia="Times New Roman" w:hAnsi="Arial" w:cs="Arial"/>
          <w:sz w:val="20"/>
          <w:szCs w:val="20"/>
        </w:rPr>
        <w:t>,</w:t>
      </w:r>
      <w:r w:rsidRPr="00576157">
        <w:rPr>
          <w:rFonts w:ascii="Arial" w:eastAsia="Times New Roman" w:hAnsi="Arial" w:cs="Arial"/>
          <w:sz w:val="20"/>
          <w:szCs w:val="20"/>
        </w:rPr>
        <w:t xml:space="preserve"> như Hàn Quốc, </w:t>
      </w:r>
      <w:r w:rsidR="000072CB" w:rsidRPr="00576157">
        <w:rPr>
          <w:rFonts w:ascii="Arial" w:eastAsia="Times New Roman" w:hAnsi="Arial" w:cs="Arial"/>
          <w:sz w:val="20"/>
          <w:szCs w:val="20"/>
        </w:rPr>
        <w:t>Nhật Bản.</w:t>
      </w:r>
      <w:r w:rsidRPr="00576157">
        <w:rPr>
          <w:rFonts w:ascii="Arial" w:eastAsia="Times New Roman" w:hAnsi="Arial" w:cs="Arial"/>
          <w:sz w:val="20"/>
          <w:szCs w:val="20"/>
        </w:rPr>
        <w:t xml:space="preserve"> Mặc dầu vậy, mức độ thành công tùy thuộc vào nội dung </w:t>
      </w:r>
      <w:r w:rsidRPr="00576157">
        <w:rPr>
          <w:rFonts w:ascii="Arial" w:eastAsia="Times New Roman" w:hAnsi="Arial" w:cs="Arial"/>
          <w:sz w:val="20"/>
          <w:szCs w:val="20"/>
        </w:rPr>
        <w:lastRenderedPageBreak/>
        <w:t xml:space="preserve">thiết kế chính sách BHTG. Những năm đầu triển khai hoạt động BHTG </w:t>
      </w:r>
      <w:r w:rsidR="00597188" w:rsidRPr="00576157">
        <w:rPr>
          <w:rFonts w:ascii="Arial" w:eastAsia="Times New Roman" w:hAnsi="Arial" w:cs="Arial"/>
          <w:sz w:val="20"/>
          <w:szCs w:val="20"/>
        </w:rPr>
        <w:t>ở Nhật Bản</w:t>
      </w:r>
      <w:r w:rsidR="00C94C75" w:rsidRPr="00576157">
        <w:rPr>
          <w:rFonts w:ascii="Arial" w:eastAsia="Times New Roman" w:hAnsi="Arial" w:cs="Arial"/>
          <w:sz w:val="20"/>
          <w:szCs w:val="20"/>
        </w:rPr>
        <w:t xml:space="preserve">, với thiết kế </w:t>
      </w:r>
      <w:proofErr w:type="gramStart"/>
      <w:r w:rsidR="00C94C75" w:rsidRPr="00576157">
        <w:rPr>
          <w:rFonts w:ascii="Arial" w:eastAsia="Times New Roman" w:hAnsi="Arial" w:cs="Arial"/>
          <w:sz w:val="20"/>
          <w:szCs w:val="20"/>
        </w:rPr>
        <w:t>theo</w:t>
      </w:r>
      <w:proofErr w:type="gramEnd"/>
      <w:r w:rsidR="00C94C75" w:rsidRPr="00576157">
        <w:rPr>
          <w:rFonts w:ascii="Arial" w:eastAsia="Times New Roman" w:hAnsi="Arial" w:cs="Arial"/>
          <w:sz w:val="20"/>
          <w:szCs w:val="20"/>
        </w:rPr>
        <w:t xml:space="preserve"> mô hình chức năng hạn chế, dường như công cụ BHTG không có tác dụng đích th</w:t>
      </w:r>
      <w:r w:rsidR="00732EDE" w:rsidRPr="00576157">
        <w:rPr>
          <w:rFonts w:ascii="Arial" w:eastAsia="Times New Roman" w:hAnsi="Arial" w:cs="Arial"/>
          <w:sz w:val="20"/>
          <w:szCs w:val="20"/>
        </w:rPr>
        <w:t>ực</w:t>
      </w:r>
      <w:r w:rsidR="00C94C75" w:rsidRPr="00576157">
        <w:rPr>
          <w:rFonts w:ascii="Arial" w:eastAsia="Times New Roman" w:hAnsi="Arial" w:cs="Arial"/>
          <w:sz w:val="20"/>
          <w:szCs w:val="20"/>
        </w:rPr>
        <w:t xml:space="preserve"> đối với </w:t>
      </w:r>
      <w:r w:rsidR="00597188" w:rsidRPr="00576157">
        <w:rPr>
          <w:rFonts w:ascii="Arial" w:eastAsia="Times New Roman" w:hAnsi="Arial" w:cs="Arial"/>
          <w:sz w:val="20"/>
          <w:szCs w:val="20"/>
        </w:rPr>
        <w:t>giải</w:t>
      </w:r>
      <w:r w:rsidRPr="00576157">
        <w:rPr>
          <w:rFonts w:ascii="Arial" w:eastAsia="Times New Roman" w:hAnsi="Arial" w:cs="Arial"/>
          <w:sz w:val="20"/>
          <w:szCs w:val="20"/>
        </w:rPr>
        <w:t xml:space="preserve"> quyết khó khăn ngân hàng. Việc cải tiến tích cực và tiên quyết, theo mô hình BHTG có chức năng mở rộng, cho phép công cụ BHTG Nhật Bản có đóng góp đáng kể giải quyết khó khăn ngân hàng</w:t>
      </w:r>
      <w:r w:rsidR="00C94C75" w:rsidRPr="00576157">
        <w:rPr>
          <w:rFonts w:ascii="Arial" w:eastAsia="Times New Roman" w:hAnsi="Arial" w:cs="Arial"/>
          <w:sz w:val="20"/>
          <w:szCs w:val="20"/>
        </w:rPr>
        <w:t xml:space="preserve"> trong những năm gần đây</w:t>
      </w:r>
      <w:r w:rsidRPr="00576157">
        <w:rPr>
          <w:rFonts w:ascii="Arial" w:eastAsia="Times New Roman" w:hAnsi="Arial" w:cs="Arial"/>
          <w:sz w:val="20"/>
          <w:szCs w:val="20"/>
        </w:rPr>
        <w:t xml:space="preserve">. </w:t>
      </w:r>
    </w:p>
    <w:p w:rsidR="007800FD" w:rsidRPr="00576157" w:rsidRDefault="007800FD" w:rsidP="00576157">
      <w:pPr>
        <w:spacing w:after="0" w:line="240" w:lineRule="auto"/>
        <w:jc w:val="both"/>
        <w:rPr>
          <w:rFonts w:ascii="Arial" w:eastAsia="Times New Roman" w:hAnsi="Arial" w:cs="Arial"/>
          <w:sz w:val="20"/>
          <w:szCs w:val="20"/>
        </w:rPr>
      </w:pPr>
      <w:r w:rsidRPr="00576157">
        <w:rPr>
          <w:rFonts w:ascii="Arial" w:eastAsia="Times New Roman" w:hAnsi="Arial" w:cs="Arial"/>
          <w:sz w:val="20"/>
          <w:szCs w:val="20"/>
        </w:rPr>
        <w:t>Huy động nguồn lực tài chính</w:t>
      </w:r>
      <w:r w:rsidR="00597188" w:rsidRPr="00576157">
        <w:rPr>
          <w:rFonts w:ascii="Arial" w:eastAsia="Times New Roman" w:hAnsi="Arial" w:cs="Arial"/>
          <w:sz w:val="20"/>
          <w:szCs w:val="20"/>
        </w:rPr>
        <w:t xml:space="preserve"> kh</w:t>
      </w:r>
      <w:r w:rsidR="00FD03D2" w:rsidRPr="00576157">
        <w:rPr>
          <w:rFonts w:ascii="Arial" w:eastAsia="Times New Roman" w:hAnsi="Arial" w:cs="Arial"/>
          <w:sz w:val="20"/>
          <w:szCs w:val="20"/>
        </w:rPr>
        <w:t xml:space="preserve">ổng </w:t>
      </w:r>
      <w:r w:rsidR="00597188" w:rsidRPr="00576157">
        <w:rPr>
          <w:rFonts w:ascii="Arial" w:eastAsia="Times New Roman" w:hAnsi="Arial" w:cs="Arial"/>
          <w:sz w:val="20"/>
          <w:szCs w:val="20"/>
        </w:rPr>
        <w:t>lồ</w:t>
      </w:r>
      <w:r w:rsidRPr="00576157">
        <w:rPr>
          <w:rFonts w:ascii="Arial" w:eastAsia="Times New Roman" w:hAnsi="Arial" w:cs="Arial"/>
          <w:sz w:val="20"/>
          <w:szCs w:val="20"/>
        </w:rPr>
        <w:t xml:space="preserve"> từ số lượng</w:t>
      </w:r>
      <w:r w:rsidR="007E7617" w:rsidRPr="00576157">
        <w:rPr>
          <w:rFonts w:ascii="Arial" w:eastAsia="Times New Roman" w:hAnsi="Arial" w:cs="Arial"/>
          <w:sz w:val="20"/>
          <w:szCs w:val="20"/>
        </w:rPr>
        <w:t xml:space="preserve"> lớn</w:t>
      </w:r>
      <w:r w:rsidRPr="00576157">
        <w:rPr>
          <w:rFonts w:ascii="Arial" w:eastAsia="Times New Roman" w:hAnsi="Arial" w:cs="Arial"/>
          <w:sz w:val="20"/>
          <w:szCs w:val="20"/>
        </w:rPr>
        <w:t xml:space="preserve"> người tham gia dịch vụ ngân hàng</w:t>
      </w:r>
      <w:r w:rsidR="007E7617" w:rsidRPr="00576157">
        <w:rPr>
          <w:rFonts w:ascii="Arial" w:eastAsia="Times New Roman" w:hAnsi="Arial" w:cs="Arial"/>
          <w:sz w:val="20"/>
          <w:szCs w:val="20"/>
        </w:rPr>
        <w:t>,</w:t>
      </w:r>
      <w:r w:rsidRPr="00576157">
        <w:rPr>
          <w:rFonts w:ascii="Arial" w:eastAsia="Times New Roman" w:hAnsi="Arial" w:cs="Arial"/>
          <w:sz w:val="20"/>
          <w:szCs w:val="20"/>
        </w:rPr>
        <w:t xml:space="preserve"> như ở thị trường Mỹ, cho tới nay, hơn </w:t>
      </w:r>
      <w:r w:rsidR="000072CB" w:rsidRPr="00576157">
        <w:rPr>
          <w:rFonts w:ascii="Arial" w:eastAsia="Times New Roman" w:hAnsi="Arial" w:cs="Arial"/>
          <w:sz w:val="20"/>
          <w:szCs w:val="20"/>
        </w:rPr>
        <w:t>8</w:t>
      </w:r>
      <w:r w:rsidRPr="00576157">
        <w:rPr>
          <w:rFonts w:ascii="Arial" w:eastAsia="Times New Roman" w:hAnsi="Arial" w:cs="Arial"/>
          <w:sz w:val="20"/>
          <w:szCs w:val="20"/>
        </w:rPr>
        <w:t xml:space="preserve">0 </w:t>
      </w:r>
      <w:r w:rsidR="00732EDE" w:rsidRPr="00576157">
        <w:rPr>
          <w:rFonts w:ascii="Arial" w:eastAsia="Times New Roman" w:hAnsi="Arial" w:cs="Arial"/>
          <w:sz w:val="20"/>
          <w:szCs w:val="20"/>
        </w:rPr>
        <w:t xml:space="preserve">năm </w:t>
      </w:r>
      <w:r w:rsidRPr="00576157">
        <w:rPr>
          <w:rFonts w:ascii="Arial" w:eastAsia="Times New Roman" w:hAnsi="Arial" w:cs="Arial"/>
          <w:sz w:val="20"/>
          <w:szCs w:val="20"/>
        </w:rPr>
        <w:t>hoạt động</w:t>
      </w:r>
      <w:r w:rsidR="00597188" w:rsidRPr="00576157">
        <w:rPr>
          <w:rFonts w:ascii="Arial" w:eastAsia="Times New Roman" w:hAnsi="Arial" w:cs="Arial"/>
          <w:sz w:val="20"/>
          <w:szCs w:val="20"/>
        </w:rPr>
        <w:t>,</w:t>
      </w:r>
      <w:r w:rsidR="00A362ED" w:rsidRPr="00576157">
        <w:rPr>
          <w:rFonts w:ascii="Arial" w:eastAsia="Times New Roman" w:hAnsi="Arial" w:cs="Arial"/>
          <w:sz w:val="20"/>
          <w:szCs w:val="20"/>
        </w:rPr>
        <w:t xml:space="preserve"> </w:t>
      </w:r>
      <w:r w:rsidR="00597188" w:rsidRPr="00576157">
        <w:rPr>
          <w:rFonts w:ascii="Arial" w:eastAsia="Times New Roman" w:hAnsi="Arial" w:cs="Arial"/>
          <w:sz w:val="20"/>
          <w:szCs w:val="20"/>
        </w:rPr>
        <w:t xml:space="preserve">công cụ BHTG ở Mỹ đảm bảo không có người gửi tiền nào bị mất tiền do khó khăn ngân hàng. Thực tiễn đó cho thấy </w:t>
      </w:r>
      <w:r w:rsidR="00597188" w:rsidRPr="00576157">
        <w:rPr>
          <w:rFonts w:ascii="Arial" w:eastAsia="Times New Roman" w:hAnsi="Arial" w:cs="Arial"/>
          <w:b/>
          <w:sz w:val="20"/>
          <w:szCs w:val="20"/>
        </w:rPr>
        <w:t>sức mạnh phi thường</w:t>
      </w:r>
      <w:r w:rsidR="00597188" w:rsidRPr="00576157">
        <w:rPr>
          <w:rFonts w:ascii="Arial" w:eastAsia="Times New Roman" w:hAnsi="Arial" w:cs="Arial"/>
          <w:sz w:val="20"/>
          <w:szCs w:val="20"/>
        </w:rPr>
        <w:t xml:space="preserve"> của công cụ BHTG khi được thiết kế hợp lý và khoa học. </w:t>
      </w:r>
      <w:r w:rsidR="00194A6A" w:rsidRPr="00576157">
        <w:rPr>
          <w:rFonts w:ascii="Arial" w:eastAsia="Times New Roman" w:hAnsi="Arial" w:cs="Arial"/>
          <w:sz w:val="20"/>
          <w:szCs w:val="20"/>
        </w:rPr>
        <w:t xml:space="preserve">Để công cụ BHTG thực sự có được sức mạnh lớn như vậy, việc thiết kế nội dung </w:t>
      </w:r>
      <w:r w:rsidR="002E012C" w:rsidRPr="00576157">
        <w:rPr>
          <w:rFonts w:ascii="Arial" w:eastAsia="Times New Roman" w:hAnsi="Arial" w:cs="Arial"/>
          <w:sz w:val="20"/>
          <w:szCs w:val="20"/>
        </w:rPr>
        <w:t>chính</w:t>
      </w:r>
      <w:r w:rsidR="00251A79" w:rsidRPr="00576157">
        <w:rPr>
          <w:rFonts w:ascii="Arial" w:eastAsia="Times New Roman" w:hAnsi="Arial" w:cs="Arial"/>
          <w:sz w:val="20"/>
          <w:szCs w:val="20"/>
        </w:rPr>
        <w:t xml:space="preserve"> sách </w:t>
      </w:r>
      <w:r w:rsidR="00194A6A" w:rsidRPr="00576157">
        <w:rPr>
          <w:rFonts w:ascii="Arial" w:eastAsia="Times New Roman" w:hAnsi="Arial" w:cs="Arial"/>
          <w:sz w:val="20"/>
          <w:szCs w:val="20"/>
        </w:rPr>
        <w:t>BHTG đồng bộ và khoa học đóng v</w:t>
      </w:r>
      <w:r w:rsidR="000B7E80" w:rsidRPr="00576157">
        <w:rPr>
          <w:rFonts w:ascii="Arial" w:eastAsia="Times New Roman" w:hAnsi="Arial" w:cs="Arial"/>
          <w:sz w:val="20"/>
          <w:szCs w:val="20"/>
        </w:rPr>
        <w:t>ai</w:t>
      </w:r>
      <w:r w:rsidR="00194A6A" w:rsidRPr="00576157">
        <w:rPr>
          <w:rFonts w:ascii="Arial" w:eastAsia="Times New Roman" w:hAnsi="Arial" w:cs="Arial"/>
          <w:sz w:val="20"/>
          <w:szCs w:val="20"/>
        </w:rPr>
        <w:t xml:space="preserve"> trò quyết định. Cần mạnh dạn thiết kế theo hướng trao cho tổ chức triển khai </w:t>
      </w:r>
      <w:r w:rsidR="00251A79" w:rsidRPr="00576157">
        <w:rPr>
          <w:rFonts w:ascii="Arial" w:eastAsia="Times New Roman" w:hAnsi="Arial" w:cs="Arial"/>
          <w:sz w:val="20"/>
          <w:szCs w:val="20"/>
        </w:rPr>
        <w:t xml:space="preserve">chính sách </w:t>
      </w:r>
      <w:r w:rsidR="00194A6A" w:rsidRPr="00576157">
        <w:rPr>
          <w:rFonts w:ascii="Arial" w:eastAsia="Times New Roman" w:hAnsi="Arial" w:cs="Arial"/>
          <w:sz w:val="20"/>
          <w:szCs w:val="20"/>
        </w:rPr>
        <w:t xml:space="preserve">BHTG </w:t>
      </w:r>
      <w:r w:rsidR="00732EDE" w:rsidRPr="00576157">
        <w:rPr>
          <w:rFonts w:ascii="Arial" w:eastAsia="Times New Roman" w:hAnsi="Arial" w:cs="Arial"/>
          <w:sz w:val="20"/>
          <w:szCs w:val="20"/>
        </w:rPr>
        <w:t xml:space="preserve">chức năng giám sát mở rộng, bổ sung </w:t>
      </w:r>
      <w:r w:rsidR="008C6841" w:rsidRPr="00576157">
        <w:rPr>
          <w:rFonts w:ascii="Arial" w:eastAsia="Times New Roman" w:hAnsi="Arial" w:cs="Arial"/>
          <w:sz w:val="20"/>
          <w:szCs w:val="20"/>
        </w:rPr>
        <w:t xml:space="preserve">công cụ BHTG vào </w:t>
      </w:r>
      <w:r w:rsidR="00732EDE" w:rsidRPr="00576157">
        <w:rPr>
          <w:rFonts w:ascii="Arial" w:eastAsia="Times New Roman" w:hAnsi="Arial" w:cs="Arial"/>
          <w:sz w:val="20"/>
          <w:szCs w:val="20"/>
        </w:rPr>
        <w:t>mạng lưới an toàn tài chính quốc gia</w:t>
      </w:r>
      <w:r w:rsidR="008C6841" w:rsidRPr="00576157">
        <w:rPr>
          <w:rFonts w:ascii="Arial" w:eastAsia="Times New Roman" w:hAnsi="Arial" w:cs="Arial"/>
          <w:sz w:val="20"/>
          <w:szCs w:val="20"/>
        </w:rPr>
        <w:t>,</w:t>
      </w:r>
      <w:r w:rsidR="00732EDE" w:rsidRPr="00576157">
        <w:rPr>
          <w:rFonts w:ascii="Arial" w:eastAsia="Times New Roman" w:hAnsi="Arial" w:cs="Arial"/>
          <w:sz w:val="20"/>
          <w:szCs w:val="20"/>
        </w:rPr>
        <w:t xml:space="preserve"> đảm nhận chức năng giám sát hoạt động ngân hàng đồng hành với nhiệm vụ bảo vệ quyền lợi </w:t>
      </w:r>
      <w:r w:rsidR="00251A79" w:rsidRPr="00576157">
        <w:rPr>
          <w:rFonts w:ascii="Arial" w:eastAsia="Times New Roman" w:hAnsi="Arial" w:cs="Arial"/>
          <w:sz w:val="20"/>
          <w:szCs w:val="20"/>
        </w:rPr>
        <w:t xml:space="preserve">cho </w:t>
      </w:r>
      <w:r w:rsidR="00732EDE" w:rsidRPr="00576157">
        <w:rPr>
          <w:rFonts w:ascii="Arial" w:eastAsia="Times New Roman" w:hAnsi="Arial" w:cs="Arial"/>
          <w:sz w:val="20"/>
          <w:szCs w:val="20"/>
        </w:rPr>
        <w:t>người gửi tiền.</w:t>
      </w:r>
    </w:p>
    <w:p w:rsidR="00A4347C" w:rsidRPr="00576157" w:rsidRDefault="00BB12E9" w:rsidP="00576157">
      <w:pPr>
        <w:spacing w:after="0" w:line="240" w:lineRule="auto"/>
        <w:rPr>
          <w:rFonts w:ascii="Arial" w:eastAsia="Times New Roman" w:hAnsi="Arial" w:cs="Arial"/>
          <w:sz w:val="20"/>
          <w:szCs w:val="20"/>
        </w:rPr>
      </w:pPr>
      <w:r w:rsidRPr="00576157">
        <w:rPr>
          <w:rFonts w:ascii="Arial" w:eastAsia="Times New Roman" w:hAnsi="Arial" w:cs="Arial"/>
          <w:sz w:val="20"/>
          <w:szCs w:val="20"/>
        </w:rPr>
        <w:t>Nguyễn Thị Kim Oanh</w:t>
      </w:r>
      <w:proofErr w:type="gramStart"/>
      <w:r w:rsidRPr="00576157">
        <w:rPr>
          <w:rFonts w:ascii="Arial" w:eastAsia="Times New Roman" w:hAnsi="Arial" w:cs="Arial"/>
          <w:sz w:val="20"/>
          <w:szCs w:val="20"/>
        </w:rPr>
        <w:t>,</w:t>
      </w:r>
      <w:r w:rsidR="00A4347C" w:rsidRPr="00576157">
        <w:rPr>
          <w:rFonts w:ascii="Arial" w:eastAsia="Times New Roman" w:hAnsi="Arial" w:cs="Arial"/>
          <w:sz w:val="20"/>
          <w:szCs w:val="20"/>
        </w:rPr>
        <w:t>TS</w:t>
      </w:r>
      <w:proofErr w:type="gramEnd"/>
      <w:r w:rsidR="00A4347C" w:rsidRPr="00576157">
        <w:rPr>
          <w:rFonts w:ascii="Arial" w:eastAsia="Times New Roman" w:hAnsi="Arial" w:cs="Arial"/>
          <w:sz w:val="20"/>
          <w:szCs w:val="20"/>
        </w:rPr>
        <w:t>., Đại học Quốc gia Hà Nội,</w:t>
      </w:r>
    </w:p>
    <w:p w:rsidR="003B2C85" w:rsidRPr="00576157" w:rsidRDefault="00A30570" w:rsidP="00576157">
      <w:pPr>
        <w:spacing w:after="0" w:line="240" w:lineRule="auto"/>
        <w:rPr>
          <w:rFonts w:ascii="Arial" w:eastAsia="Times New Roman" w:hAnsi="Arial" w:cs="Arial"/>
          <w:sz w:val="20"/>
          <w:szCs w:val="20"/>
        </w:rPr>
      </w:pPr>
      <w:r w:rsidRPr="00576157">
        <w:rPr>
          <w:rFonts w:ascii="Arial" w:eastAsia="Times New Roman" w:hAnsi="Arial" w:cs="Arial"/>
          <w:sz w:val="20"/>
          <w:szCs w:val="20"/>
        </w:rPr>
        <w:t>Nguyễn Tuấn Hùng</w:t>
      </w:r>
      <w:r w:rsidR="003B2C85" w:rsidRPr="00576157">
        <w:rPr>
          <w:rFonts w:ascii="Arial" w:eastAsia="Times New Roman" w:hAnsi="Arial" w:cs="Arial"/>
          <w:sz w:val="20"/>
          <w:szCs w:val="20"/>
        </w:rPr>
        <w:t>, NCS, Học Viện Ngân hàng</w:t>
      </w:r>
    </w:p>
    <w:p w:rsidR="00BB12E9" w:rsidRPr="00576157" w:rsidRDefault="00BB12E9" w:rsidP="00576157">
      <w:pPr>
        <w:spacing w:after="0" w:line="240" w:lineRule="auto"/>
        <w:rPr>
          <w:rFonts w:ascii="Arial" w:eastAsia="Times New Roman" w:hAnsi="Arial" w:cs="Arial"/>
          <w:sz w:val="20"/>
          <w:szCs w:val="20"/>
        </w:rPr>
      </w:pPr>
      <w:r w:rsidRPr="00576157">
        <w:rPr>
          <w:rFonts w:ascii="Arial" w:eastAsia="Times New Roman" w:hAnsi="Arial" w:cs="Arial"/>
          <w:sz w:val="20"/>
          <w:szCs w:val="20"/>
        </w:rPr>
        <w:t xml:space="preserve">Triệu </w:t>
      </w:r>
      <w:proofErr w:type="gramStart"/>
      <w:r w:rsidRPr="00576157">
        <w:rPr>
          <w:rFonts w:ascii="Arial" w:eastAsia="Times New Roman" w:hAnsi="Arial" w:cs="Arial"/>
          <w:sz w:val="20"/>
          <w:szCs w:val="20"/>
        </w:rPr>
        <w:t>Lan</w:t>
      </w:r>
      <w:proofErr w:type="gramEnd"/>
      <w:r w:rsidRPr="00576157">
        <w:rPr>
          <w:rFonts w:ascii="Arial" w:eastAsia="Times New Roman" w:hAnsi="Arial" w:cs="Arial"/>
          <w:sz w:val="20"/>
          <w:szCs w:val="20"/>
        </w:rPr>
        <w:t xml:space="preserve"> Hương,</w:t>
      </w:r>
      <w:r w:rsidR="00A4347C" w:rsidRPr="00576157">
        <w:rPr>
          <w:rFonts w:ascii="Arial" w:eastAsia="Times New Roman" w:hAnsi="Arial" w:cs="Arial"/>
          <w:sz w:val="20"/>
          <w:szCs w:val="20"/>
        </w:rPr>
        <w:t xml:space="preserve"> </w:t>
      </w:r>
      <w:r w:rsidRPr="00576157">
        <w:rPr>
          <w:rFonts w:ascii="Arial" w:eastAsia="Times New Roman" w:hAnsi="Arial" w:cs="Arial"/>
          <w:sz w:val="20"/>
          <w:szCs w:val="20"/>
        </w:rPr>
        <w:t>BHTG khu vực Hà Nội</w:t>
      </w:r>
    </w:p>
    <w:p w:rsidR="00D21136" w:rsidRPr="00576157" w:rsidRDefault="00D21136" w:rsidP="00576157">
      <w:pPr>
        <w:spacing w:after="0" w:line="240" w:lineRule="auto"/>
        <w:jc w:val="both"/>
        <w:rPr>
          <w:rFonts w:ascii="Arial" w:eastAsia="Times New Roman" w:hAnsi="Arial" w:cs="Arial"/>
          <w:b/>
          <w:sz w:val="16"/>
          <w:szCs w:val="16"/>
        </w:rPr>
      </w:pPr>
      <w:r w:rsidRPr="00576157">
        <w:rPr>
          <w:rFonts w:ascii="Arial" w:eastAsia="Times New Roman" w:hAnsi="Arial" w:cs="Arial"/>
          <w:b/>
          <w:sz w:val="16"/>
          <w:szCs w:val="16"/>
        </w:rPr>
        <w:t>Tài liệu tham k</w:t>
      </w:r>
      <w:r w:rsidR="007800FD" w:rsidRPr="00576157">
        <w:rPr>
          <w:rFonts w:ascii="Arial" w:eastAsia="Times New Roman" w:hAnsi="Arial" w:cs="Arial"/>
          <w:b/>
          <w:sz w:val="16"/>
          <w:szCs w:val="16"/>
        </w:rPr>
        <w:t>hảo</w:t>
      </w:r>
    </w:p>
    <w:p w:rsidR="00D21136" w:rsidRPr="00576157" w:rsidRDefault="004C71AE" w:rsidP="00576157">
      <w:pPr>
        <w:spacing w:after="0" w:line="240" w:lineRule="auto"/>
        <w:jc w:val="both"/>
        <w:rPr>
          <w:rFonts w:ascii="Arial" w:hAnsi="Arial" w:cs="Arial"/>
          <w:sz w:val="16"/>
          <w:szCs w:val="16"/>
        </w:rPr>
      </w:pPr>
      <w:r w:rsidRPr="00576157">
        <w:rPr>
          <w:rFonts w:ascii="Arial" w:hAnsi="Arial" w:cs="Arial"/>
          <w:sz w:val="16"/>
          <w:szCs w:val="16"/>
        </w:rPr>
        <w:t xml:space="preserve">Mankiw G. N. (1992), </w:t>
      </w:r>
      <w:r w:rsidRPr="00576157">
        <w:rPr>
          <w:rFonts w:ascii="Arial" w:hAnsi="Arial" w:cs="Arial"/>
          <w:i/>
          <w:iCs/>
          <w:sz w:val="16"/>
          <w:szCs w:val="16"/>
        </w:rPr>
        <w:t>Marcroeconomics</w:t>
      </w:r>
      <w:r w:rsidRPr="00576157">
        <w:rPr>
          <w:rFonts w:ascii="Arial" w:hAnsi="Arial" w:cs="Arial"/>
          <w:sz w:val="16"/>
          <w:szCs w:val="16"/>
        </w:rPr>
        <w:t>, Harvard University, Worth Publishers, 33 Irving Place, New York.</w:t>
      </w:r>
    </w:p>
    <w:p w:rsidR="00D21136" w:rsidRPr="00576157" w:rsidRDefault="00CB5C45" w:rsidP="00576157">
      <w:pPr>
        <w:spacing w:after="0" w:line="240" w:lineRule="auto"/>
        <w:rPr>
          <w:rStyle w:val="Hyperlink"/>
          <w:rFonts w:ascii="Arial" w:eastAsia="Times New Roman" w:hAnsi="Arial" w:cs="Arial"/>
          <w:sz w:val="16"/>
          <w:szCs w:val="16"/>
          <w:lang w:eastAsia="vi-VN"/>
        </w:rPr>
      </w:pPr>
      <w:r w:rsidRPr="00576157">
        <w:rPr>
          <w:rFonts w:ascii="Arial" w:eastAsia="Times New Roman" w:hAnsi="Arial" w:cs="Arial"/>
          <w:color w:val="222222"/>
          <w:sz w:val="16"/>
          <w:szCs w:val="16"/>
          <w:lang w:eastAsia="vi-VN"/>
        </w:rPr>
        <w:t xml:space="preserve">FDIC (2018), </w:t>
      </w:r>
      <w:hyperlink r:id="rId10" w:history="1">
        <w:r w:rsidRPr="00576157">
          <w:rPr>
            <w:rStyle w:val="Hyperlink"/>
            <w:rFonts w:ascii="Arial" w:eastAsia="Times New Roman" w:hAnsi="Arial" w:cs="Arial"/>
            <w:sz w:val="16"/>
            <w:szCs w:val="16"/>
            <w:lang w:eastAsia="vi-VN"/>
          </w:rPr>
          <w:t>https://www.fdic.gov/bank/historical/bank/</w:t>
        </w:r>
      </w:hyperlink>
    </w:p>
    <w:p w:rsidR="006E7633" w:rsidRPr="00576157" w:rsidRDefault="00B53DCA" w:rsidP="00576157">
      <w:pPr>
        <w:spacing w:after="0" w:line="240" w:lineRule="auto"/>
        <w:rPr>
          <w:rStyle w:val="Hyperlink"/>
          <w:rFonts w:ascii="Arial" w:hAnsi="Arial" w:cs="Arial"/>
          <w:sz w:val="16"/>
          <w:szCs w:val="16"/>
          <w:shd w:val="clear" w:color="auto" w:fill="FFFFFF"/>
          <w:lang w:val="fr-FR"/>
        </w:rPr>
      </w:pPr>
      <w:hyperlink r:id="rId11" w:history="1">
        <w:r w:rsidR="006E7633" w:rsidRPr="00576157">
          <w:rPr>
            <w:rStyle w:val="Hyperlink"/>
            <w:rFonts w:ascii="Arial" w:hAnsi="Arial" w:cs="Arial"/>
            <w:sz w:val="16"/>
            <w:szCs w:val="16"/>
            <w:shd w:val="clear" w:color="auto" w:fill="FFFFFF"/>
            <w:lang w:val="vi-VN"/>
          </w:rPr>
          <w:t>https://www.forbes.com/lists/2008/11/biz_powerwomen08_Sheila-C-Bair_0R5X.html</w:t>
        </w:r>
      </w:hyperlink>
      <w:r w:rsidR="006E7633" w:rsidRPr="00576157">
        <w:rPr>
          <w:rFonts w:ascii="Arial" w:hAnsi="Arial" w:cs="Arial"/>
          <w:color w:val="000000"/>
          <w:sz w:val="16"/>
          <w:szCs w:val="16"/>
          <w:shd w:val="clear" w:color="auto" w:fill="FFFFFF"/>
          <w:lang w:val="fr-FR"/>
        </w:rPr>
        <w:t xml:space="preserve"> </w:t>
      </w:r>
      <w:hyperlink r:id="rId12" w:history="1">
        <w:r w:rsidR="006E7633" w:rsidRPr="00576157">
          <w:rPr>
            <w:rStyle w:val="Hyperlink"/>
            <w:rFonts w:ascii="Arial" w:hAnsi="Arial" w:cs="Arial"/>
            <w:sz w:val="16"/>
            <w:szCs w:val="16"/>
            <w:shd w:val="clear" w:color="auto" w:fill="FFFFFF"/>
            <w:lang w:val="fr-FR"/>
          </w:rPr>
          <w:t>https://www.forbes.com/lists/2009/11/power-women-09_The-100-Most-Powerful-Women_Rank.html</w:t>
        </w:r>
      </w:hyperlink>
    </w:p>
    <w:p w:rsidR="00670A54" w:rsidRPr="00576157" w:rsidRDefault="00B53DCA" w:rsidP="00576157">
      <w:pPr>
        <w:shd w:val="clear" w:color="auto" w:fill="FFFFFF"/>
        <w:spacing w:after="0" w:line="240" w:lineRule="auto"/>
        <w:rPr>
          <w:rFonts w:ascii="Arial" w:eastAsia="Times New Roman" w:hAnsi="Arial" w:cs="Arial"/>
          <w:color w:val="222222"/>
          <w:sz w:val="16"/>
          <w:szCs w:val="16"/>
          <w:lang w:eastAsia="vi-VN"/>
        </w:rPr>
      </w:pPr>
      <w:hyperlink r:id="rId13" w:history="1">
        <w:r w:rsidR="00790860" w:rsidRPr="00576157">
          <w:rPr>
            <w:rStyle w:val="Hyperlink"/>
            <w:rFonts w:ascii="Arial" w:eastAsia="Times New Roman" w:hAnsi="Arial" w:cs="Arial"/>
            <w:sz w:val="16"/>
            <w:szCs w:val="16"/>
            <w:lang w:eastAsia="vi-VN"/>
          </w:rPr>
          <w:t>https://www.iadi.org/en/deposit-insurance-systems/dis-worldwide/</w:t>
        </w:r>
      </w:hyperlink>
      <w:bookmarkStart w:id="0" w:name="_GoBack"/>
      <w:bookmarkEnd w:id="0"/>
    </w:p>
    <w:sectPr w:rsidR="00670A54" w:rsidRPr="00576157" w:rsidSect="006A1D1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DCA" w:rsidRDefault="00B53DCA" w:rsidP="00B16701">
      <w:pPr>
        <w:spacing w:after="0" w:line="240" w:lineRule="auto"/>
      </w:pPr>
      <w:r>
        <w:separator/>
      </w:r>
    </w:p>
  </w:endnote>
  <w:endnote w:type="continuationSeparator" w:id="0">
    <w:p w:rsidR="00B53DCA" w:rsidRDefault="00B53DCA" w:rsidP="00B1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248026"/>
      <w:docPartObj>
        <w:docPartGallery w:val="Page Numbers (Bottom of Page)"/>
        <w:docPartUnique/>
      </w:docPartObj>
    </w:sdtPr>
    <w:sdtEndPr>
      <w:rPr>
        <w:noProof/>
      </w:rPr>
    </w:sdtEndPr>
    <w:sdtContent>
      <w:p w:rsidR="00B16701" w:rsidRDefault="00387AC3">
        <w:pPr>
          <w:pStyle w:val="Footer"/>
          <w:jc w:val="center"/>
        </w:pPr>
        <w:r>
          <w:fldChar w:fldCharType="begin"/>
        </w:r>
        <w:r w:rsidR="00B16701">
          <w:instrText xml:space="preserve"> PAGE   \* MERGEFORMAT </w:instrText>
        </w:r>
        <w:r>
          <w:fldChar w:fldCharType="separate"/>
        </w:r>
        <w:r w:rsidR="00CC181D">
          <w:rPr>
            <w:noProof/>
          </w:rPr>
          <w:t>3</w:t>
        </w:r>
        <w:r>
          <w:rPr>
            <w:noProof/>
          </w:rPr>
          <w:fldChar w:fldCharType="end"/>
        </w:r>
      </w:p>
    </w:sdtContent>
  </w:sdt>
  <w:p w:rsidR="00B16701" w:rsidRDefault="00B16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DCA" w:rsidRDefault="00B53DCA" w:rsidP="00B16701">
      <w:pPr>
        <w:spacing w:after="0" w:line="240" w:lineRule="auto"/>
      </w:pPr>
      <w:r>
        <w:separator/>
      </w:r>
    </w:p>
  </w:footnote>
  <w:footnote w:type="continuationSeparator" w:id="0">
    <w:p w:rsidR="00B53DCA" w:rsidRDefault="00B53DCA" w:rsidP="00B167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743A4"/>
    <w:multiLevelType w:val="hybridMultilevel"/>
    <w:tmpl w:val="597E91A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2C7D52"/>
    <w:multiLevelType w:val="hybridMultilevel"/>
    <w:tmpl w:val="C4FA1E92"/>
    <w:lvl w:ilvl="0" w:tplc="36A850D8">
      <w:numFmt w:val="bullet"/>
      <w:lvlText w:val="-"/>
      <w:lvlJc w:val="left"/>
      <w:pPr>
        <w:ind w:left="720" w:hanging="360"/>
      </w:pPr>
      <w:rPr>
        <w:rFonts w:ascii="Helvetica" w:eastAsia="Times New Roman" w:hAnsi="Helvetica" w:cs="Helvetica"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95A6828"/>
    <w:multiLevelType w:val="hybridMultilevel"/>
    <w:tmpl w:val="1332D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D9"/>
    <w:rsid w:val="00004744"/>
    <w:rsid w:val="000072CB"/>
    <w:rsid w:val="000132CD"/>
    <w:rsid w:val="000157FF"/>
    <w:rsid w:val="000372D0"/>
    <w:rsid w:val="00064E3B"/>
    <w:rsid w:val="000735F5"/>
    <w:rsid w:val="0008519C"/>
    <w:rsid w:val="00094476"/>
    <w:rsid w:val="000B0608"/>
    <w:rsid w:val="000B1EEA"/>
    <w:rsid w:val="000B7E80"/>
    <w:rsid w:val="000C6940"/>
    <w:rsid w:val="000D4E3E"/>
    <w:rsid w:val="0018441B"/>
    <w:rsid w:val="00194007"/>
    <w:rsid w:val="00194A6A"/>
    <w:rsid w:val="001977B2"/>
    <w:rsid w:val="001C24C6"/>
    <w:rsid w:val="001C3802"/>
    <w:rsid w:val="001E6BC5"/>
    <w:rsid w:val="001F7E48"/>
    <w:rsid w:val="00224F0A"/>
    <w:rsid w:val="002472A1"/>
    <w:rsid w:val="00251A79"/>
    <w:rsid w:val="00263A37"/>
    <w:rsid w:val="00282D8B"/>
    <w:rsid w:val="00293067"/>
    <w:rsid w:val="00297F24"/>
    <w:rsid w:val="002A4B02"/>
    <w:rsid w:val="002A65FF"/>
    <w:rsid w:val="002B0C0C"/>
    <w:rsid w:val="002E012C"/>
    <w:rsid w:val="00352CC1"/>
    <w:rsid w:val="00387AC3"/>
    <w:rsid w:val="003A4987"/>
    <w:rsid w:val="003B2C85"/>
    <w:rsid w:val="003B56D0"/>
    <w:rsid w:val="003B580B"/>
    <w:rsid w:val="003E2673"/>
    <w:rsid w:val="00430179"/>
    <w:rsid w:val="004818DA"/>
    <w:rsid w:val="0048234E"/>
    <w:rsid w:val="004C01E6"/>
    <w:rsid w:val="004C6ECF"/>
    <w:rsid w:val="004C71AE"/>
    <w:rsid w:val="004D2BE6"/>
    <w:rsid w:val="004E7FD8"/>
    <w:rsid w:val="004F53F3"/>
    <w:rsid w:val="005171D7"/>
    <w:rsid w:val="005220DF"/>
    <w:rsid w:val="00526F97"/>
    <w:rsid w:val="00544F38"/>
    <w:rsid w:val="00576157"/>
    <w:rsid w:val="00597188"/>
    <w:rsid w:val="005B5E0B"/>
    <w:rsid w:val="005D6E5E"/>
    <w:rsid w:val="005E6D4A"/>
    <w:rsid w:val="005F5958"/>
    <w:rsid w:val="00641D24"/>
    <w:rsid w:val="00644D2A"/>
    <w:rsid w:val="00653D97"/>
    <w:rsid w:val="00661D25"/>
    <w:rsid w:val="00670104"/>
    <w:rsid w:val="00670613"/>
    <w:rsid w:val="00670A54"/>
    <w:rsid w:val="00675DDA"/>
    <w:rsid w:val="006A1D1E"/>
    <w:rsid w:val="006A25BE"/>
    <w:rsid w:val="006A4026"/>
    <w:rsid w:val="006C1481"/>
    <w:rsid w:val="006D12E2"/>
    <w:rsid w:val="006E7633"/>
    <w:rsid w:val="006F2F05"/>
    <w:rsid w:val="00724FDA"/>
    <w:rsid w:val="00732EDE"/>
    <w:rsid w:val="00736ACF"/>
    <w:rsid w:val="00743B32"/>
    <w:rsid w:val="00744CD4"/>
    <w:rsid w:val="00757279"/>
    <w:rsid w:val="007800FD"/>
    <w:rsid w:val="00790860"/>
    <w:rsid w:val="00792BB8"/>
    <w:rsid w:val="007A3D1A"/>
    <w:rsid w:val="007B3713"/>
    <w:rsid w:val="007E3055"/>
    <w:rsid w:val="007E4AD9"/>
    <w:rsid w:val="007E7617"/>
    <w:rsid w:val="00813A43"/>
    <w:rsid w:val="00836BE0"/>
    <w:rsid w:val="008604F0"/>
    <w:rsid w:val="00861FBC"/>
    <w:rsid w:val="00872257"/>
    <w:rsid w:val="00876466"/>
    <w:rsid w:val="00876902"/>
    <w:rsid w:val="008835EB"/>
    <w:rsid w:val="00883A88"/>
    <w:rsid w:val="00884EA6"/>
    <w:rsid w:val="00890DFE"/>
    <w:rsid w:val="008C6841"/>
    <w:rsid w:val="008E52D5"/>
    <w:rsid w:val="008E74C2"/>
    <w:rsid w:val="00927C5E"/>
    <w:rsid w:val="00941D88"/>
    <w:rsid w:val="00973264"/>
    <w:rsid w:val="00974FF6"/>
    <w:rsid w:val="009A343E"/>
    <w:rsid w:val="009E0DCE"/>
    <w:rsid w:val="009F5F85"/>
    <w:rsid w:val="00A03D13"/>
    <w:rsid w:val="00A265C5"/>
    <w:rsid w:val="00A30570"/>
    <w:rsid w:val="00A362ED"/>
    <w:rsid w:val="00A42937"/>
    <w:rsid w:val="00A4347C"/>
    <w:rsid w:val="00A52097"/>
    <w:rsid w:val="00A6427A"/>
    <w:rsid w:val="00A73C9E"/>
    <w:rsid w:val="00A81A5E"/>
    <w:rsid w:val="00A83CF5"/>
    <w:rsid w:val="00A9537A"/>
    <w:rsid w:val="00AA3108"/>
    <w:rsid w:val="00B131F2"/>
    <w:rsid w:val="00B16653"/>
    <w:rsid w:val="00B16701"/>
    <w:rsid w:val="00B23A24"/>
    <w:rsid w:val="00B35BCE"/>
    <w:rsid w:val="00B415DE"/>
    <w:rsid w:val="00B53DCA"/>
    <w:rsid w:val="00B602E1"/>
    <w:rsid w:val="00B60BB1"/>
    <w:rsid w:val="00B618F6"/>
    <w:rsid w:val="00B66F77"/>
    <w:rsid w:val="00B7521E"/>
    <w:rsid w:val="00B814C6"/>
    <w:rsid w:val="00B8656D"/>
    <w:rsid w:val="00BB12E9"/>
    <w:rsid w:val="00BC496D"/>
    <w:rsid w:val="00BD1213"/>
    <w:rsid w:val="00BE46CE"/>
    <w:rsid w:val="00C0192B"/>
    <w:rsid w:val="00C15146"/>
    <w:rsid w:val="00C175A5"/>
    <w:rsid w:val="00C240C2"/>
    <w:rsid w:val="00C27011"/>
    <w:rsid w:val="00C3317F"/>
    <w:rsid w:val="00C55665"/>
    <w:rsid w:val="00C77767"/>
    <w:rsid w:val="00C77D16"/>
    <w:rsid w:val="00C87A4C"/>
    <w:rsid w:val="00C94C75"/>
    <w:rsid w:val="00CB5C45"/>
    <w:rsid w:val="00CC06AA"/>
    <w:rsid w:val="00CC181D"/>
    <w:rsid w:val="00CC4B7B"/>
    <w:rsid w:val="00CD2BA2"/>
    <w:rsid w:val="00CD34F5"/>
    <w:rsid w:val="00CE3F04"/>
    <w:rsid w:val="00D21136"/>
    <w:rsid w:val="00D265DC"/>
    <w:rsid w:val="00D40AD4"/>
    <w:rsid w:val="00D5296D"/>
    <w:rsid w:val="00D56596"/>
    <w:rsid w:val="00DC356B"/>
    <w:rsid w:val="00DD05C9"/>
    <w:rsid w:val="00E02DB3"/>
    <w:rsid w:val="00E03814"/>
    <w:rsid w:val="00E13635"/>
    <w:rsid w:val="00E23A12"/>
    <w:rsid w:val="00E35079"/>
    <w:rsid w:val="00E35ADE"/>
    <w:rsid w:val="00E57949"/>
    <w:rsid w:val="00E57A1B"/>
    <w:rsid w:val="00E94D5E"/>
    <w:rsid w:val="00ED25B1"/>
    <w:rsid w:val="00EE14FF"/>
    <w:rsid w:val="00EE20D9"/>
    <w:rsid w:val="00EE32DB"/>
    <w:rsid w:val="00EE7524"/>
    <w:rsid w:val="00EF2213"/>
    <w:rsid w:val="00F03AF1"/>
    <w:rsid w:val="00F37579"/>
    <w:rsid w:val="00F4481D"/>
    <w:rsid w:val="00F73A71"/>
    <w:rsid w:val="00F87139"/>
    <w:rsid w:val="00FA1FA8"/>
    <w:rsid w:val="00FC2E56"/>
    <w:rsid w:val="00FD03D2"/>
    <w:rsid w:val="00FD7314"/>
    <w:rsid w:val="00FF66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63976-F443-4516-801C-1207C55A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C45"/>
    <w:rPr>
      <w:color w:val="0000FF"/>
      <w:u w:val="single"/>
    </w:rPr>
  </w:style>
  <w:style w:type="character" w:customStyle="1" w:styleId="UnresolvedMention">
    <w:name w:val="Unresolved Mention"/>
    <w:basedOn w:val="DefaultParagraphFont"/>
    <w:uiPriority w:val="99"/>
    <w:semiHidden/>
    <w:unhideWhenUsed/>
    <w:rsid w:val="00CB5C45"/>
    <w:rPr>
      <w:color w:val="605E5C"/>
      <w:shd w:val="clear" w:color="auto" w:fill="E1DFDD"/>
    </w:rPr>
  </w:style>
  <w:style w:type="paragraph" w:styleId="ListParagraph">
    <w:name w:val="List Paragraph"/>
    <w:basedOn w:val="Normal"/>
    <w:uiPriority w:val="34"/>
    <w:qFormat/>
    <w:rsid w:val="00790860"/>
    <w:pPr>
      <w:spacing w:after="200" w:line="276" w:lineRule="auto"/>
      <w:ind w:left="720"/>
      <w:contextualSpacing/>
    </w:pPr>
    <w:rPr>
      <w:rFonts w:eastAsiaTheme="minorHAnsi"/>
      <w:lang w:val="en-US" w:eastAsia="en-US"/>
    </w:rPr>
  </w:style>
  <w:style w:type="paragraph" w:styleId="Header">
    <w:name w:val="header"/>
    <w:basedOn w:val="Normal"/>
    <w:link w:val="HeaderChar"/>
    <w:uiPriority w:val="99"/>
    <w:unhideWhenUsed/>
    <w:rsid w:val="00B16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701"/>
  </w:style>
  <w:style w:type="paragraph" w:styleId="Footer">
    <w:name w:val="footer"/>
    <w:basedOn w:val="Normal"/>
    <w:link w:val="FooterChar"/>
    <w:uiPriority w:val="99"/>
    <w:unhideWhenUsed/>
    <w:rsid w:val="00B16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701"/>
  </w:style>
  <w:style w:type="paragraph" w:styleId="BalloonText">
    <w:name w:val="Balloon Text"/>
    <w:basedOn w:val="Normal"/>
    <w:link w:val="BalloonTextChar"/>
    <w:uiPriority w:val="99"/>
    <w:semiHidden/>
    <w:unhideWhenUsed/>
    <w:rsid w:val="00744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iadi.org/en/deposit-insurance-systems/dis-worldw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rbes.com/lists/2009/11/power-women-09_The-100-Most-Powerful-Women_Ran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lists/2008/11/biz_powerwomen08_Sheila-C-Bair_0R5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dic.gov/bank/historical/bank/" TargetMode="External"/><Relationship Id="rId4" Type="http://schemas.openxmlformats.org/officeDocument/2006/relationships/settings" Target="settings.xml"/><Relationship Id="rId9" Type="http://schemas.openxmlformats.org/officeDocument/2006/relationships/hyperlink" Target="https://www.fdic.gov/bank/historical/ba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3341F-DB9D-4AD2-A4B1-CE9CAE1B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Hewlett-Packard Company</cp:lastModifiedBy>
  <cp:revision>5</cp:revision>
  <dcterms:created xsi:type="dcterms:W3CDTF">2019-01-25T11:10:00Z</dcterms:created>
  <dcterms:modified xsi:type="dcterms:W3CDTF">2019-01-25T11:16:00Z</dcterms:modified>
</cp:coreProperties>
</file>