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79" w:rsidRPr="00380EE9" w:rsidRDefault="006A3B71" w:rsidP="00380EE9">
      <w:pPr>
        <w:spacing w:before="120" w:after="0" w:line="271" w:lineRule="auto"/>
        <w:jc w:val="both"/>
        <w:rPr>
          <w:rFonts w:ascii="Arial" w:hAnsi="Arial" w:cs="Arial"/>
          <w:b/>
          <w:sz w:val="20"/>
          <w:szCs w:val="20"/>
          <w:lang w:val="de-DE"/>
        </w:rPr>
      </w:pPr>
      <w:r w:rsidRPr="00380EE9">
        <w:rPr>
          <w:rFonts w:ascii="Arial" w:hAnsi="Arial" w:cs="Arial"/>
          <w:b/>
          <w:sz w:val="20"/>
          <w:szCs w:val="20"/>
          <w:lang w:val="de-DE"/>
        </w:rPr>
        <w:t>Tín dụng xanh là hướng đi tất yếu</w:t>
      </w:r>
    </w:p>
    <w:p w:rsidR="00306917"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Trong bối cảnh Việt Nam đang phải đối mặt với rất nhiều vấn đề về môi trường như biến đổi khí hậu, thiên tai, hạn hán, lũ lụt, ô nhiễm môi trường, mục tiêu tăng trưởng của Việt Nam trong vòng hai thập kỷ tới không chỉ là tăng trưởng n</w:t>
      </w:r>
      <w:bookmarkStart w:id="0" w:name="_GoBack"/>
      <w:bookmarkEnd w:id="0"/>
      <w:r w:rsidRPr="00380EE9">
        <w:rPr>
          <w:rFonts w:ascii="Arial" w:hAnsi="Arial" w:cs="Arial"/>
          <w:sz w:val="20"/>
          <w:szCs w:val="20"/>
        </w:rPr>
        <w:t>hanh như các giai đoạn trước đây mà phải là tăng trưởng xanh và bền vững, hướng tới phát triển kinh tế xanh. </w:t>
      </w:r>
    </w:p>
    <w:p w:rsidR="00306917"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Theo đó, năm 2012, Thủ tướng Chính phủ ban hành Quyết định số 1393/QĐ-TTg phê duyệt Chiến lược Quốc gia về tăng trưởng xanh thời kỳ 2011-2020 và tầm nhìn đến năm 2050. NHNN được giao nhiệm vụ xây dựng kế hoạch hành động thực hiện chiến lược tăng trưởng xanh của ngành Ngân hàng.</w:t>
      </w:r>
    </w:p>
    <w:p w:rsidR="00306917"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Năm 2014, Quyết định số 403/QĐ-TTg được Thủ tướng ban hành phê duyệt Kế hoạch hành động quốc gia về tăng trưởng xanh giai đoạn 2014 – 2020. NHNN được giao chủ trì thực hiện nhiệm vụ: “Hoàn thiện thể chế và tăng cường năng lực hoạt động tài chính - tín dụng của các NHTM phục vụ tăng trưởng xanh”.</w:t>
      </w:r>
    </w:p>
    <w:p w:rsidR="00306917"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 xml:space="preserve">Tiếp đó, năm 2016, điểm nhấn đáng lưu ý là cam kết INDC của Việt Nam và Quyết định số 2053/QĐ-TTg phê duyệt Kế hoạch hành động thực thi Hiệp định Paris về chống biến đổi khí hậu. NHNN được giao phối hợp với các bộ, ngành thực hiện nhiệm vụ số 47 tại Quyết định 2053: “Đẩy nhanh việc áp dụng các công cụ tài chính như chương trình tín dụng xanh, trái phiếu xanh, quỹ đầu tư xanh và </w:t>
      </w:r>
      <w:proofErr w:type="gramStart"/>
      <w:r w:rsidRPr="00380EE9">
        <w:rPr>
          <w:rFonts w:ascii="Arial" w:hAnsi="Arial" w:cs="Arial"/>
          <w:sz w:val="20"/>
          <w:szCs w:val="20"/>
        </w:rPr>
        <w:t>theo</w:t>
      </w:r>
      <w:proofErr w:type="gramEnd"/>
      <w:r w:rsidRPr="00380EE9">
        <w:rPr>
          <w:rFonts w:ascii="Arial" w:hAnsi="Arial" w:cs="Arial"/>
          <w:sz w:val="20"/>
          <w:szCs w:val="20"/>
        </w:rPr>
        <w:t xml:space="preserve"> đó có bộ tiêu chí về dự án xanh”.</w:t>
      </w:r>
    </w:p>
    <w:p w:rsidR="00306917"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Với vai trò cơ quan quản lý nhà nước về tiền tệ và hoạt động ngân hàng, NHNN những năm qua đã có những bước khởi đầu trong việc xây dựng chính sách triển khai ngân hàng xanh. Năm 2015 NHNN ban hành Chỉ thị số 03/CT-NHNN về thúc đẩy tăng trưởng tín dụng xanh và quản lý rủi ro môi trường - xã hội trong hoạt động cấp tín dụng. Cùng với đó ban hành Quyết định số 1552/QĐ-NHNN ban hành Kế hoạch hành động của ngành Ngân hàng thực hiện Chiến lược Quốc gia về tăng trưởng xanh đến năm 2020. NHNN cũng đã hợp tác với IFC xây dựng bộ hướng dẫn quản lý rủi ro môi trường và xã hội cho các TCTD và chi nhánh ngân hàng nước ngoài.</w:t>
      </w:r>
    </w:p>
    <w:p w:rsidR="0047380A" w:rsidRPr="00380EE9" w:rsidRDefault="00306917" w:rsidP="00380EE9">
      <w:pPr>
        <w:spacing w:before="120" w:after="0" w:line="271" w:lineRule="auto"/>
        <w:jc w:val="both"/>
        <w:rPr>
          <w:rFonts w:ascii="Arial" w:hAnsi="Arial" w:cs="Arial"/>
          <w:sz w:val="20"/>
          <w:szCs w:val="20"/>
        </w:rPr>
      </w:pPr>
      <w:r w:rsidRPr="00380EE9">
        <w:rPr>
          <w:rFonts w:ascii="Arial" w:hAnsi="Arial" w:cs="Arial"/>
          <w:sz w:val="20"/>
          <w:szCs w:val="20"/>
        </w:rPr>
        <w:t xml:space="preserve">Đặc biệt, mới đây NHNN đã ban hành Quyết định số 1604/QĐ-NHNN về việc phê duyệt Đề án phát triển ngân hàng xanh tại Việt Nam (Đề án 1064) nhằm tăng cường nhận thức và trách nhiệm xã hội của hệ thống ngân hàng đối với việc bảo vệ môi trường, chống biến đổi khí hậu, từng bước xanh hóa hoạt động ngân hàng, hướng dòng vốn tín dụng vào việc tài trợ dự án thân thiện với môi trường, thúc đẩy các ngành sản xuất, dịch vụ và tiêu dùng xanh, năng lượng sạch và năng lượng tái tạo, </w:t>
      </w:r>
      <w:r w:rsidR="001C025C" w:rsidRPr="00380EE9">
        <w:rPr>
          <w:rFonts w:ascii="Arial" w:hAnsi="Arial" w:cs="Arial"/>
          <w:sz w:val="20"/>
          <w:szCs w:val="20"/>
          <w:shd w:val="clear" w:color="auto" w:fill="FFFFFF"/>
        </w:rPr>
        <w:t>góp phần tích cực thúc đẩy tăng trưởng xanh và phát triển bền vững. </w:t>
      </w:r>
    </w:p>
    <w:p w:rsidR="0047380A" w:rsidRPr="00380EE9" w:rsidRDefault="001C025C" w:rsidP="00380EE9">
      <w:pPr>
        <w:spacing w:before="120" w:after="0" w:line="271" w:lineRule="auto"/>
        <w:jc w:val="both"/>
        <w:rPr>
          <w:rFonts w:ascii="Arial" w:hAnsi="Arial" w:cs="Arial"/>
          <w:sz w:val="20"/>
          <w:szCs w:val="20"/>
          <w:shd w:val="clear" w:color="auto" w:fill="FFFFFF"/>
        </w:rPr>
      </w:pPr>
      <w:r w:rsidRPr="00380EE9">
        <w:rPr>
          <w:rFonts w:ascii="Arial" w:hAnsi="Arial" w:cs="Arial"/>
          <w:sz w:val="20"/>
          <w:szCs w:val="20"/>
          <w:shd w:val="clear" w:color="auto" w:fill="FFFFFF"/>
        </w:rPr>
        <w:t xml:space="preserve">Theo đề án, phấn đấu đến năm 2025, 100% ngân hàng xây dựng được quy định nội bộ về quản lý rủi ro môi trường và xã hội trong hoạt động cấp tín dụng; 100% các ngân hàng thực hiện đánh giá rủi ro môi trường xã hội trong hoạt động cấp tín dụng; áp dụng các tiêu chuẩn về môi trường cho các dự án được ngân hàng cấp vốn vay; kết hợp đánh giá rủi ro môi trường như một phần trong đánh giá rủi ro tín dụng của ngân hàng. Ít nhất 10-12 ngân hàng có đơn vị/ bộ phận chuyên trách về quản lý rủi ro môi trường và xã hội; 60% ngân hàng tiếp cận được nguồn vốn xanh và triển khai cho vay các dự </w:t>
      </w:r>
      <w:proofErr w:type="gramStart"/>
      <w:r w:rsidRPr="00380EE9">
        <w:rPr>
          <w:rFonts w:ascii="Arial" w:hAnsi="Arial" w:cs="Arial"/>
          <w:sz w:val="20"/>
          <w:szCs w:val="20"/>
          <w:shd w:val="clear" w:color="auto" w:fill="FFFFFF"/>
        </w:rPr>
        <w:t>án</w:t>
      </w:r>
      <w:proofErr w:type="gramEnd"/>
      <w:r w:rsidRPr="00380EE9">
        <w:rPr>
          <w:rFonts w:ascii="Arial" w:hAnsi="Arial" w:cs="Arial"/>
          <w:sz w:val="20"/>
          <w:szCs w:val="20"/>
          <w:shd w:val="clear" w:color="auto" w:fill="FFFFFF"/>
        </w:rPr>
        <w:t xml:space="preserve"> tín dụng xanh. </w:t>
      </w:r>
    </w:p>
    <w:p w:rsidR="00306917" w:rsidRPr="00380EE9" w:rsidRDefault="006A3B71" w:rsidP="00380EE9">
      <w:pPr>
        <w:spacing w:before="120" w:after="0" w:line="271" w:lineRule="auto"/>
        <w:jc w:val="both"/>
        <w:rPr>
          <w:rFonts w:ascii="Arial" w:hAnsi="Arial" w:cs="Arial"/>
          <w:b/>
          <w:sz w:val="20"/>
          <w:szCs w:val="20"/>
          <w:shd w:val="clear" w:color="auto" w:fill="FFFFFF"/>
        </w:rPr>
      </w:pPr>
      <w:r w:rsidRPr="00380EE9">
        <w:rPr>
          <w:rFonts w:ascii="Arial" w:hAnsi="Arial" w:cs="Arial"/>
          <w:b/>
          <w:sz w:val="20"/>
          <w:szCs w:val="20"/>
          <w:shd w:val="clear" w:color="auto" w:fill="FFFFFF"/>
        </w:rPr>
        <w:t>Ngân hàng -</w:t>
      </w:r>
      <w:r w:rsidR="009C5356" w:rsidRPr="00380EE9">
        <w:rPr>
          <w:rFonts w:ascii="Arial" w:hAnsi="Arial" w:cs="Arial"/>
          <w:b/>
          <w:sz w:val="20"/>
          <w:szCs w:val="20"/>
          <w:shd w:val="clear" w:color="auto" w:fill="FFFFFF"/>
        </w:rPr>
        <w:t xml:space="preserve"> mắt xích trung gian “xanh hóa” dòng vố</w:t>
      </w:r>
      <w:r w:rsidRPr="00380EE9">
        <w:rPr>
          <w:rFonts w:ascii="Arial" w:hAnsi="Arial" w:cs="Arial"/>
          <w:b/>
          <w:sz w:val="20"/>
          <w:szCs w:val="20"/>
          <w:shd w:val="clear" w:color="auto" w:fill="FFFFFF"/>
        </w:rPr>
        <w:t>n</w:t>
      </w:r>
    </w:p>
    <w:p w:rsidR="009C5356" w:rsidRPr="00380EE9" w:rsidRDefault="009C5356" w:rsidP="00380EE9">
      <w:pPr>
        <w:spacing w:before="120" w:after="0" w:line="271" w:lineRule="auto"/>
        <w:jc w:val="both"/>
        <w:rPr>
          <w:rFonts w:ascii="Arial" w:hAnsi="Arial" w:cs="Arial"/>
          <w:sz w:val="20"/>
          <w:szCs w:val="20"/>
        </w:rPr>
      </w:pPr>
      <w:r w:rsidRPr="00380EE9">
        <w:rPr>
          <w:rFonts w:ascii="Arial" w:hAnsi="Arial" w:cs="Arial"/>
          <w:sz w:val="20"/>
          <w:szCs w:val="20"/>
        </w:rPr>
        <w:t>N</w:t>
      </w:r>
      <w:r w:rsidR="00306917" w:rsidRPr="00380EE9">
        <w:rPr>
          <w:rFonts w:ascii="Arial" w:hAnsi="Arial" w:cs="Arial"/>
          <w:sz w:val="20"/>
          <w:szCs w:val="20"/>
        </w:rPr>
        <w:t xml:space="preserve">gay sau khi Thủ tướng Chính phủ phê duyệt Chiến lược quốc gia về tăng trưởng xanh và NHNN có Chỉ thị 03/CT-NHNN ngày 24/3/2015 về thúc đẩy tăng trưởng tín dụng xanh và quản lý rủi ro môi trường và xã hội trong hoạt động cấp tín dụng, các ngân hàng đã ngay lập tức “vào cuộc” triển khai. </w:t>
      </w:r>
    </w:p>
    <w:p w:rsidR="006B059A" w:rsidRPr="00380EE9" w:rsidRDefault="009C5356" w:rsidP="00380EE9">
      <w:pPr>
        <w:spacing w:before="120" w:after="0" w:line="271" w:lineRule="auto"/>
        <w:jc w:val="both"/>
        <w:rPr>
          <w:rFonts w:ascii="Arial" w:hAnsi="Arial" w:cs="Arial"/>
          <w:sz w:val="20"/>
          <w:szCs w:val="20"/>
          <w:shd w:val="clear" w:color="auto" w:fill="FFFFFF"/>
        </w:rPr>
      </w:pPr>
      <w:r w:rsidRPr="00380EE9">
        <w:rPr>
          <w:rFonts w:ascii="Arial" w:hAnsi="Arial" w:cs="Arial"/>
          <w:sz w:val="20"/>
          <w:szCs w:val="20"/>
          <w:shd w:val="clear" w:color="auto" w:fill="FFFFFF"/>
        </w:rPr>
        <w:t xml:space="preserve">Với sự triển khai quyết liệt của cơ quan quản lý, các TCTD cũng đã tích cực cho vay đối với các dự </w:t>
      </w:r>
      <w:proofErr w:type="gramStart"/>
      <w:r w:rsidRPr="00380EE9">
        <w:rPr>
          <w:rFonts w:ascii="Arial" w:hAnsi="Arial" w:cs="Arial"/>
          <w:sz w:val="20"/>
          <w:szCs w:val="20"/>
          <w:shd w:val="clear" w:color="auto" w:fill="FFFFFF"/>
        </w:rPr>
        <w:t>án</w:t>
      </w:r>
      <w:proofErr w:type="gramEnd"/>
      <w:r w:rsidRPr="00380EE9">
        <w:rPr>
          <w:rFonts w:ascii="Arial" w:hAnsi="Arial" w:cs="Arial"/>
          <w:sz w:val="20"/>
          <w:szCs w:val="20"/>
          <w:shd w:val="clear" w:color="auto" w:fill="FFFFFF"/>
        </w:rPr>
        <w:t xml:space="preserve"> xanh sạch. Đến nay đã có 17 TCTD xây dựng quy trình thẩm định rủi ro môi trường và xã hội trong các quy định nội bộ. Một số TCTD đã lồng ghép hoạt động về tín dụng xanh trong chiến lược phát triển của mình. Ngoài ra, một số NHTM cũng chủ động tham gia các dự </w:t>
      </w:r>
      <w:proofErr w:type="gramStart"/>
      <w:r w:rsidRPr="00380EE9">
        <w:rPr>
          <w:rFonts w:ascii="Arial" w:hAnsi="Arial" w:cs="Arial"/>
          <w:sz w:val="20"/>
          <w:szCs w:val="20"/>
          <w:shd w:val="clear" w:color="auto" w:fill="FFFFFF"/>
        </w:rPr>
        <w:t>án</w:t>
      </w:r>
      <w:proofErr w:type="gramEnd"/>
      <w:r w:rsidRPr="00380EE9">
        <w:rPr>
          <w:rFonts w:ascii="Arial" w:hAnsi="Arial" w:cs="Arial"/>
          <w:sz w:val="20"/>
          <w:szCs w:val="20"/>
          <w:shd w:val="clear" w:color="auto" w:fill="FFFFFF"/>
        </w:rPr>
        <w:t xml:space="preserve"> có vốn tài trợ của các tổ chức tài chính </w:t>
      </w:r>
      <w:r w:rsidRPr="00380EE9">
        <w:rPr>
          <w:rFonts w:ascii="Arial" w:hAnsi="Arial" w:cs="Arial"/>
          <w:sz w:val="20"/>
          <w:szCs w:val="20"/>
          <w:shd w:val="clear" w:color="auto" w:fill="FFFFFF"/>
        </w:rPr>
        <w:lastRenderedPageBreak/>
        <w:t>quốc tế về bảo vệ môi trường và cấp tín dụng xanh. Nhờ sự tham gia tích cực đó,</w:t>
      </w:r>
      <w:r w:rsidR="006B059A" w:rsidRPr="00380EE9">
        <w:rPr>
          <w:rFonts w:ascii="Arial" w:hAnsi="Arial" w:cs="Arial"/>
          <w:sz w:val="20"/>
          <w:szCs w:val="20"/>
          <w:shd w:val="clear" w:color="auto" w:fill="FFFFFF"/>
        </w:rPr>
        <w:t xml:space="preserve"> đến hết tháng 09/2018, dư nợ tín dụng đối với các dự án xanh là 235.717 tỷ đồng, tăng 30,8% so với năm 2017.</w:t>
      </w:r>
    </w:p>
    <w:p w:rsidR="00B20869" w:rsidRPr="00380EE9" w:rsidRDefault="00700731" w:rsidP="00380EE9">
      <w:pPr>
        <w:spacing w:before="120" w:after="0" w:line="271" w:lineRule="auto"/>
        <w:jc w:val="both"/>
        <w:rPr>
          <w:rFonts w:ascii="Arial" w:hAnsi="Arial" w:cs="Arial"/>
          <w:sz w:val="20"/>
          <w:szCs w:val="20"/>
          <w:shd w:val="clear" w:color="auto" w:fill="FFFFFF"/>
        </w:rPr>
      </w:pPr>
      <w:r w:rsidRPr="00380EE9">
        <w:rPr>
          <w:rFonts w:ascii="Arial" w:hAnsi="Arial" w:cs="Arial"/>
          <w:sz w:val="20"/>
          <w:szCs w:val="20"/>
          <w:shd w:val="clear" w:color="auto" w:fill="FFFFFF"/>
        </w:rPr>
        <w:t xml:space="preserve">Bên cạnh những kết quả đạt được nêu trên, việc triển khai các giải pháp nhằm thúc đẩy hoạt động tín dụng – ngân hàng xanh góp phần ứng phó với biến đổi khí hậu, quản lý tài nguyên và bảo vệ môi trường hiện nay còn gặp một số khó khăn như: Việc đầu tư vào các ngành/lĩnh vực xanh, nhất là lĩnh vực năng lượng tái tạo, tiết kiệm và hiệu quả năng lượng tại Việt Nam hiện nay thường đòi hỏi thời gian hoàn vốn dài, chi phí đầu tư lớn, rủi ro thị trường cao nên rất cần các ưu đãi về thời hạn và chi phí vốn vay. Trong khi nguồn vốn huy động của các TCTD thường là ngắn hạn, huy động </w:t>
      </w:r>
      <w:proofErr w:type="gramStart"/>
      <w:r w:rsidRPr="00380EE9">
        <w:rPr>
          <w:rFonts w:ascii="Arial" w:hAnsi="Arial" w:cs="Arial"/>
          <w:sz w:val="20"/>
          <w:szCs w:val="20"/>
          <w:shd w:val="clear" w:color="auto" w:fill="FFFFFF"/>
        </w:rPr>
        <w:t>theo</w:t>
      </w:r>
      <w:proofErr w:type="gramEnd"/>
      <w:r w:rsidRPr="00380EE9">
        <w:rPr>
          <w:rFonts w:ascii="Arial" w:hAnsi="Arial" w:cs="Arial"/>
          <w:sz w:val="20"/>
          <w:szCs w:val="20"/>
          <w:shd w:val="clear" w:color="auto" w:fill="FFFFFF"/>
        </w:rPr>
        <w:t xml:space="preserve"> chi phí vốn thương mại trên thị trường. Do đó, để có thể cung cấp các khoản tín dụng với thời hạn dài và lãi suất ưu đãi cho các ngành/lĩnh vực xanh, các TCTD cần được hỗ trợ tiếp cận các nguồn vốn dài hạn, ưu đãi hoặc có cơ chế chia sẻ lãi suất cho vay với các TCTD.</w:t>
      </w:r>
      <w:r w:rsidR="00B20869" w:rsidRPr="00380EE9">
        <w:rPr>
          <w:rFonts w:ascii="Arial" w:hAnsi="Arial" w:cs="Arial"/>
          <w:sz w:val="20"/>
          <w:szCs w:val="20"/>
          <w:shd w:val="clear" w:color="auto" w:fill="FFFFFF"/>
        </w:rPr>
        <w:t xml:space="preserve"> </w:t>
      </w:r>
    </w:p>
    <w:p w:rsidR="00700731" w:rsidRPr="00380EE9" w:rsidRDefault="00700731" w:rsidP="00380EE9">
      <w:pPr>
        <w:spacing w:before="120" w:after="0" w:line="271" w:lineRule="auto"/>
        <w:jc w:val="both"/>
        <w:rPr>
          <w:rFonts w:ascii="Arial" w:hAnsi="Arial" w:cs="Arial"/>
          <w:sz w:val="20"/>
          <w:szCs w:val="20"/>
          <w:shd w:val="clear" w:color="auto" w:fill="FFFFFF"/>
        </w:rPr>
      </w:pPr>
      <w:r w:rsidRPr="00380EE9">
        <w:rPr>
          <w:rFonts w:ascii="Arial" w:hAnsi="Arial" w:cs="Arial"/>
          <w:sz w:val="20"/>
          <w:szCs w:val="20"/>
          <w:shd w:val="clear" w:color="auto" w:fill="FFFFFF"/>
        </w:rPr>
        <w:t>Ngoài ra, chưa có quy định, định nghĩa, tiêu chuẩn về các danh mục các ngành/lĩnh vực xanh để có thể áp dụng chung, thống nhất cho cả nước dẫn tới việc thiếu cơ sở để các TCTD căn cứ lựa chọn, thẩm định, đánh giá và giám sát khi thực hiện cấp tín dụng xanh.</w:t>
      </w:r>
    </w:p>
    <w:p w:rsidR="00700731" w:rsidRPr="00380EE9" w:rsidRDefault="00700731" w:rsidP="00380EE9">
      <w:pPr>
        <w:spacing w:before="120" w:after="0" w:line="271" w:lineRule="auto"/>
        <w:jc w:val="both"/>
        <w:rPr>
          <w:rFonts w:ascii="Arial" w:hAnsi="Arial" w:cs="Arial"/>
          <w:iCs/>
          <w:sz w:val="20"/>
          <w:szCs w:val="20"/>
          <w:lang w:val="es-ES"/>
        </w:rPr>
      </w:pPr>
      <w:r w:rsidRPr="00380EE9">
        <w:rPr>
          <w:rFonts w:ascii="Arial" w:hAnsi="Arial" w:cs="Arial"/>
          <w:sz w:val="20"/>
          <w:szCs w:val="20"/>
          <w:shd w:val="clear" w:color="auto" w:fill="FFFFFF"/>
        </w:rPr>
        <w:t>Hơn nữa, phát triển các ngành kinh tế xanh đòi hỏi đồng bộ các giải pháp, cơ chế từ chính sách thuế, phí, vốn</w:t>
      </w:r>
      <w:r w:rsidRPr="00380EE9">
        <w:rPr>
          <w:rFonts w:ascii="Arial" w:hAnsi="Arial" w:cs="Arial"/>
          <w:iCs/>
          <w:sz w:val="20"/>
          <w:szCs w:val="20"/>
          <w:lang w:val="es-ES"/>
        </w:rPr>
        <w:t>, kỹ thuật, thị trường, đến quy hoạch, chiến lược phát triển của từng ngành, lĩnh vực; trên cơ sở đó mới thu hút và phát huy được tác dụng của nguồn vốn tín dụng xanh; đồng thời đòi hỏi có sự hỗ trợ nhằm tăng cường năng lực cho các TCTD trong việc lựa chọn, thẩm định, giám sát các khoản cấp tín dụng xanh.</w:t>
      </w:r>
    </w:p>
    <w:p w:rsidR="006B059A" w:rsidRPr="00380EE9" w:rsidRDefault="006B059A" w:rsidP="00380EE9">
      <w:pPr>
        <w:spacing w:before="120" w:after="0" w:line="271" w:lineRule="auto"/>
        <w:jc w:val="both"/>
        <w:rPr>
          <w:rStyle w:val="Strong"/>
          <w:rFonts w:ascii="Arial" w:hAnsi="Arial" w:cs="Arial"/>
          <w:b w:val="0"/>
          <w:sz w:val="20"/>
          <w:szCs w:val="20"/>
        </w:rPr>
      </w:pPr>
      <w:r w:rsidRPr="00380EE9">
        <w:rPr>
          <w:rStyle w:val="Strong"/>
          <w:rFonts w:ascii="Arial" w:hAnsi="Arial" w:cs="Arial"/>
          <w:sz w:val="20"/>
          <w:szCs w:val="20"/>
        </w:rPr>
        <w:t>Để</w:t>
      </w:r>
      <w:r w:rsidRPr="00380EE9">
        <w:rPr>
          <w:rStyle w:val="Strong"/>
          <w:rFonts w:ascii="Arial" w:hAnsi="Arial" w:cs="Arial"/>
          <w:b w:val="0"/>
          <w:sz w:val="20"/>
          <w:szCs w:val="20"/>
        </w:rPr>
        <w:t xml:space="preserve"> </w:t>
      </w:r>
      <w:r w:rsidRPr="00380EE9">
        <w:rPr>
          <w:rFonts w:ascii="Arial" w:hAnsi="Arial" w:cs="Arial"/>
          <w:b/>
          <w:sz w:val="20"/>
          <w:szCs w:val="20"/>
        </w:rPr>
        <w:t>thực hiện thành công Chiến lược quốc gia về tăng trưở</w:t>
      </w:r>
      <w:r w:rsidR="00E70F80" w:rsidRPr="00380EE9">
        <w:rPr>
          <w:rFonts w:ascii="Arial" w:hAnsi="Arial" w:cs="Arial"/>
          <w:b/>
          <w:sz w:val="20"/>
          <w:szCs w:val="20"/>
        </w:rPr>
        <w:t>ng xanh</w:t>
      </w:r>
    </w:p>
    <w:p w:rsidR="00A6609E" w:rsidRPr="00380EE9" w:rsidRDefault="00A6609E" w:rsidP="00380EE9">
      <w:pPr>
        <w:spacing w:before="120" w:after="0" w:line="271" w:lineRule="auto"/>
        <w:jc w:val="both"/>
        <w:rPr>
          <w:rFonts w:ascii="Arial" w:hAnsi="Arial" w:cs="Arial"/>
          <w:sz w:val="20"/>
          <w:szCs w:val="20"/>
        </w:rPr>
      </w:pPr>
      <w:r w:rsidRPr="00380EE9">
        <w:rPr>
          <w:rFonts w:ascii="Arial" w:hAnsi="Arial" w:cs="Arial"/>
          <w:sz w:val="20"/>
          <w:szCs w:val="20"/>
        </w:rPr>
        <w:t>Ngành Ngân hàng có trách nhiệm trong việc hỗ trợ tích cực cho quá trình chuyển đổi kinh tế sang hướng tăng trưởng xanh, tăng trưởng bền vững thông qua cơ chế huy động và cung ứng vốn cho các dự án bảo vệ môi trường là đặc biệt quan trọng. Điều này được thể hiện ở 2 khía cạnh cơ bản: Thứ nhất là cầu nối giữa các tổ chức, cá nhân, giữa bên thừa vốn và thiếu vốn; tham gia vào quá trình đánh giá và quản lý rủi ro các dự án đầu tư, trong đó gồm cả những rủi ro môi trường. Thứ hai, bản thân hoạt động của các ngân hàng cũng tác động trực tiếp tới môi trường, thông qua việc ứng dụng công nghệ để phi chứng từ hóa các phương tiện thanh toán, áp dụng ngân hàng điện tử trực tuyến...</w:t>
      </w:r>
    </w:p>
    <w:p w:rsidR="006B059A" w:rsidRPr="00380EE9" w:rsidRDefault="00A6609E" w:rsidP="00380EE9">
      <w:pPr>
        <w:spacing w:before="120" w:after="0" w:line="271" w:lineRule="auto"/>
        <w:jc w:val="both"/>
        <w:rPr>
          <w:rFonts w:ascii="Arial" w:hAnsi="Arial" w:cs="Arial"/>
          <w:sz w:val="20"/>
          <w:szCs w:val="20"/>
        </w:rPr>
      </w:pPr>
      <w:r w:rsidRPr="00380EE9">
        <w:rPr>
          <w:rFonts w:ascii="Arial" w:hAnsi="Arial" w:cs="Arial"/>
          <w:sz w:val="20"/>
          <w:szCs w:val="20"/>
        </w:rPr>
        <w:t>Để</w:t>
      </w:r>
      <w:r w:rsidR="006B059A" w:rsidRPr="00380EE9">
        <w:rPr>
          <w:rFonts w:ascii="Arial" w:hAnsi="Arial" w:cs="Arial"/>
          <w:sz w:val="20"/>
          <w:szCs w:val="20"/>
        </w:rPr>
        <w:t xml:space="preserve"> thúc đẩy tín dụng xanh hỗ trợ phát triển bền vững</w:t>
      </w:r>
      <w:r w:rsidRPr="00380EE9">
        <w:rPr>
          <w:rFonts w:ascii="Arial" w:hAnsi="Arial" w:cs="Arial"/>
          <w:sz w:val="20"/>
          <w:szCs w:val="20"/>
        </w:rPr>
        <w:t>, t</w:t>
      </w:r>
      <w:r w:rsidR="006B059A" w:rsidRPr="00380EE9">
        <w:rPr>
          <w:rFonts w:ascii="Arial" w:hAnsi="Arial" w:cs="Arial"/>
          <w:sz w:val="20"/>
          <w:szCs w:val="20"/>
        </w:rPr>
        <w:t>hời gian tới, NHNN tiếp tục thực thi các chính sách tín dụng nhằm thúc đẩy hoạt động của ngành ngân hàng hướng tới mục tiêu tăng trưởng xanh, cụ thể:</w:t>
      </w:r>
    </w:p>
    <w:p w:rsidR="006B059A" w:rsidRPr="00380EE9" w:rsidRDefault="006B059A" w:rsidP="00380EE9">
      <w:pPr>
        <w:spacing w:before="120" w:after="0" w:line="271" w:lineRule="auto"/>
        <w:jc w:val="both"/>
        <w:rPr>
          <w:rFonts w:ascii="Arial" w:hAnsi="Arial" w:cs="Arial"/>
          <w:sz w:val="20"/>
          <w:szCs w:val="20"/>
        </w:rPr>
      </w:pPr>
      <w:r w:rsidRPr="00380EE9">
        <w:rPr>
          <w:rFonts w:ascii="Arial" w:hAnsi="Arial" w:cs="Arial"/>
          <w:sz w:val="20"/>
          <w:szCs w:val="20"/>
        </w:rPr>
        <w:t>Xây dựng và hoàn thiện khuôn khổ pháp lý hướng dẫn thực hiện tín dụng xanh cho các TCTD, trong đó đưa ra các tiêu chuẩn về tín dụng xanh, danh mục các ngành/lĩnh vực xanh để áp dụng chung, thống nhất, làm cơ sở để các TCTD lựa chọn, thẩm định, đánh giá và giám sát khi thực hiện cấp tín dụng xanh.</w:t>
      </w:r>
    </w:p>
    <w:p w:rsidR="006B059A" w:rsidRPr="00380EE9" w:rsidRDefault="006B059A" w:rsidP="00380EE9">
      <w:pPr>
        <w:spacing w:before="120" w:after="0" w:line="271" w:lineRule="auto"/>
        <w:jc w:val="both"/>
        <w:rPr>
          <w:rFonts w:ascii="Arial" w:hAnsi="Arial" w:cs="Arial"/>
          <w:sz w:val="20"/>
          <w:szCs w:val="20"/>
        </w:rPr>
      </w:pPr>
      <w:r w:rsidRPr="00380EE9">
        <w:rPr>
          <w:rFonts w:ascii="Arial" w:hAnsi="Arial" w:cs="Arial"/>
          <w:sz w:val="20"/>
          <w:szCs w:val="20"/>
        </w:rPr>
        <w:t xml:space="preserve">NHNN sẽ tiếp tục nghiên cứu và hoàn thiện Sổ </w:t>
      </w:r>
      <w:proofErr w:type="gramStart"/>
      <w:r w:rsidRPr="00380EE9">
        <w:rPr>
          <w:rFonts w:ascii="Arial" w:hAnsi="Arial" w:cs="Arial"/>
          <w:sz w:val="20"/>
          <w:szCs w:val="20"/>
        </w:rPr>
        <w:t>tay</w:t>
      </w:r>
      <w:proofErr w:type="gramEnd"/>
      <w:r w:rsidRPr="00380EE9">
        <w:rPr>
          <w:rFonts w:ascii="Arial" w:hAnsi="Arial" w:cs="Arial"/>
          <w:sz w:val="20"/>
          <w:szCs w:val="20"/>
        </w:rPr>
        <w:t xml:space="preserve"> hướng dẫn đánh giá rủi ro môi trường xã hội cho một số ngành kinh tế chưa có hướng dẫn trong hoạt động cấp tín dụng của các TCTD.</w:t>
      </w:r>
    </w:p>
    <w:p w:rsidR="00A6609E" w:rsidRPr="00380EE9" w:rsidRDefault="006B059A" w:rsidP="00380EE9">
      <w:pPr>
        <w:spacing w:before="120" w:after="0" w:line="271" w:lineRule="auto"/>
        <w:jc w:val="both"/>
        <w:rPr>
          <w:rFonts w:ascii="Arial" w:hAnsi="Arial" w:cs="Arial"/>
          <w:sz w:val="20"/>
          <w:szCs w:val="20"/>
        </w:rPr>
      </w:pPr>
      <w:r w:rsidRPr="00380EE9">
        <w:rPr>
          <w:rFonts w:ascii="Arial" w:hAnsi="Arial" w:cs="Arial"/>
          <w:sz w:val="20"/>
          <w:szCs w:val="20"/>
        </w:rPr>
        <w:t>Xây dựng các giải pháp tập trung nguồn lực để cấp tín dụng cho các dự án, phương án sản xuất kinh doanh sử dụng các thành tựu khoa học và công nghệ tiên tiến; sử dụng năng lượng tiết kiệm và hiệu quả; phát triển năng lượng sạch, năng lượng tái tạo; sử dụng công nghệ, thiết bị thân thiện với môi trường, sản xuất những sản phẩm thân thiện với môi trường.</w:t>
      </w:r>
    </w:p>
    <w:p w:rsidR="00A6609E" w:rsidRPr="00380EE9" w:rsidRDefault="006B059A" w:rsidP="00380EE9">
      <w:pPr>
        <w:spacing w:before="120" w:after="0" w:line="271" w:lineRule="auto"/>
        <w:jc w:val="both"/>
        <w:rPr>
          <w:rFonts w:ascii="Arial" w:hAnsi="Arial" w:cs="Arial"/>
          <w:sz w:val="20"/>
          <w:szCs w:val="20"/>
        </w:rPr>
      </w:pPr>
      <w:r w:rsidRPr="00380EE9">
        <w:rPr>
          <w:rFonts w:ascii="Arial" w:hAnsi="Arial" w:cs="Arial"/>
          <w:sz w:val="20"/>
          <w:szCs w:val="20"/>
        </w:rPr>
        <w:t>Tiếp tục huy động các nguồn lực để thực hiện chính sách tín dụng xanh tại Việt Nam, bao gồm: nguồn ngân sách nhà nước, nguồn vốn ưu đãi dài hạn từ các tổ chức tài chính quốc tế (WB, IFC, ADB, JICA, KfW...), huy động vốn qua hình thức phát hành trái phiếu xanh để tài trợ các dự án năng lượng tái tạo quy mô lớn, tiết kiệm năng lượng.</w:t>
      </w:r>
    </w:p>
    <w:p w:rsidR="00CA4F79" w:rsidRPr="00380EE9" w:rsidRDefault="00CA4F79" w:rsidP="00380EE9">
      <w:pPr>
        <w:spacing w:before="120" w:after="0" w:line="271" w:lineRule="auto"/>
        <w:jc w:val="both"/>
        <w:rPr>
          <w:rFonts w:ascii="Arial" w:hAnsi="Arial" w:cs="Arial"/>
          <w:sz w:val="20"/>
          <w:szCs w:val="20"/>
        </w:rPr>
      </w:pPr>
      <w:r w:rsidRPr="00380EE9">
        <w:rPr>
          <w:rFonts w:ascii="Arial" w:hAnsi="Arial" w:cs="Arial"/>
          <w:sz w:val="20"/>
          <w:szCs w:val="20"/>
        </w:rPr>
        <w:t xml:space="preserve">Đồng thời cần tăng cường truyền thông nhận thức và trách nhiệm xã hội của toàn ngành Ngân hàng trong việc bảo vệ môi trường, chống biến đổi khí hậu, từng bước xanh hóa hoạt động ngân hàng, hướng dòng </w:t>
      </w:r>
      <w:r w:rsidRPr="00380EE9">
        <w:rPr>
          <w:rFonts w:ascii="Arial" w:hAnsi="Arial" w:cs="Arial"/>
          <w:sz w:val="20"/>
          <w:szCs w:val="20"/>
        </w:rPr>
        <w:lastRenderedPageBreak/>
        <w:t>vốn tín dụng vào việc tài trợ dự án thân thiện với môi trường, thúc đẩy các ngành sản xuất, dịch vụ và tiêu dùng xanh, năng lượng sạch và năng lượng tái tạo.</w:t>
      </w:r>
    </w:p>
    <w:p w:rsidR="00EA17C7" w:rsidRDefault="00EA17C7" w:rsidP="00380EE9">
      <w:pPr>
        <w:spacing w:before="120" w:after="0" w:line="271" w:lineRule="auto"/>
        <w:jc w:val="both"/>
        <w:rPr>
          <w:rFonts w:ascii="Arial" w:hAnsi="Arial" w:cs="Arial"/>
          <w:sz w:val="20"/>
          <w:szCs w:val="20"/>
        </w:rPr>
      </w:pPr>
      <w:r w:rsidRPr="00380EE9">
        <w:rPr>
          <w:rFonts w:ascii="Arial" w:hAnsi="Arial" w:cs="Arial"/>
          <w:sz w:val="20"/>
          <w:szCs w:val="20"/>
        </w:rPr>
        <w:t>Như vậy, để thực hiện thành công Chiến lược quốc gia về tăng trưởng xanh hướng tới phát triển bền vững cần huy động nguồn lực của toàn xã hội. </w:t>
      </w:r>
    </w:p>
    <w:p w:rsidR="00380EE9" w:rsidRPr="00380EE9" w:rsidRDefault="00380EE9" w:rsidP="00380EE9">
      <w:pPr>
        <w:spacing w:before="120" w:after="0" w:line="271" w:lineRule="auto"/>
        <w:jc w:val="both"/>
        <w:rPr>
          <w:rFonts w:ascii="Arial" w:hAnsi="Arial" w:cs="Arial"/>
          <w:sz w:val="20"/>
          <w:szCs w:val="20"/>
        </w:rPr>
      </w:pPr>
      <w:r>
        <w:rPr>
          <w:rFonts w:ascii="Arial" w:hAnsi="Arial" w:cs="Arial"/>
          <w:sz w:val="20"/>
          <w:szCs w:val="20"/>
        </w:rPr>
        <w:t>Phương Linh</w:t>
      </w:r>
    </w:p>
    <w:sectPr w:rsidR="00380EE9" w:rsidRPr="00380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4D"/>
    <w:rsid w:val="00031E8B"/>
    <w:rsid w:val="00092217"/>
    <w:rsid w:val="00092F05"/>
    <w:rsid w:val="00185CCE"/>
    <w:rsid w:val="001C025C"/>
    <w:rsid w:val="00281D35"/>
    <w:rsid w:val="00306917"/>
    <w:rsid w:val="003769A0"/>
    <w:rsid w:val="00380EE9"/>
    <w:rsid w:val="003C1035"/>
    <w:rsid w:val="004120FB"/>
    <w:rsid w:val="0047380A"/>
    <w:rsid w:val="004C772C"/>
    <w:rsid w:val="0065141A"/>
    <w:rsid w:val="00686A37"/>
    <w:rsid w:val="006A3B71"/>
    <w:rsid w:val="006B059A"/>
    <w:rsid w:val="006D6C4D"/>
    <w:rsid w:val="00700731"/>
    <w:rsid w:val="008864C0"/>
    <w:rsid w:val="008D6171"/>
    <w:rsid w:val="0095492A"/>
    <w:rsid w:val="009C5356"/>
    <w:rsid w:val="00A6609E"/>
    <w:rsid w:val="00B20869"/>
    <w:rsid w:val="00B71BAB"/>
    <w:rsid w:val="00B835EF"/>
    <w:rsid w:val="00CA4F79"/>
    <w:rsid w:val="00D75FB7"/>
    <w:rsid w:val="00E404E2"/>
    <w:rsid w:val="00E70F80"/>
    <w:rsid w:val="00EA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12980-7E84-4A63-940B-A03B0BEA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5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86A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A37"/>
    <w:rPr>
      <w:rFonts w:ascii="Times New Roman" w:eastAsia="Times New Roman" w:hAnsi="Times New Roman" w:cs="Times New Roman"/>
      <w:b/>
      <w:bCs/>
      <w:sz w:val="36"/>
      <w:szCs w:val="36"/>
    </w:rPr>
  </w:style>
  <w:style w:type="paragraph" w:styleId="NormalWeb">
    <w:name w:val="Normal (Web)"/>
    <w:basedOn w:val="Normal"/>
    <w:uiPriority w:val="99"/>
    <w:unhideWhenUsed/>
    <w:rsid w:val="00686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A37"/>
    <w:rPr>
      <w:b/>
      <w:bCs/>
    </w:rPr>
  </w:style>
  <w:style w:type="character" w:styleId="Emphasis">
    <w:name w:val="Emphasis"/>
    <w:basedOn w:val="DefaultParagraphFont"/>
    <w:uiPriority w:val="20"/>
    <w:qFormat/>
    <w:rsid w:val="00686A37"/>
    <w:rPr>
      <w:i/>
      <w:iCs/>
    </w:rPr>
  </w:style>
  <w:style w:type="character" w:customStyle="1" w:styleId="Heading1Char">
    <w:name w:val="Heading 1 Char"/>
    <w:basedOn w:val="DefaultParagraphFont"/>
    <w:link w:val="Heading1"/>
    <w:uiPriority w:val="9"/>
    <w:rsid w:val="009C53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A1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2497">
      <w:bodyDiv w:val="1"/>
      <w:marLeft w:val="0"/>
      <w:marRight w:val="0"/>
      <w:marTop w:val="0"/>
      <w:marBottom w:val="0"/>
      <w:divBdr>
        <w:top w:val="none" w:sz="0" w:space="0" w:color="auto"/>
        <w:left w:val="none" w:sz="0" w:space="0" w:color="auto"/>
        <w:bottom w:val="none" w:sz="0" w:space="0" w:color="auto"/>
        <w:right w:val="none" w:sz="0" w:space="0" w:color="auto"/>
      </w:divBdr>
    </w:div>
    <w:div w:id="1169638424">
      <w:bodyDiv w:val="1"/>
      <w:marLeft w:val="0"/>
      <w:marRight w:val="0"/>
      <w:marTop w:val="0"/>
      <w:marBottom w:val="0"/>
      <w:divBdr>
        <w:top w:val="none" w:sz="0" w:space="0" w:color="auto"/>
        <w:left w:val="none" w:sz="0" w:space="0" w:color="auto"/>
        <w:bottom w:val="none" w:sz="0" w:space="0" w:color="auto"/>
        <w:right w:val="none" w:sz="0" w:space="0" w:color="auto"/>
      </w:divBdr>
    </w:div>
    <w:div w:id="1241258344">
      <w:bodyDiv w:val="1"/>
      <w:marLeft w:val="0"/>
      <w:marRight w:val="0"/>
      <w:marTop w:val="0"/>
      <w:marBottom w:val="0"/>
      <w:divBdr>
        <w:top w:val="none" w:sz="0" w:space="0" w:color="auto"/>
        <w:left w:val="none" w:sz="0" w:space="0" w:color="auto"/>
        <w:bottom w:val="none" w:sz="0" w:space="0" w:color="auto"/>
        <w:right w:val="none" w:sz="0" w:space="0" w:color="auto"/>
      </w:divBdr>
    </w:div>
    <w:div w:id="1617441792">
      <w:bodyDiv w:val="1"/>
      <w:marLeft w:val="0"/>
      <w:marRight w:val="0"/>
      <w:marTop w:val="0"/>
      <w:marBottom w:val="0"/>
      <w:divBdr>
        <w:top w:val="none" w:sz="0" w:space="0" w:color="auto"/>
        <w:left w:val="none" w:sz="0" w:space="0" w:color="auto"/>
        <w:bottom w:val="none" w:sz="0" w:space="0" w:color="auto"/>
        <w:right w:val="none" w:sz="0" w:space="0" w:color="auto"/>
      </w:divBdr>
    </w:div>
    <w:div w:id="1766342192">
      <w:bodyDiv w:val="1"/>
      <w:marLeft w:val="0"/>
      <w:marRight w:val="0"/>
      <w:marTop w:val="0"/>
      <w:marBottom w:val="0"/>
      <w:divBdr>
        <w:top w:val="none" w:sz="0" w:space="0" w:color="auto"/>
        <w:left w:val="none" w:sz="0" w:space="0" w:color="auto"/>
        <w:bottom w:val="none" w:sz="0" w:space="0" w:color="auto"/>
        <w:right w:val="none" w:sz="0" w:space="0" w:color="auto"/>
      </w:divBdr>
    </w:div>
    <w:div w:id="1814784544">
      <w:bodyDiv w:val="1"/>
      <w:marLeft w:val="0"/>
      <w:marRight w:val="0"/>
      <w:marTop w:val="0"/>
      <w:marBottom w:val="0"/>
      <w:divBdr>
        <w:top w:val="none" w:sz="0" w:space="0" w:color="auto"/>
        <w:left w:val="none" w:sz="0" w:space="0" w:color="auto"/>
        <w:bottom w:val="none" w:sz="0" w:space="0" w:color="auto"/>
        <w:right w:val="none" w:sz="0" w:space="0" w:color="auto"/>
      </w:divBdr>
    </w:div>
    <w:div w:id="1859074377">
      <w:bodyDiv w:val="1"/>
      <w:marLeft w:val="0"/>
      <w:marRight w:val="0"/>
      <w:marTop w:val="0"/>
      <w:marBottom w:val="0"/>
      <w:divBdr>
        <w:top w:val="none" w:sz="0" w:space="0" w:color="auto"/>
        <w:left w:val="none" w:sz="0" w:space="0" w:color="auto"/>
        <w:bottom w:val="none" w:sz="0" w:space="0" w:color="auto"/>
        <w:right w:val="none" w:sz="0" w:space="0" w:color="auto"/>
      </w:divBdr>
    </w:div>
    <w:div w:id="20587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30</cp:revision>
  <cp:lastPrinted>2018-12-24T02:12:00Z</cp:lastPrinted>
  <dcterms:created xsi:type="dcterms:W3CDTF">2018-12-21T08:01:00Z</dcterms:created>
  <dcterms:modified xsi:type="dcterms:W3CDTF">2019-02-01T02:37:00Z</dcterms:modified>
</cp:coreProperties>
</file>