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9E5" w:rsidRPr="00614C55" w:rsidRDefault="00264C4E" w:rsidP="00614C55">
      <w:pPr>
        <w:spacing w:before="120" w:after="0" w:line="240" w:lineRule="auto"/>
        <w:jc w:val="both"/>
        <w:rPr>
          <w:rFonts w:ascii="Arial" w:hAnsi="Arial" w:cs="Arial"/>
          <w:sz w:val="20"/>
          <w:szCs w:val="20"/>
        </w:rPr>
      </w:pPr>
      <w:bookmarkStart w:id="0" w:name="_GoBack"/>
      <w:bookmarkEnd w:id="0"/>
      <w:r w:rsidRPr="00614C55">
        <w:rPr>
          <w:rFonts w:ascii="Arial" w:hAnsi="Arial" w:cs="Arial"/>
          <w:sz w:val="20"/>
          <w:szCs w:val="20"/>
        </w:rPr>
        <w:t>Báo cáo nhấn mạnh</w:t>
      </w:r>
      <w:r w:rsidR="001C3CD2" w:rsidRPr="00614C55">
        <w:rPr>
          <w:rFonts w:ascii="Arial" w:hAnsi="Arial" w:cs="Arial"/>
          <w:sz w:val="20"/>
          <w:szCs w:val="20"/>
        </w:rPr>
        <w:t xml:space="preserve">, </w:t>
      </w:r>
      <w:r w:rsidR="00A359E5" w:rsidRPr="00614C55">
        <w:rPr>
          <w:rFonts w:ascii="Arial" w:hAnsi="Arial" w:cs="Arial"/>
          <w:sz w:val="20"/>
          <w:szCs w:val="20"/>
        </w:rPr>
        <w:t>gần 60% mặt hàng hóa tiếp tục mất giá do những lo ngại về xu hướng giảm tốc kinh tế toàn cầu. Những rối loạn về môi trường kinh tế vĩ mô hiện hành, trong đó thương mại và công nghiệp chế tạo giảm sâu, đang cản trở nhu cầu về hàng hóa.</w:t>
      </w:r>
    </w:p>
    <w:p w:rsidR="00A359E5" w:rsidRPr="00614C55" w:rsidRDefault="00A359E5" w:rsidP="00614C55">
      <w:pPr>
        <w:spacing w:before="120" w:after="0" w:line="240" w:lineRule="auto"/>
        <w:rPr>
          <w:rFonts w:ascii="Arial" w:hAnsi="Arial" w:cs="Arial"/>
          <w:b/>
          <w:i/>
          <w:sz w:val="20"/>
          <w:szCs w:val="20"/>
        </w:rPr>
      </w:pPr>
      <w:r w:rsidRPr="00614C55">
        <w:rPr>
          <w:rFonts w:ascii="Arial" w:hAnsi="Arial" w:cs="Arial"/>
          <w:b/>
          <w:i/>
          <w:sz w:val="20"/>
          <w:szCs w:val="20"/>
        </w:rPr>
        <w:t>Chỉ số giá cả</w:t>
      </w:r>
      <w:r w:rsidR="00FB7893" w:rsidRPr="00614C55">
        <w:rPr>
          <w:rFonts w:ascii="Arial" w:hAnsi="Arial" w:cs="Arial"/>
          <w:b/>
          <w:i/>
          <w:sz w:val="20"/>
          <w:szCs w:val="20"/>
        </w:rPr>
        <w:t xml:space="preserve"> danh nghĩa và</w:t>
      </w:r>
      <w:r w:rsidRPr="00614C55">
        <w:rPr>
          <w:rFonts w:ascii="Arial" w:hAnsi="Arial" w:cs="Arial"/>
          <w:b/>
          <w:i/>
          <w:sz w:val="20"/>
          <w:szCs w:val="20"/>
        </w:rPr>
        <w:t xml:space="preserve"> dự báo</w:t>
      </w:r>
    </w:p>
    <w:tbl>
      <w:tblPr>
        <w:tblStyle w:val="TableGrid"/>
        <w:tblW w:w="0" w:type="auto"/>
        <w:tblInd w:w="108" w:type="dxa"/>
        <w:tblLayout w:type="fixed"/>
        <w:tblLook w:val="04A0" w:firstRow="1" w:lastRow="0" w:firstColumn="1" w:lastColumn="0" w:noHBand="0" w:noVBand="1"/>
      </w:tblPr>
      <w:tblGrid>
        <w:gridCol w:w="2250"/>
        <w:gridCol w:w="810"/>
        <w:gridCol w:w="810"/>
        <w:gridCol w:w="810"/>
        <w:gridCol w:w="810"/>
        <w:gridCol w:w="810"/>
        <w:gridCol w:w="810"/>
        <w:gridCol w:w="780"/>
        <w:gridCol w:w="750"/>
        <w:gridCol w:w="720"/>
      </w:tblGrid>
      <w:tr w:rsidR="00264C4E" w:rsidRPr="00614C55" w:rsidTr="002F0B01">
        <w:tc>
          <w:tcPr>
            <w:tcW w:w="2250" w:type="dxa"/>
          </w:tcPr>
          <w:p w:rsidR="00A359E5" w:rsidRPr="00614C55" w:rsidRDefault="00A359E5" w:rsidP="00614C55">
            <w:pPr>
              <w:spacing w:before="120"/>
              <w:rPr>
                <w:rFonts w:ascii="Arial" w:hAnsi="Arial" w:cs="Arial"/>
                <w:b/>
                <w:sz w:val="20"/>
                <w:szCs w:val="20"/>
              </w:rPr>
            </w:pPr>
          </w:p>
        </w:tc>
        <w:tc>
          <w:tcPr>
            <w:tcW w:w="4050" w:type="dxa"/>
            <w:gridSpan w:val="5"/>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Chỉ số giá cả (2010=100)</w:t>
            </w:r>
          </w:p>
        </w:tc>
        <w:tc>
          <w:tcPr>
            <w:tcW w:w="1590" w:type="dxa"/>
            <w:gridSpan w:val="2"/>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Tăng/giảm *</w:t>
            </w:r>
          </w:p>
        </w:tc>
        <w:tc>
          <w:tcPr>
            <w:tcW w:w="1470" w:type="dxa"/>
            <w:gridSpan w:val="2"/>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Thay đổi **</w:t>
            </w:r>
          </w:p>
        </w:tc>
      </w:tr>
      <w:tr w:rsidR="00264C4E" w:rsidRPr="00614C55" w:rsidTr="002F0B01">
        <w:tc>
          <w:tcPr>
            <w:tcW w:w="2250" w:type="dxa"/>
          </w:tcPr>
          <w:p w:rsidR="00A359E5" w:rsidRPr="00614C55" w:rsidRDefault="00A359E5" w:rsidP="00614C55">
            <w:pPr>
              <w:spacing w:before="120"/>
              <w:rPr>
                <w:rFonts w:ascii="Arial" w:hAnsi="Arial" w:cs="Arial"/>
                <w:b/>
                <w:sz w:val="20"/>
                <w:szCs w:val="20"/>
              </w:rPr>
            </w:pPr>
            <w:r w:rsidRPr="00614C55">
              <w:rPr>
                <w:rFonts w:ascii="Arial" w:hAnsi="Arial" w:cs="Arial"/>
                <w:b/>
                <w:sz w:val="20"/>
                <w:szCs w:val="20"/>
              </w:rPr>
              <w:t>Các loại hàng hóa</w:t>
            </w:r>
          </w:p>
        </w:tc>
        <w:tc>
          <w:tcPr>
            <w:tcW w:w="810" w:type="dxa"/>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2016</w:t>
            </w:r>
          </w:p>
        </w:tc>
        <w:tc>
          <w:tcPr>
            <w:tcW w:w="810" w:type="dxa"/>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2017</w:t>
            </w:r>
          </w:p>
        </w:tc>
        <w:tc>
          <w:tcPr>
            <w:tcW w:w="810" w:type="dxa"/>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2018</w:t>
            </w:r>
          </w:p>
        </w:tc>
        <w:tc>
          <w:tcPr>
            <w:tcW w:w="810" w:type="dxa"/>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2019</w:t>
            </w:r>
          </w:p>
        </w:tc>
        <w:tc>
          <w:tcPr>
            <w:tcW w:w="810" w:type="dxa"/>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2020</w:t>
            </w:r>
          </w:p>
        </w:tc>
        <w:tc>
          <w:tcPr>
            <w:tcW w:w="810" w:type="dxa"/>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2019</w:t>
            </w:r>
          </w:p>
        </w:tc>
        <w:tc>
          <w:tcPr>
            <w:tcW w:w="780" w:type="dxa"/>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2020</w:t>
            </w:r>
          </w:p>
        </w:tc>
        <w:tc>
          <w:tcPr>
            <w:tcW w:w="750" w:type="dxa"/>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2019</w:t>
            </w:r>
          </w:p>
        </w:tc>
        <w:tc>
          <w:tcPr>
            <w:tcW w:w="720" w:type="dxa"/>
          </w:tcPr>
          <w:p w:rsidR="00A359E5" w:rsidRPr="00614C55" w:rsidRDefault="00A359E5" w:rsidP="00614C55">
            <w:pPr>
              <w:spacing w:before="120"/>
              <w:jc w:val="center"/>
              <w:rPr>
                <w:rFonts w:ascii="Arial" w:hAnsi="Arial" w:cs="Arial"/>
                <w:b/>
                <w:sz w:val="20"/>
                <w:szCs w:val="20"/>
              </w:rPr>
            </w:pPr>
            <w:r w:rsidRPr="00614C55">
              <w:rPr>
                <w:rFonts w:ascii="Arial" w:hAnsi="Arial" w:cs="Arial"/>
                <w:b/>
                <w:sz w:val="20"/>
                <w:szCs w:val="20"/>
              </w:rPr>
              <w:t>2020</w:t>
            </w:r>
          </w:p>
        </w:tc>
      </w:tr>
      <w:tr w:rsidR="00264C4E" w:rsidRPr="00614C55" w:rsidTr="002F0B01">
        <w:tc>
          <w:tcPr>
            <w:tcW w:w="2250" w:type="dxa"/>
          </w:tcPr>
          <w:p w:rsidR="00A359E5" w:rsidRPr="00614C55" w:rsidRDefault="00A359E5" w:rsidP="00614C55">
            <w:pPr>
              <w:spacing w:before="120"/>
              <w:rPr>
                <w:rFonts w:ascii="Arial" w:hAnsi="Arial" w:cs="Arial"/>
                <w:sz w:val="20"/>
                <w:szCs w:val="20"/>
              </w:rPr>
            </w:pPr>
            <w:r w:rsidRPr="00614C55">
              <w:rPr>
                <w:rFonts w:ascii="Arial" w:hAnsi="Arial" w:cs="Arial"/>
                <w:sz w:val="20"/>
                <w:szCs w:val="20"/>
              </w:rPr>
              <w:t>Năng lượng</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55</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68</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87</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74</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72</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-14,6</w:t>
            </w:r>
          </w:p>
        </w:tc>
        <w:tc>
          <w:tcPr>
            <w:tcW w:w="78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-3,1</w:t>
            </w:r>
          </w:p>
        </w:tc>
        <w:tc>
          <w:tcPr>
            <w:tcW w:w="75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-9,2</w:t>
            </w:r>
          </w:p>
        </w:tc>
        <w:tc>
          <w:tcPr>
            <w:tcW w:w="72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-1,7</w:t>
            </w:r>
          </w:p>
        </w:tc>
      </w:tr>
      <w:tr w:rsidR="00264C4E" w:rsidRPr="00614C55" w:rsidTr="002F0B01">
        <w:tc>
          <w:tcPr>
            <w:tcW w:w="2250" w:type="dxa"/>
          </w:tcPr>
          <w:p w:rsidR="00A359E5" w:rsidRPr="00614C55" w:rsidRDefault="00A359E5" w:rsidP="00614C55">
            <w:pPr>
              <w:spacing w:before="120"/>
              <w:rPr>
                <w:rFonts w:ascii="Arial" w:hAnsi="Arial" w:cs="Arial"/>
                <w:sz w:val="20"/>
                <w:szCs w:val="20"/>
              </w:rPr>
            </w:pPr>
            <w:r w:rsidRPr="00614C55">
              <w:rPr>
                <w:rFonts w:ascii="Arial" w:hAnsi="Arial" w:cs="Arial"/>
                <w:sz w:val="20"/>
                <w:szCs w:val="20"/>
              </w:rPr>
              <w:t>Phi năng lượng ***</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79</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84</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85</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81</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81</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-4,7</w:t>
            </w:r>
          </w:p>
        </w:tc>
        <w:tc>
          <w:tcPr>
            <w:tcW w:w="78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0,1</w:t>
            </w:r>
          </w:p>
        </w:tc>
        <w:tc>
          <w:tcPr>
            <w:tcW w:w="75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-2,6</w:t>
            </w:r>
          </w:p>
        </w:tc>
        <w:tc>
          <w:tcPr>
            <w:tcW w:w="72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-1,3</w:t>
            </w:r>
          </w:p>
        </w:tc>
      </w:tr>
      <w:tr w:rsidR="00264C4E" w:rsidRPr="00614C55" w:rsidTr="002F0B01">
        <w:tc>
          <w:tcPr>
            <w:tcW w:w="2250" w:type="dxa"/>
          </w:tcPr>
          <w:p w:rsidR="00A359E5" w:rsidRPr="00614C55" w:rsidRDefault="00A359E5" w:rsidP="00614C55">
            <w:pPr>
              <w:spacing w:before="120"/>
              <w:rPr>
                <w:rFonts w:ascii="Arial" w:hAnsi="Arial" w:cs="Arial"/>
                <w:sz w:val="20"/>
                <w:szCs w:val="20"/>
              </w:rPr>
            </w:pPr>
            <w:r w:rsidRPr="00614C55">
              <w:rPr>
                <w:rFonts w:ascii="Arial" w:hAnsi="Arial" w:cs="Arial"/>
                <w:sz w:val="20"/>
                <w:szCs w:val="20"/>
              </w:rPr>
              <w:t>Nông nghiệp</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87</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87</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87</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83</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83</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-4,7</w:t>
            </w:r>
          </w:p>
        </w:tc>
        <w:tc>
          <w:tcPr>
            <w:tcW w:w="78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0,1</w:t>
            </w:r>
          </w:p>
        </w:tc>
        <w:tc>
          <w:tcPr>
            <w:tcW w:w="75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-2,6</w:t>
            </w:r>
          </w:p>
        </w:tc>
        <w:tc>
          <w:tcPr>
            <w:tcW w:w="72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-1,3</w:t>
            </w:r>
          </w:p>
        </w:tc>
      </w:tr>
      <w:tr w:rsidR="00264C4E" w:rsidRPr="00614C55" w:rsidTr="002F0B01">
        <w:tc>
          <w:tcPr>
            <w:tcW w:w="2250" w:type="dxa"/>
          </w:tcPr>
          <w:p w:rsidR="00A359E5" w:rsidRPr="00614C55" w:rsidRDefault="00A359E5" w:rsidP="00614C55">
            <w:pPr>
              <w:spacing w:before="120"/>
              <w:rPr>
                <w:rFonts w:ascii="Arial" w:hAnsi="Arial" w:cs="Arial"/>
                <w:sz w:val="20"/>
                <w:szCs w:val="20"/>
              </w:rPr>
            </w:pPr>
            <w:r w:rsidRPr="00614C55">
              <w:rPr>
                <w:rFonts w:ascii="Arial" w:hAnsi="Arial" w:cs="Arial"/>
                <w:sz w:val="20"/>
                <w:szCs w:val="20"/>
              </w:rPr>
              <w:t>Phân bón</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78</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74</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82</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82</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84</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-0,6</w:t>
            </w:r>
          </w:p>
        </w:tc>
        <w:tc>
          <w:tcPr>
            <w:tcW w:w="78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2,2</w:t>
            </w:r>
          </w:p>
        </w:tc>
        <w:tc>
          <w:tcPr>
            <w:tcW w:w="75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-5,3</w:t>
            </w:r>
          </w:p>
        </w:tc>
        <w:tc>
          <w:tcPr>
            <w:tcW w:w="72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0,5</w:t>
            </w:r>
          </w:p>
        </w:tc>
      </w:tr>
      <w:tr w:rsidR="00264C4E" w:rsidRPr="00614C55" w:rsidTr="002F0B01">
        <w:tc>
          <w:tcPr>
            <w:tcW w:w="2250" w:type="dxa"/>
          </w:tcPr>
          <w:p w:rsidR="00A359E5" w:rsidRPr="00614C55" w:rsidRDefault="00A359E5" w:rsidP="00614C55">
            <w:pPr>
              <w:spacing w:before="120"/>
              <w:rPr>
                <w:rFonts w:ascii="Arial" w:hAnsi="Arial" w:cs="Arial"/>
                <w:sz w:val="20"/>
                <w:szCs w:val="20"/>
              </w:rPr>
            </w:pPr>
            <w:r w:rsidRPr="00614C55">
              <w:rPr>
                <w:rFonts w:ascii="Arial" w:hAnsi="Arial" w:cs="Arial"/>
                <w:sz w:val="20"/>
                <w:szCs w:val="20"/>
              </w:rPr>
              <w:t>Kim loại, khoáng sản</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63</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78</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83</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78</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77</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-5,2</w:t>
            </w:r>
          </w:p>
        </w:tc>
        <w:tc>
          <w:tcPr>
            <w:tcW w:w="78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-1,4</w:t>
            </w:r>
          </w:p>
        </w:tc>
        <w:tc>
          <w:tcPr>
            <w:tcW w:w="75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-3,4</w:t>
            </w:r>
          </w:p>
        </w:tc>
        <w:tc>
          <w:tcPr>
            <w:tcW w:w="72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-2,1</w:t>
            </w:r>
          </w:p>
        </w:tc>
      </w:tr>
      <w:tr w:rsidR="00264C4E" w:rsidRPr="00614C55" w:rsidTr="002F0B01">
        <w:tc>
          <w:tcPr>
            <w:tcW w:w="2250" w:type="dxa"/>
          </w:tcPr>
          <w:p w:rsidR="00A359E5" w:rsidRPr="00614C55" w:rsidRDefault="00A359E5" w:rsidP="00614C55">
            <w:pPr>
              <w:spacing w:before="120"/>
              <w:rPr>
                <w:rFonts w:ascii="Arial" w:hAnsi="Arial" w:cs="Arial"/>
                <w:sz w:val="20"/>
                <w:szCs w:val="20"/>
              </w:rPr>
            </w:pPr>
            <w:r w:rsidRPr="00614C55">
              <w:rPr>
                <w:rFonts w:ascii="Arial" w:hAnsi="Arial" w:cs="Arial"/>
                <w:sz w:val="20"/>
                <w:szCs w:val="20"/>
              </w:rPr>
              <w:t>Kim loại quý</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97</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98</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97</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105</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111</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8,3</w:t>
            </w:r>
          </w:p>
        </w:tc>
        <w:tc>
          <w:tcPr>
            <w:tcW w:w="78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5,6</w:t>
            </w:r>
          </w:p>
        </w:tc>
        <w:tc>
          <w:tcPr>
            <w:tcW w:w="75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5,8</w:t>
            </w:r>
          </w:p>
        </w:tc>
        <w:tc>
          <w:tcPr>
            <w:tcW w:w="72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2,5</w:t>
            </w:r>
          </w:p>
        </w:tc>
      </w:tr>
      <w:tr w:rsidR="00264C4E" w:rsidRPr="00614C55" w:rsidTr="002F0B01">
        <w:tc>
          <w:tcPr>
            <w:tcW w:w="2250" w:type="dxa"/>
          </w:tcPr>
          <w:p w:rsidR="00A359E5" w:rsidRPr="00614C55" w:rsidRDefault="00A359E5" w:rsidP="00614C55">
            <w:pPr>
              <w:spacing w:before="120"/>
              <w:rPr>
                <w:rFonts w:ascii="Arial" w:hAnsi="Arial" w:cs="Arial"/>
                <w:sz w:val="20"/>
                <w:szCs w:val="20"/>
              </w:rPr>
            </w:pPr>
            <w:r w:rsidRPr="00614C55">
              <w:rPr>
                <w:rFonts w:ascii="Arial" w:hAnsi="Arial" w:cs="Arial"/>
                <w:sz w:val="20"/>
                <w:szCs w:val="20"/>
              </w:rPr>
              <w:t>Giá dầu (USD/thùng)</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43</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53</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68</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60</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58</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-12,2</w:t>
            </w:r>
          </w:p>
        </w:tc>
        <w:tc>
          <w:tcPr>
            <w:tcW w:w="78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-3,3</w:t>
            </w:r>
          </w:p>
        </w:tc>
        <w:tc>
          <w:tcPr>
            <w:tcW w:w="75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-8,8</w:t>
            </w:r>
          </w:p>
        </w:tc>
        <w:tc>
          <w:tcPr>
            <w:tcW w:w="72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-1,8</w:t>
            </w:r>
          </w:p>
        </w:tc>
      </w:tr>
      <w:tr w:rsidR="00264C4E" w:rsidRPr="00614C55" w:rsidTr="002F0B01">
        <w:tc>
          <w:tcPr>
            <w:tcW w:w="2250" w:type="dxa"/>
          </w:tcPr>
          <w:p w:rsidR="00A359E5" w:rsidRPr="00614C55" w:rsidRDefault="00A359E5" w:rsidP="00614C55">
            <w:pPr>
              <w:spacing w:before="120"/>
              <w:rPr>
                <w:rFonts w:ascii="Arial" w:hAnsi="Arial" w:cs="Arial"/>
                <w:sz w:val="20"/>
                <w:szCs w:val="20"/>
              </w:rPr>
            </w:pPr>
            <w:r w:rsidRPr="00614C55">
              <w:rPr>
                <w:rFonts w:ascii="Arial" w:hAnsi="Arial" w:cs="Arial"/>
                <w:sz w:val="20"/>
                <w:szCs w:val="20"/>
              </w:rPr>
              <w:t>Giá vàng (USD/oz)</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1.249</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1.258</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1.269</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1.390</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1.470</w:t>
            </w:r>
          </w:p>
        </w:tc>
        <w:tc>
          <w:tcPr>
            <w:tcW w:w="81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9,5</w:t>
            </w:r>
          </w:p>
        </w:tc>
        <w:tc>
          <w:tcPr>
            <w:tcW w:w="78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5,8</w:t>
            </w:r>
          </w:p>
        </w:tc>
        <w:tc>
          <w:tcPr>
            <w:tcW w:w="75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6,3</w:t>
            </w:r>
          </w:p>
        </w:tc>
        <w:tc>
          <w:tcPr>
            <w:tcW w:w="720" w:type="dxa"/>
          </w:tcPr>
          <w:p w:rsidR="00A359E5" w:rsidRPr="00614C55" w:rsidRDefault="00A359E5" w:rsidP="00614C55">
            <w:pPr>
              <w:spacing w:before="120"/>
              <w:jc w:val="center"/>
              <w:rPr>
                <w:rFonts w:ascii="Arial" w:hAnsi="Arial" w:cs="Arial"/>
                <w:sz w:val="20"/>
                <w:szCs w:val="20"/>
              </w:rPr>
            </w:pPr>
            <w:r w:rsidRPr="00614C55">
              <w:rPr>
                <w:rFonts w:ascii="Arial" w:hAnsi="Arial" w:cs="Arial"/>
                <w:sz w:val="20"/>
                <w:szCs w:val="20"/>
              </w:rPr>
              <w:t>1,9</w:t>
            </w:r>
          </w:p>
        </w:tc>
      </w:tr>
    </w:tbl>
    <w:p w:rsidR="00A359E5" w:rsidRPr="00614C55" w:rsidRDefault="00A359E5" w:rsidP="00614C55">
      <w:pPr>
        <w:spacing w:before="120" w:after="0" w:line="240" w:lineRule="auto"/>
        <w:ind w:firstLine="360"/>
        <w:rPr>
          <w:rFonts w:ascii="Arial" w:hAnsi="Arial" w:cs="Arial"/>
          <w:i/>
          <w:sz w:val="20"/>
          <w:szCs w:val="20"/>
        </w:rPr>
      </w:pPr>
      <w:r w:rsidRPr="00614C55">
        <w:rPr>
          <w:rFonts w:ascii="Arial" w:hAnsi="Arial" w:cs="Arial"/>
          <w:i/>
          <w:sz w:val="20"/>
          <w:szCs w:val="20"/>
        </w:rPr>
        <w:t>Nguồn: WB tháng 10/2019;</w:t>
      </w:r>
    </w:p>
    <w:p w:rsidR="00A359E5" w:rsidRPr="00614C55" w:rsidRDefault="00A359E5" w:rsidP="00614C55">
      <w:pPr>
        <w:spacing w:before="120" w:after="0" w:line="240" w:lineRule="auto"/>
        <w:ind w:firstLine="360"/>
        <w:rPr>
          <w:rFonts w:ascii="Arial" w:hAnsi="Arial" w:cs="Arial"/>
          <w:i/>
          <w:sz w:val="20"/>
          <w:szCs w:val="20"/>
        </w:rPr>
      </w:pPr>
      <w:r w:rsidRPr="00614C55">
        <w:rPr>
          <w:rFonts w:ascii="Arial" w:hAnsi="Arial" w:cs="Arial"/>
          <w:i/>
          <w:sz w:val="20"/>
          <w:szCs w:val="20"/>
        </w:rPr>
        <w:t>(*): Tăng/giảm (%) so với năm trước;</w:t>
      </w:r>
    </w:p>
    <w:p w:rsidR="00A359E5" w:rsidRPr="00614C55" w:rsidRDefault="00A359E5" w:rsidP="00614C55">
      <w:pPr>
        <w:spacing w:before="120" w:after="0" w:line="240" w:lineRule="auto"/>
        <w:ind w:firstLine="360"/>
        <w:rPr>
          <w:rFonts w:ascii="Arial" w:hAnsi="Arial" w:cs="Arial"/>
          <w:i/>
          <w:sz w:val="20"/>
          <w:szCs w:val="20"/>
        </w:rPr>
      </w:pPr>
      <w:r w:rsidRPr="00614C55">
        <w:rPr>
          <w:rFonts w:ascii="Arial" w:hAnsi="Arial" w:cs="Arial"/>
          <w:i/>
          <w:sz w:val="20"/>
          <w:szCs w:val="20"/>
        </w:rPr>
        <w:t>(**): Thay đổi so với dự báo tháng 4/2019;</w:t>
      </w:r>
    </w:p>
    <w:p w:rsidR="00A359E5" w:rsidRPr="00614C55" w:rsidRDefault="00A359E5" w:rsidP="00614C55">
      <w:pPr>
        <w:spacing w:before="120" w:after="0" w:line="240" w:lineRule="auto"/>
        <w:ind w:firstLine="360"/>
        <w:rPr>
          <w:rFonts w:ascii="Arial" w:hAnsi="Arial" w:cs="Arial"/>
          <w:i/>
          <w:sz w:val="20"/>
          <w:szCs w:val="20"/>
        </w:rPr>
      </w:pPr>
      <w:r w:rsidRPr="00614C55">
        <w:rPr>
          <w:rFonts w:ascii="Arial" w:hAnsi="Arial" w:cs="Arial"/>
          <w:i/>
          <w:sz w:val="20"/>
          <w:szCs w:val="20"/>
        </w:rPr>
        <w:t>(***): Không tính giá kim loại quý.</w:t>
      </w:r>
    </w:p>
    <w:p w:rsidR="00A359E5" w:rsidRPr="00614C55" w:rsidRDefault="00DA39DE" w:rsidP="00614C55">
      <w:pPr>
        <w:spacing w:before="120" w:after="0" w:line="240" w:lineRule="auto"/>
        <w:jc w:val="both"/>
        <w:rPr>
          <w:rFonts w:ascii="Arial" w:hAnsi="Arial" w:cs="Arial"/>
          <w:sz w:val="20"/>
          <w:szCs w:val="20"/>
        </w:rPr>
      </w:pPr>
      <w:r w:rsidRPr="00614C55">
        <w:rPr>
          <w:rFonts w:ascii="Arial" w:hAnsi="Arial" w:cs="Arial"/>
          <w:sz w:val="20"/>
          <w:szCs w:val="20"/>
        </w:rPr>
        <w:t xml:space="preserve">Trong quý III/2019, giá năng lượng giảm trên 8% so với quý trước, từ mặt hàng xăng dầu, đến than đá và khí đốt tự nhiên. Như vậy, giá cả các mặt hàng năng lượng đã giảm xuống mức giá thấp nhất trong vòng 2 năm qua. Trong đó, giá dầu dao động quanh ngưỡng trung bình 60 USD/thùng, giảm trên 8% so với quý trước, </w:t>
      </w:r>
      <w:r w:rsidR="00A359E5" w:rsidRPr="00614C55">
        <w:rPr>
          <w:rFonts w:ascii="Arial" w:hAnsi="Arial" w:cs="Arial"/>
          <w:sz w:val="20"/>
          <w:szCs w:val="20"/>
        </w:rPr>
        <w:t>bất chấp vụ tấn công vào cơ sở lọc dầu tại Arập Xê út, sản lượng dầu tại Mỹ giả</w:t>
      </w:r>
      <w:r w:rsidRPr="00614C55">
        <w:rPr>
          <w:rFonts w:ascii="Arial" w:hAnsi="Arial" w:cs="Arial"/>
          <w:sz w:val="20"/>
          <w:szCs w:val="20"/>
        </w:rPr>
        <w:t>m sâu</w:t>
      </w:r>
      <w:r w:rsidR="00A359E5" w:rsidRPr="00614C55">
        <w:rPr>
          <w:rFonts w:ascii="Arial" w:hAnsi="Arial" w:cs="Arial"/>
          <w:sz w:val="20"/>
          <w:szCs w:val="20"/>
        </w:rPr>
        <w:t xml:space="preserve"> so với đỉnh cao đạt được trong năm 2018, và Tổ chức các nước xuất khẩu dầu mỏ (OPEC) cùng các đối tác nhất trí tiếp tục cắt giảm sản lượng dầu cung cấp. Trong khi nguồn cung giảm, nhu cầu còn ghi nhận mức suy giảm sâu hơn với dự báo giảm khoảng 1% (1 triệu thùng/ngày) - mức thấp nhất kể từ năm 2012.</w:t>
      </w:r>
      <w:r w:rsidRPr="00614C55">
        <w:rPr>
          <w:rFonts w:ascii="Arial" w:hAnsi="Arial" w:cs="Arial"/>
          <w:sz w:val="20"/>
          <w:szCs w:val="20"/>
        </w:rPr>
        <w:t xml:space="preserve"> </w:t>
      </w:r>
    </w:p>
    <w:p w:rsidR="00A359E5" w:rsidRPr="00614C55" w:rsidRDefault="00A359E5" w:rsidP="00614C55">
      <w:pPr>
        <w:spacing w:before="120" w:after="0" w:line="240" w:lineRule="auto"/>
        <w:jc w:val="both"/>
        <w:rPr>
          <w:rFonts w:ascii="Arial" w:hAnsi="Arial" w:cs="Arial"/>
          <w:sz w:val="20"/>
          <w:szCs w:val="20"/>
        </w:rPr>
      </w:pPr>
      <w:r w:rsidRPr="00614C55">
        <w:rPr>
          <w:rFonts w:ascii="Arial" w:hAnsi="Arial" w:cs="Arial"/>
          <w:sz w:val="20"/>
          <w:szCs w:val="20"/>
        </w:rPr>
        <w:t xml:space="preserve">Theo dự báo, giá dầu sẽ giảm từ mức trung bình 68 USD/thùng trong năm 2018 xuống mức giá 60 USD/thùng trong năm nay và 58 USD/thùng trong năm 2020, nguyên nhân là do những lo ngại về triển vọng kinh tế toàn cầu và sản lượng dầu </w:t>
      </w:r>
      <w:r w:rsidR="00DA39DE" w:rsidRPr="00614C55">
        <w:rPr>
          <w:rFonts w:ascii="Arial" w:hAnsi="Arial" w:cs="Arial"/>
          <w:sz w:val="20"/>
          <w:szCs w:val="20"/>
        </w:rPr>
        <w:t xml:space="preserve">cung ứng </w:t>
      </w:r>
      <w:r w:rsidRPr="00614C55">
        <w:rPr>
          <w:rFonts w:ascii="Arial" w:hAnsi="Arial" w:cs="Arial"/>
          <w:sz w:val="20"/>
          <w:szCs w:val="20"/>
        </w:rPr>
        <w:t>sẽ lấn át nhu cầu trên thị trường. Tương tự, giá than đá được dự báo tiếp tục giảm. Trái lại, giá khí đốt tự nhiên được dự báo sẽ ổn định cho tới năm 2020, chủ yếu là nhờ nhu cầu tăng cao.</w:t>
      </w:r>
    </w:p>
    <w:p w:rsidR="00A359E5" w:rsidRPr="00614C55" w:rsidRDefault="00A359E5" w:rsidP="00614C55">
      <w:pPr>
        <w:spacing w:before="120" w:after="0" w:line="240" w:lineRule="auto"/>
        <w:jc w:val="both"/>
        <w:rPr>
          <w:rFonts w:ascii="Arial" w:hAnsi="Arial" w:cs="Arial"/>
          <w:sz w:val="20"/>
          <w:szCs w:val="20"/>
        </w:rPr>
      </w:pPr>
      <w:r w:rsidRPr="00614C55">
        <w:rPr>
          <w:rFonts w:ascii="Arial" w:hAnsi="Arial" w:cs="Arial"/>
          <w:sz w:val="20"/>
          <w:szCs w:val="20"/>
        </w:rPr>
        <w:t>Trong quý III/2019, giá khí đốt tự nhiên và giá than lần lượt giảm 7% và 12% so với quý trước, giảm 1/3 và 2/5 so với cùng kỳ năm trước. Về khí đốt tự nhiên, sự bùng nổ các hoạt động khai thác dầu đá phiến tại Mỹ đã làm tăng sản lượng khí đốt với mức tăng khoảng 10% trong năm 2019, sau khi tăng 12% trong năm 2018. Mặc dù nhu cầu tăng vững, nhưng sản lượng tăng cao đã gây áp lực giảm giá, buộc các doanh nghiệp Mỹ phải mở rộng xuất khẩu. Theo báo cáo tháng 10/2019 của Cơ quan Thông tin năng lượng Mỹ (EIA), xuất khẩu khí đốt tự nhiên từ Mỹ được kỳ vọng sẽ tăng 55% trong năm nay. Về than đá, nhu cầu tiêu thụ than đá tại các nước phát triển có xu hướng giảm sâu, một phần là do các nỗ lực cắt giảm khí thải CO, mặt khác là do giá than đá tại châu Âu tăng cao. Trong khi đó, giá khí đốt ở mức thấp đã khuyến khích các nỗ lực chuyển đổi các nhà máy điện than sang điện khí. Tại các nước đang phát triển, nhu cầu về than đá vẫn ở mức cao, nhấ</w:t>
      </w:r>
      <w:r w:rsidR="00DA39DE" w:rsidRPr="00614C55">
        <w:rPr>
          <w:rFonts w:ascii="Arial" w:hAnsi="Arial" w:cs="Arial"/>
          <w:sz w:val="20"/>
          <w:szCs w:val="20"/>
        </w:rPr>
        <w:t xml:space="preserve">t </w:t>
      </w:r>
      <w:r w:rsidRPr="00614C55">
        <w:rPr>
          <w:rFonts w:ascii="Arial" w:hAnsi="Arial" w:cs="Arial"/>
          <w:sz w:val="20"/>
          <w:szCs w:val="20"/>
        </w:rPr>
        <w:t xml:space="preserve">là tại châu Á, riêng nhu cầu tại Trung Quốc hạn chế do công nghiệp chế tạo giảm tốc.  </w:t>
      </w:r>
    </w:p>
    <w:p w:rsidR="003641D0" w:rsidRPr="00614C55" w:rsidRDefault="00A359E5" w:rsidP="00614C55">
      <w:pPr>
        <w:spacing w:before="120" w:after="0" w:line="240" w:lineRule="auto"/>
        <w:jc w:val="both"/>
        <w:rPr>
          <w:rFonts w:ascii="Arial" w:hAnsi="Arial" w:cs="Arial"/>
          <w:sz w:val="20"/>
          <w:szCs w:val="20"/>
        </w:rPr>
      </w:pPr>
      <w:r w:rsidRPr="00614C55">
        <w:rPr>
          <w:rFonts w:ascii="Arial" w:hAnsi="Arial" w:cs="Arial"/>
          <w:sz w:val="20"/>
          <w:szCs w:val="20"/>
        </w:rPr>
        <w:t xml:space="preserve">Trong </w:t>
      </w:r>
      <w:r w:rsidR="003641D0" w:rsidRPr="00614C55">
        <w:rPr>
          <w:rFonts w:ascii="Arial" w:hAnsi="Arial" w:cs="Arial"/>
          <w:sz w:val="20"/>
          <w:szCs w:val="20"/>
        </w:rPr>
        <w:t>lĩnh vực nông nghiệp</w:t>
      </w:r>
      <w:r w:rsidRPr="00614C55">
        <w:rPr>
          <w:rFonts w:ascii="Arial" w:hAnsi="Arial" w:cs="Arial"/>
          <w:sz w:val="20"/>
          <w:szCs w:val="20"/>
        </w:rPr>
        <w:t>, giá cả của phần lớn các mặ</w:t>
      </w:r>
      <w:r w:rsidR="00DA39DE" w:rsidRPr="00614C55">
        <w:rPr>
          <w:rFonts w:ascii="Arial" w:hAnsi="Arial" w:cs="Arial"/>
          <w:sz w:val="20"/>
          <w:szCs w:val="20"/>
        </w:rPr>
        <w:t>t hàng nông sản</w:t>
      </w:r>
      <w:r w:rsidRPr="00614C55">
        <w:rPr>
          <w:rFonts w:ascii="Arial" w:hAnsi="Arial" w:cs="Arial"/>
          <w:sz w:val="20"/>
          <w:szCs w:val="20"/>
        </w:rPr>
        <w:t xml:space="preserve"> đều ổn đị</w:t>
      </w:r>
      <w:r w:rsidR="003641D0" w:rsidRPr="00614C55">
        <w:rPr>
          <w:rFonts w:ascii="Arial" w:hAnsi="Arial" w:cs="Arial"/>
          <w:sz w:val="20"/>
          <w:szCs w:val="20"/>
        </w:rPr>
        <w:t>nh trong</w:t>
      </w:r>
      <w:r w:rsidRPr="00614C55">
        <w:rPr>
          <w:rFonts w:ascii="Arial" w:hAnsi="Arial" w:cs="Arial"/>
          <w:sz w:val="20"/>
          <w:szCs w:val="20"/>
        </w:rPr>
        <w:t xml:space="preserve"> </w:t>
      </w:r>
      <w:r w:rsidR="003641D0" w:rsidRPr="00614C55">
        <w:rPr>
          <w:rFonts w:ascii="Arial" w:hAnsi="Arial" w:cs="Arial"/>
          <w:sz w:val="20"/>
          <w:szCs w:val="20"/>
        </w:rPr>
        <w:t xml:space="preserve">thời gian gần đây. </w:t>
      </w:r>
      <w:r w:rsidRPr="00614C55">
        <w:rPr>
          <w:rFonts w:ascii="Arial" w:hAnsi="Arial" w:cs="Arial"/>
          <w:sz w:val="20"/>
          <w:szCs w:val="20"/>
        </w:rPr>
        <w:t>Có nhiều yếu tố chi phối giá cả các mặt hàng nông nghiệ</w:t>
      </w:r>
      <w:r w:rsidR="003641D0" w:rsidRPr="00614C55">
        <w:rPr>
          <w:rFonts w:ascii="Arial" w:hAnsi="Arial" w:cs="Arial"/>
          <w:sz w:val="20"/>
          <w:szCs w:val="20"/>
        </w:rPr>
        <w:t>p, b</w:t>
      </w:r>
      <w:r w:rsidRPr="00614C55">
        <w:rPr>
          <w:rFonts w:ascii="Arial" w:hAnsi="Arial" w:cs="Arial"/>
          <w:sz w:val="20"/>
          <w:szCs w:val="20"/>
        </w:rPr>
        <w:t>ao gồm</w:t>
      </w:r>
      <w:r w:rsidR="003641D0" w:rsidRPr="00614C55">
        <w:rPr>
          <w:rFonts w:ascii="Arial" w:hAnsi="Arial" w:cs="Arial"/>
          <w:sz w:val="20"/>
          <w:szCs w:val="20"/>
        </w:rPr>
        <w:t>:</w:t>
      </w:r>
      <w:r w:rsidRPr="00614C55">
        <w:rPr>
          <w:rFonts w:ascii="Arial" w:hAnsi="Arial" w:cs="Arial"/>
          <w:sz w:val="20"/>
          <w:szCs w:val="20"/>
        </w:rPr>
        <w:t xml:space="preserve"> dự trữ một số loại lương thực ở mức cao, nhất là gạo và bột mỳ, điều kiện thời tiết thuận lợi tại các khu vực sản xuất chủ chốt, căng thẳng thương mại kéo dài, giá năng lượng thấp, nhu cầu yếu ớt về một số hàng hóa</w:t>
      </w:r>
      <w:r w:rsidR="003641D0" w:rsidRPr="00614C55">
        <w:rPr>
          <w:rFonts w:ascii="Arial" w:hAnsi="Arial" w:cs="Arial"/>
          <w:sz w:val="20"/>
          <w:szCs w:val="20"/>
        </w:rPr>
        <w:t xml:space="preserve">. Trong quý III/2019, chỉ số giá nông nghiệp giảm gần 2% so với quý trước, và giảm 3,3% so với cùng kỳ năm trước. Theo dự báo, giá cả các mặt hàng nông nghiệp sẽ giảm gần 5% trong năm nay và ổn định trong năm 2020, cùng giảm </w:t>
      </w:r>
      <w:r w:rsidR="003641D0" w:rsidRPr="00614C55">
        <w:rPr>
          <w:rFonts w:ascii="Arial" w:hAnsi="Arial" w:cs="Arial"/>
          <w:sz w:val="20"/>
          <w:szCs w:val="20"/>
        </w:rPr>
        <w:lastRenderedPageBreak/>
        <w:t>tới 2% so với dự báo tháng 4/2019. Yếu tố cơ bản khiến giá nông sản giảm là do căng thẳng thương mại có nguy cơ kéo dài và chi phí đầu vào giảm.</w:t>
      </w:r>
      <w:r w:rsidRPr="00614C55">
        <w:rPr>
          <w:rFonts w:ascii="Arial" w:hAnsi="Arial" w:cs="Arial"/>
          <w:sz w:val="20"/>
          <w:szCs w:val="20"/>
        </w:rPr>
        <w:t xml:space="preserve"> </w:t>
      </w:r>
    </w:p>
    <w:p w:rsidR="00A359E5" w:rsidRPr="00614C55" w:rsidRDefault="003641D0" w:rsidP="00614C55">
      <w:pPr>
        <w:spacing w:before="120" w:after="0" w:line="240" w:lineRule="auto"/>
        <w:jc w:val="both"/>
        <w:rPr>
          <w:rFonts w:ascii="Arial" w:hAnsi="Arial" w:cs="Arial"/>
          <w:sz w:val="20"/>
          <w:szCs w:val="20"/>
        </w:rPr>
      </w:pPr>
      <w:r w:rsidRPr="00614C55">
        <w:rPr>
          <w:rFonts w:ascii="Arial" w:hAnsi="Arial" w:cs="Arial"/>
          <w:sz w:val="20"/>
          <w:szCs w:val="20"/>
        </w:rPr>
        <w:t xml:space="preserve">Về nguyên liệu phục vụ sản xuất nông nghiệp, giá nguyên liệu đầu vào giảm gần 5% trong quý III/2019, giảm trên 4% so với cùng kỳ năm trước. Theo dự báo, giá nguyên liệu đầu vào sẽ giảm 4% trong năm nay, sau đó tiếp tục tăng nhẹ trong năm 2020. </w:t>
      </w:r>
      <w:r w:rsidR="00A359E5" w:rsidRPr="00614C55">
        <w:rPr>
          <w:rFonts w:ascii="Arial" w:hAnsi="Arial" w:cs="Arial"/>
          <w:sz w:val="20"/>
          <w:szCs w:val="20"/>
        </w:rPr>
        <w:t xml:space="preserve"> </w:t>
      </w:r>
    </w:p>
    <w:p w:rsidR="003641D0" w:rsidRPr="00614C55" w:rsidRDefault="003641D0" w:rsidP="00614C55">
      <w:pPr>
        <w:spacing w:before="120" w:after="0" w:line="240" w:lineRule="auto"/>
        <w:jc w:val="both"/>
        <w:rPr>
          <w:rFonts w:ascii="Arial" w:hAnsi="Arial" w:cs="Arial"/>
          <w:sz w:val="20"/>
          <w:szCs w:val="20"/>
        </w:rPr>
      </w:pPr>
      <w:r w:rsidRPr="00614C55">
        <w:rPr>
          <w:rFonts w:ascii="Arial" w:hAnsi="Arial" w:cs="Arial"/>
          <w:sz w:val="20"/>
          <w:szCs w:val="20"/>
        </w:rPr>
        <w:t xml:space="preserve">Về kim loại và khoáng sản, chỉ số giá kim loại và khoáng sản giảm 1,8% trong quý III/2019, chấm dứt hai quý tăng liên tiếp. Nguyên nhân là do hoạt động công nghiệp chế tạo giảm tốc trên </w:t>
      </w:r>
      <w:r w:rsidR="00DA39DE" w:rsidRPr="00614C55">
        <w:rPr>
          <w:rFonts w:ascii="Arial" w:hAnsi="Arial" w:cs="Arial"/>
          <w:sz w:val="20"/>
          <w:szCs w:val="20"/>
        </w:rPr>
        <w:t xml:space="preserve">phạm vi </w:t>
      </w:r>
      <w:r w:rsidRPr="00614C55">
        <w:rPr>
          <w:rFonts w:ascii="Arial" w:hAnsi="Arial" w:cs="Arial"/>
          <w:sz w:val="20"/>
          <w:szCs w:val="20"/>
        </w:rPr>
        <w:t xml:space="preserve">toàn cầu, đàm phán thương mại Mỹ - Trung kéo dài nhưng </w:t>
      </w:r>
      <w:r w:rsidR="00DA39DE" w:rsidRPr="00614C55">
        <w:rPr>
          <w:rFonts w:ascii="Arial" w:hAnsi="Arial" w:cs="Arial"/>
          <w:sz w:val="20"/>
          <w:szCs w:val="20"/>
        </w:rPr>
        <w:t>chưa có</w:t>
      </w:r>
      <w:r w:rsidRPr="00614C55">
        <w:rPr>
          <w:rFonts w:ascii="Arial" w:hAnsi="Arial" w:cs="Arial"/>
          <w:sz w:val="20"/>
          <w:szCs w:val="20"/>
        </w:rPr>
        <w:t xml:space="preserve"> tiến triển đáng kể</w:t>
      </w:r>
      <w:r w:rsidR="00DA39DE" w:rsidRPr="00614C55">
        <w:rPr>
          <w:rFonts w:ascii="Arial" w:hAnsi="Arial" w:cs="Arial"/>
          <w:sz w:val="20"/>
          <w:szCs w:val="20"/>
        </w:rPr>
        <w:t>. Theo d</w:t>
      </w:r>
      <w:r w:rsidRPr="00614C55">
        <w:rPr>
          <w:rFonts w:ascii="Arial" w:hAnsi="Arial" w:cs="Arial"/>
          <w:sz w:val="20"/>
          <w:szCs w:val="20"/>
        </w:rPr>
        <w:t xml:space="preserve">ự báo, nhu cầu yếu </w:t>
      </w:r>
      <w:r w:rsidR="00DA39DE" w:rsidRPr="00614C55">
        <w:rPr>
          <w:rFonts w:ascii="Arial" w:hAnsi="Arial" w:cs="Arial"/>
          <w:sz w:val="20"/>
          <w:szCs w:val="20"/>
        </w:rPr>
        <w:t xml:space="preserve">ớt </w:t>
      </w:r>
      <w:r w:rsidRPr="00614C55">
        <w:rPr>
          <w:rFonts w:ascii="Arial" w:hAnsi="Arial" w:cs="Arial"/>
          <w:sz w:val="20"/>
          <w:szCs w:val="20"/>
        </w:rPr>
        <w:t>sẽ đẩy giá kim loại giảm 5,2% trong năm nay và giảm 1,4% trong năm 2020. Nguy cơ giảm giá sâu hơn vẫn hiện hữu, chủ yếu là do kinh tế toàn cầu giảm tốc sâu hơn kỳ vọng và triển vọng đàm phán thương mại Mỹ - Trung bế tắc.</w:t>
      </w:r>
    </w:p>
    <w:p w:rsidR="003641D0" w:rsidRPr="00614C55" w:rsidRDefault="00DA39DE" w:rsidP="00614C55">
      <w:pPr>
        <w:spacing w:before="120" w:after="0" w:line="240" w:lineRule="auto"/>
        <w:jc w:val="both"/>
        <w:rPr>
          <w:rFonts w:ascii="Arial" w:hAnsi="Arial" w:cs="Arial"/>
          <w:sz w:val="20"/>
          <w:szCs w:val="20"/>
        </w:rPr>
      </w:pPr>
      <w:r w:rsidRPr="00614C55">
        <w:rPr>
          <w:rFonts w:ascii="Arial" w:hAnsi="Arial" w:cs="Arial"/>
          <w:sz w:val="20"/>
          <w:szCs w:val="20"/>
        </w:rPr>
        <w:t>Trong quý III/2019</w:t>
      </w:r>
      <w:r w:rsidR="003641D0" w:rsidRPr="00614C55">
        <w:rPr>
          <w:rFonts w:ascii="Arial" w:hAnsi="Arial" w:cs="Arial"/>
          <w:sz w:val="20"/>
          <w:szCs w:val="20"/>
        </w:rPr>
        <w:t>, giá kim loại quý tăng 12,9%, phản ánh chính sách tiền tệ nới lỏng tại Mỹ, bất ổn tăng cao trên toàn cầu, và nhu cầu tăng vững. Dự báo, giá kim loại quý sẽ tăng 8,3% trong năm nay và tăng 5,6% trong năm 2020. Giá kim loại quý có thể tăng cao hơn, do kinh tế toàn cầu giảm tốc sâu hơn kỳ vọng và bất ổn tăng cao. Trái lại, giá cả những mặt hàng này có thể giảm nếu USD tăng giá mạnh.</w:t>
      </w:r>
    </w:p>
    <w:p w:rsidR="003641D0" w:rsidRPr="00614C55" w:rsidRDefault="003641D0" w:rsidP="00614C55">
      <w:pPr>
        <w:spacing w:before="120" w:after="0" w:line="240" w:lineRule="auto"/>
        <w:jc w:val="both"/>
        <w:rPr>
          <w:rFonts w:ascii="Arial" w:hAnsi="Arial" w:cs="Arial"/>
          <w:sz w:val="20"/>
          <w:szCs w:val="20"/>
        </w:rPr>
      </w:pPr>
      <w:r w:rsidRPr="00614C55">
        <w:rPr>
          <w:rFonts w:ascii="Arial" w:hAnsi="Arial" w:cs="Arial"/>
          <w:sz w:val="20"/>
          <w:szCs w:val="20"/>
        </w:rPr>
        <w:t xml:space="preserve">Sau ba quý tăng liên tiếp, giá vàng tiếp tục tăng 12,6% trong quý III/2019, chủ yếu là do nhu cầu về vàng vật chất tăng cao (dẫn đầu là các ngân hàng trung ương, </w:t>
      </w:r>
      <w:r w:rsidR="00A7395F" w:rsidRPr="00614C55">
        <w:rPr>
          <w:rFonts w:ascii="Arial" w:hAnsi="Arial" w:cs="Arial"/>
          <w:sz w:val="20"/>
          <w:szCs w:val="20"/>
        </w:rPr>
        <w:t>nhất</w:t>
      </w:r>
      <w:r w:rsidRPr="00614C55">
        <w:rPr>
          <w:rFonts w:ascii="Arial" w:hAnsi="Arial" w:cs="Arial"/>
          <w:sz w:val="20"/>
          <w:szCs w:val="20"/>
        </w:rPr>
        <w:t xml:space="preserve"> là NHTW Ấn Độ), lãi suất tại Mỹ giảm dần, bất ổn tăng cao trên toàn cầu. Dự báo, giá vàng sẽ tăng 9,5% trong năm nay và tăng 5,8% trong năm 2020, chủ yếu </w:t>
      </w:r>
      <w:r w:rsidR="00DA39DE" w:rsidRPr="00614C55">
        <w:rPr>
          <w:rFonts w:ascii="Arial" w:hAnsi="Arial" w:cs="Arial"/>
          <w:sz w:val="20"/>
          <w:szCs w:val="20"/>
        </w:rPr>
        <w:t xml:space="preserve">là </w:t>
      </w:r>
      <w:r w:rsidRPr="00614C55">
        <w:rPr>
          <w:rFonts w:ascii="Arial" w:hAnsi="Arial" w:cs="Arial"/>
          <w:sz w:val="20"/>
          <w:szCs w:val="20"/>
        </w:rPr>
        <w:t>do các NHTW tiếp tục nới lỏng tiền tệ và nhu cầu về vàng có thể tăng cao.</w:t>
      </w:r>
      <w:r w:rsidR="00264C4E" w:rsidRPr="00614C55">
        <w:rPr>
          <w:rFonts w:ascii="Arial" w:hAnsi="Arial" w:cs="Arial"/>
          <w:sz w:val="20"/>
          <w:szCs w:val="20"/>
        </w:rPr>
        <w:t xml:space="preserve"> Trong quý III/2019, giá bạc tăng 14,3% so với quý trước, và được dự báo tăng 3,1 trong năm nay, sau đó tiếp tục tăng thêm 4,9% vào năm 2020. Ở</w:t>
      </w:r>
      <w:r w:rsidR="00DA39DE" w:rsidRPr="00614C55">
        <w:rPr>
          <w:rFonts w:ascii="Arial" w:hAnsi="Arial" w:cs="Arial"/>
          <w:sz w:val="20"/>
          <w:szCs w:val="20"/>
        </w:rPr>
        <w:t xml:space="preserve"> </w:t>
      </w:r>
      <w:r w:rsidR="00264C4E" w:rsidRPr="00614C55">
        <w:rPr>
          <w:rFonts w:ascii="Arial" w:hAnsi="Arial" w:cs="Arial"/>
          <w:sz w:val="20"/>
          <w:szCs w:val="20"/>
        </w:rPr>
        <w:t>c</w:t>
      </w:r>
      <w:r w:rsidR="00DA39DE" w:rsidRPr="00614C55">
        <w:rPr>
          <w:rFonts w:ascii="Arial" w:hAnsi="Arial" w:cs="Arial"/>
          <w:sz w:val="20"/>
          <w:szCs w:val="20"/>
        </w:rPr>
        <w:t>ấp</w:t>
      </w:r>
      <w:r w:rsidR="00264C4E" w:rsidRPr="00614C55">
        <w:rPr>
          <w:rFonts w:ascii="Arial" w:hAnsi="Arial" w:cs="Arial"/>
          <w:sz w:val="20"/>
          <w:szCs w:val="20"/>
        </w:rPr>
        <w:t xml:space="preserve"> độ thấp hơn, giá platinum tăng 4,7% trong quý III/2019, có thể tăng 2,2% trong năm 2019 và tăng 3,5% vào năm 2020. Như vậy, giá cả các mặt hàng kim loại quý đã chạm ngưỡng kỷ lục 25 năm (đạt được vào tháng 6/2019).</w:t>
      </w:r>
    </w:p>
    <w:p w:rsidR="00A7395F" w:rsidRPr="00614C55" w:rsidRDefault="00A7395F" w:rsidP="00614C55">
      <w:pPr>
        <w:spacing w:before="120" w:after="0" w:line="240" w:lineRule="auto"/>
        <w:jc w:val="both"/>
        <w:rPr>
          <w:rFonts w:ascii="Arial" w:hAnsi="Arial" w:cs="Arial"/>
          <w:b/>
          <w:i/>
          <w:sz w:val="20"/>
          <w:szCs w:val="20"/>
        </w:rPr>
      </w:pPr>
      <w:r w:rsidRPr="00614C55">
        <w:rPr>
          <w:rFonts w:ascii="Arial" w:hAnsi="Arial" w:cs="Arial"/>
          <w:b/>
          <w:i/>
          <w:sz w:val="20"/>
          <w:szCs w:val="20"/>
        </w:rPr>
        <w:t>Hoàng Thế Thỏa</w:t>
      </w:r>
    </w:p>
    <w:p w:rsidR="00264C4E" w:rsidRPr="00614C55" w:rsidRDefault="00264C4E" w:rsidP="00614C55">
      <w:pPr>
        <w:spacing w:before="120" w:after="0" w:line="240" w:lineRule="auto"/>
        <w:jc w:val="both"/>
        <w:rPr>
          <w:rFonts w:ascii="Arial" w:hAnsi="Arial" w:cs="Arial"/>
          <w:i/>
          <w:sz w:val="20"/>
          <w:szCs w:val="20"/>
        </w:rPr>
      </w:pPr>
      <w:r w:rsidRPr="00614C55">
        <w:rPr>
          <w:rFonts w:ascii="Arial" w:hAnsi="Arial" w:cs="Arial"/>
          <w:i/>
          <w:sz w:val="20"/>
          <w:szCs w:val="20"/>
        </w:rPr>
        <w:t>Nguồn: WB tháng 10/2019</w:t>
      </w:r>
    </w:p>
    <w:p w:rsidR="00A359E5" w:rsidRPr="00614C55" w:rsidRDefault="00A359E5" w:rsidP="00614C55">
      <w:pPr>
        <w:spacing w:before="120" w:after="0" w:line="240" w:lineRule="auto"/>
        <w:rPr>
          <w:rFonts w:ascii="Arial" w:hAnsi="Arial" w:cs="Arial"/>
          <w:sz w:val="20"/>
          <w:szCs w:val="20"/>
        </w:rPr>
      </w:pPr>
    </w:p>
    <w:sectPr w:rsidR="00A359E5" w:rsidRPr="00614C55" w:rsidSect="000D64D7">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CE8" w:rsidRDefault="002E0CE8" w:rsidP="00DA39DE">
      <w:pPr>
        <w:spacing w:after="0" w:line="240" w:lineRule="auto"/>
      </w:pPr>
      <w:r>
        <w:separator/>
      </w:r>
    </w:p>
  </w:endnote>
  <w:endnote w:type="continuationSeparator" w:id="0">
    <w:p w:rsidR="002E0CE8" w:rsidRDefault="002E0CE8" w:rsidP="00DA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458143"/>
      <w:docPartObj>
        <w:docPartGallery w:val="Page Numbers (Bottom of Page)"/>
        <w:docPartUnique/>
      </w:docPartObj>
    </w:sdtPr>
    <w:sdtEndPr>
      <w:rPr>
        <w:noProof/>
      </w:rPr>
    </w:sdtEndPr>
    <w:sdtContent>
      <w:p w:rsidR="00DA39DE" w:rsidRDefault="00DA39DE">
        <w:pPr>
          <w:pStyle w:val="Footer"/>
          <w:jc w:val="right"/>
        </w:pPr>
        <w:r>
          <w:fldChar w:fldCharType="begin"/>
        </w:r>
        <w:r>
          <w:instrText xml:space="preserve"> PAGE   \* MERGEFORMAT </w:instrText>
        </w:r>
        <w:r>
          <w:fldChar w:fldCharType="separate"/>
        </w:r>
        <w:r w:rsidR="00795CCD">
          <w:rPr>
            <w:noProof/>
          </w:rPr>
          <w:t>2</w:t>
        </w:r>
        <w:r>
          <w:rPr>
            <w:noProof/>
          </w:rPr>
          <w:fldChar w:fldCharType="end"/>
        </w:r>
      </w:p>
    </w:sdtContent>
  </w:sdt>
  <w:p w:rsidR="00DA39DE" w:rsidRDefault="00DA3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CE8" w:rsidRDefault="002E0CE8" w:rsidP="00DA39DE">
      <w:pPr>
        <w:spacing w:after="0" w:line="240" w:lineRule="auto"/>
      </w:pPr>
      <w:r>
        <w:separator/>
      </w:r>
    </w:p>
  </w:footnote>
  <w:footnote w:type="continuationSeparator" w:id="0">
    <w:p w:rsidR="002E0CE8" w:rsidRDefault="002E0CE8" w:rsidP="00DA3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87E4C"/>
    <w:multiLevelType w:val="hybridMultilevel"/>
    <w:tmpl w:val="ECCA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193C3C"/>
    <w:multiLevelType w:val="hybridMultilevel"/>
    <w:tmpl w:val="1A0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0B"/>
    <w:rsid w:val="000A0D1B"/>
    <w:rsid w:val="000B7647"/>
    <w:rsid w:val="000D64D7"/>
    <w:rsid w:val="001B701D"/>
    <w:rsid w:val="001C3CD2"/>
    <w:rsid w:val="001C487B"/>
    <w:rsid w:val="00264C4E"/>
    <w:rsid w:val="002D4651"/>
    <w:rsid w:val="002E0CE8"/>
    <w:rsid w:val="002E29FF"/>
    <w:rsid w:val="003257B4"/>
    <w:rsid w:val="00332DAC"/>
    <w:rsid w:val="0036042B"/>
    <w:rsid w:val="003641D0"/>
    <w:rsid w:val="00450D6C"/>
    <w:rsid w:val="005405BD"/>
    <w:rsid w:val="00572E49"/>
    <w:rsid w:val="005769CB"/>
    <w:rsid w:val="00614C55"/>
    <w:rsid w:val="00705668"/>
    <w:rsid w:val="00795CCD"/>
    <w:rsid w:val="00942118"/>
    <w:rsid w:val="00991EE8"/>
    <w:rsid w:val="009B0E0B"/>
    <w:rsid w:val="009C1651"/>
    <w:rsid w:val="00A359E5"/>
    <w:rsid w:val="00A7395F"/>
    <w:rsid w:val="00B17752"/>
    <w:rsid w:val="00B56528"/>
    <w:rsid w:val="00B84629"/>
    <w:rsid w:val="00C95921"/>
    <w:rsid w:val="00D6459D"/>
    <w:rsid w:val="00DA39DE"/>
    <w:rsid w:val="00DF785A"/>
    <w:rsid w:val="00EF7427"/>
    <w:rsid w:val="00FB7893"/>
    <w:rsid w:val="00FC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9DE"/>
  </w:style>
  <w:style w:type="paragraph" w:styleId="Footer">
    <w:name w:val="footer"/>
    <w:basedOn w:val="Normal"/>
    <w:link w:val="FooterChar"/>
    <w:uiPriority w:val="99"/>
    <w:unhideWhenUsed/>
    <w:rsid w:val="00DA3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9DE"/>
  </w:style>
  <w:style w:type="paragraph" w:styleId="ListParagraph">
    <w:name w:val="List Paragraph"/>
    <w:basedOn w:val="Normal"/>
    <w:uiPriority w:val="34"/>
    <w:qFormat/>
    <w:rsid w:val="00DA39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9DE"/>
  </w:style>
  <w:style w:type="paragraph" w:styleId="Footer">
    <w:name w:val="footer"/>
    <w:basedOn w:val="Normal"/>
    <w:link w:val="FooterChar"/>
    <w:uiPriority w:val="99"/>
    <w:unhideWhenUsed/>
    <w:rsid w:val="00DA3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9DE"/>
  </w:style>
  <w:style w:type="paragraph" w:styleId="ListParagraph">
    <w:name w:val="List Paragraph"/>
    <w:basedOn w:val="Normal"/>
    <w:uiPriority w:val="34"/>
    <w:qFormat/>
    <w:rsid w:val="00DA3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5</cp:revision>
  <dcterms:created xsi:type="dcterms:W3CDTF">2019-11-01T10:08:00Z</dcterms:created>
  <dcterms:modified xsi:type="dcterms:W3CDTF">2019-11-01T10:11:00Z</dcterms:modified>
</cp:coreProperties>
</file>