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9DB" w:rsidRPr="00EE5A45" w:rsidRDefault="00C341B1" w:rsidP="00EE5A45">
      <w:pPr>
        <w:spacing w:before="120" w:after="0" w:line="240" w:lineRule="auto"/>
        <w:jc w:val="both"/>
        <w:rPr>
          <w:rFonts w:ascii="Arial" w:hAnsi="Arial" w:cs="Arial"/>
          <w:sz w:val="20"/>
          <w:szCs w:val="20"/>
        </w:rPr>
      </w:pPr>
      <w:r w:rsidRPr="00EE5A45">
        <w:rPr>
          <w:rFonts w:ascii="Arial" w:hAnsi="Arial" w:cs="Arial"/>
          <w:sz w:val="20"/>
          <w:szCs w:val="20"/>
        </w:rPr>
        <w:t>Ngâ</w:t>
      </w:r>
      <w:r w:rsidR="00EF69DB" w:rsidRPr="00EE5A45">
        <w:rPr>
          <w:rFonts w:ascii="Arial" w:hAnsi="Arial" w:cs="Arial"/>
          <w:sz w:val="20"/>
          <w:szCs w:val="20"/>
        </w:rPr>
        <w:t>n hàng Nhà nước Việt Nam (NHNN) vừa có báo cáo gửi các đại biểu Quốc hội về việc thực hiện Nghị quyết số 113/2015/QH13 của Quốc hội khóa XIII và các Nghị quyết của Quốc hội về hoạt động chất vấn tại Kỳ họp thứ 2, 3, 4, 5, 7, Quốc hội khóa XIV.</w:t>
      </w:r>
    </w:p>
    <w:p w:rsidR="00EF69DB" w:rsidRPr="00EE5A45" w:rsidRDefault="00EF69DB" w:rsidP="00EE5A45">
      <w:pPr>
        <w:spacing w:before="120" w:after="0" w:line="240" w:lineRule="auto"/>
        <w:jc w:val="both"/>
        <w:rPr>
          <w:rFonts w:ascii="Arial" w:hAnsi="Arial" w:cs="Arial"/>
          <w:b/>
          <w:sz w:val="20"/>
          <w:szCs w:val="20"/>
        </w:rPr>
      </w:pPr>
      <w:r w:rsidRPr="00EE5A45">
        <w:rPr>
          <w:rFonts w:ascii="Arial" w:hAnsi="Arial" w:cs="Arial"/>
          <w:b/>
          <w:sz w:val="20"/>
          <w:szCs w:val="20"/>
        </w:rPr>
        <w:t>Đóng góp tích cực cho nền kinh tế</w:t>
      </w:r>
    </w:p>
    <w:p w:rsidR="00216F48" w:rsidRPr="00EE5A45" w:rsidRDefault="00216F48" w:rsidP="00EE5A45">
      <w:pPr>
        <w:spacing w:before="120" w:after="0" w:line="240" w:lineRule="auto"/>
        <w:jc w:val="both"/>
        <w:rPr>
          <w:rFonts w:ascii="Arial" w:hAnsi="Arial" w:cs="Arial"/>
          <w:sz w:val="20"/>
          <w:szCs w:val="20"/>
        </w:rPr>
      </w:pPr>
      <w:r w:rsidRPr="00EE5A45">
        <w:rPr>
          <w:rFonts w:ascii="Arial" w:hAnsi="Arial" w:cs="Arial"/>
          <w:sz w:val="20"/>
          <w:szCs w:val="20"/>
        </w:rPr>
        <w:t>Đại biểu Bùi Thanh Tùng nhấn mạnh, năng lực cạnh tranh của Việt Nam cải thiện vượt bậc trên cả ba trụ cột là thể chế, cơ sở hạ tầng và kỹ năng, tăng 10 bậc so với năm 2018 và được các tổ chức quốc tế uy tín đánh giá như một điểm sáng trong khu vực và toàn cầu. Đó chính là những thước đo rất cụ thể về những kết quả nổi bật của nền kinh tế đất nước.</w:t>
      </w:r>
    </w:p>
    <w:p w:rsidR="00752E01" w:rsidRPr="00EE5A45" w:rsidRDefault="00752E01" w:rsidP="00EE5A45">
      <w:pPr>
        <w:spacing w:before="120" w:after="0" w:line="240" w:lineRule="auto"/>
        <w:jc w:val="both"/>
        <w:rPr>
          <w:rFonts w:ascii="Arial" w:hAnsi="Arial" w:cs="Arial"/>
          <w:sz w:val="20"/>
          <w:szCs w:val="20"/>
        </w:rPr>
      </w:pPr>
      <w:r w:rsidRPr="00EE5A45">
        <w:rPr>
          <w:rFonts w:ascii="Arial" w:hAnsi="Arial" w:cs="Arial"/>
          <w:sz w:val="20"/>
          <w:szCs w:val="20"/>
        </w:rPr>
        <w:t>Đề cập đến vấn đề phát triển, theo đại biểu Trần Hoàng Ngân: “Trong các yếu tố đầu vào của tăng trưởng kinh tế như lao động, vốn, TFP… thì yếu tố vốn vẫn quyết định đến 45 - 50% GDP. Vốn đến từ đâu? Một trong những nguồn vốn quan trọng là nguồn vốn tín dụng”.</w:t>
      </w:r>
    </w:p>
    <w:p w:rsidR="00752E01" w:rsidRPr="00EE5A45" w:rsidRDefault="00752E01" w:rsidP="00EE5A45">
      <w:pPr>
        <w:spacing w:before="120" w:after="0" w:line="240" w:lineRule="auto"/>
        <w:jc w:val="both"/>
        <w:rPr>
          <w:rFonts w:ascii="Arial" w:hAnsi="Arial" w:cs="Arial"/>
          <w:sz w:val="20"/>
          <w:szCs w:val="20"/>
        </w:rPr>
      </w:pPr>
      <w:r w:rsidRPr="00EE5A45">
        <w:rPr>
          <w:rFonts w:ascii="Arial" w:hAnsi="Arial" w:cs="Arial"/>
          <w:sz w:val="20"/>
          <w:szCs w:val="20"/>
        </w:rPr>
        <w:t>Trong khoảng 5 năm qua, với sự nỗ lực của cả hệ thống chính trị và quyết tâm của Chính phủ, chúng ta giữ vững ổn định kinh tế vĩ mô, kiểm soát lạm phát dưới 4%, kéo giảm bội chi, nợ công, xử lý nợ xấu, đảm bảo an ninh tài chính tiền tệ quốc gia và an toàn hệ thống ngân hàng.</w:t>
      </w:r>
    </w:p>
    <w:p w:rsidR="00752E01" w:rsidRPr="00EE5A45" w:rsidRDefault="00752E01" w:rsidP="00EE5A45">
      <w:pPr>
        <w:spacing w:before="120" w:after="0" w:line="240" w:lineRule="auto"/>
        <w:jc w:val="both"/>
        <w:rPr>
          <w:rFonts w:ascii="Arial" w:hAnsi="Arial" w:cs="Arial"/>
          <w:sz w:val="20"/>
          <w:szCs w:val="20"/>
        </w:rPr>
      </w:pPr>
      <w:r w:rsidRPr="00EE5A45">
        <w:rPr>
          <w:rFonts w:ascii="Arial" w:hAnsi="Arial" w:cs="Arial"/>
          <w:sz w:val="20"/>
          <w:szCs w:val="20"/>
        </w:rPr>
        <w:t>“Vì lẽ đó, người dân vẫn tin tưởng và gửi tiền vào hệ thống. Cho đến tháng 7/2019, hệ thống ngân hàng huy động nguồn vốn đạt trên 8,2 triệu tỷ đồng, trong đó 4,7 triệu tỷ là đến từ tiền gửi của người dân. Và nhờ vậy, hệ thống ngân hàng có nguồn vốn ổn định để cung ứng cho nền kinh tế”, đại biểu cho biết.</w:t>
      </w:r>
    </w:p>
    <w:p w:rsidR="00752E01" w:rsidRPr="00EE5A45" w:rsidRDefault="00752E01" w:rsidP="00EE5A45">
      <w:pPr>
        <w:spacing w:before="120" w:after="0" w:line="240" w:lineRule="auto"/>
        <w:jc w:val="both"/>
        <w:rPr>
          <w:rFonts w:ascii="Arial" w:hAnsi="Arial" w:cs="Arial"/>
          <w:sz w:val="20"/>
          <w:szCs w:val="20"/>
        </w:rPr>
      </w:pPr>
      <w:r w:rsidRPr="00EE5A45">
        <w:rPr>
          <w:rFonts w:ascii="Arial" w:hAnsi="Arial" w:cs="Arial"/>
          <w:sz w:val="20"/>
          <w:szCs w:val="20"/>
        </w:rPr>
        <w:t>Do đó theo đại biểu Trần Hoàng Ngân, thời gian tới cần tiếp tục ưu tiên mục tiêu ổn định kinh tế vĩ mô, đảm bảo an sinh xã hội. Cần tiếp tục tăng cường công tác kiểm tra, giám sát chặt chẽ hoạt động ngân hàng, nâng cao chất lượng tín dụng, tránh để nợ xấu quay trở lại.</w:t>
      </w:r>
    </w:p>
    <w:p w:rsidR="00752E01" w:rsidRPr="00EE5A45" w:rsidRDefault="00752E01" w:rsidP="00EE5A45">
      <w:pPr>
        <w:spacing w:before="120" w:after="0" w:line="240" w:lineRule="auto"/>
        <w:jc w:val="both"/>
        <w:rPr>
          <w:rFonts w:ascii="Arial" w:hAnsi="Arial" w:cs="Arial"/>
          <w:sz w:val="20"/>
          <w:szCs w:val="20"/>
        </w:rPr>
      </w:pPr>
      <w:r w:rsidRPr="00EE5A45">
        <w:rPr>
          <w:rFonts w:ascii="Arial" w:hAnsi="Arial" w:cs="Arial"/>
          <w:sz w:val="20"/>
          <w:szCs w:val="20"/>
        </w:rPr>
        <w:t>Bên cạnh đó, cần tiếp tục tái cơ cấu thị trường tài chính để thị trường tài chính chứng khoán trở thành kênh cung ứng vốn trung dài hạn quan trọng cho nền kinh tế. Ông cũng đề nghị Chính phủ hỗ trợ để TP. Hồ Chí Minh xây dựng thành công trung tâm tài chính của khu vực và quốc tế.</w:t>
      </w:r>
    </w:p>
    <w:p w:rsidR="00216F48" w:rsidRPr="00EE5A45" w:rsidRDefault="00752E01" w:rsidP="00EE5A45">
      <w:pPr>
        <w:spacing w:before="120" w:after="0" w:line="240" w:lineRule="auto"/>
        <w:jc w:val="both"/>
        <w:rPr>
          <w:rFonts w:ascii="Arial" w:hAnsi="Arial" w:cs="Arial"/>
          <w:sz w:val="20"/>
          <w:szCs w:val="20"/>
        </w:rPr>
      </w:pPr>
      <w:r w:rsidRPr="00EE5A45">
        <w:rPr>
          <w:rFonts w:ascii="Arial" w:hAnsi="Arial" w:cs="Arial"/>
          <w:sz w:val="20"/>
          <w:szCs w:val="20"/>
        </w:rPr>
        <w:t>Đánh giá cao về điều hành chính sách tiền tệ, đại biểu Nguyễn Văn Thân - Thái Bình cho rằng, dòng tiền rất quan trọng, nó như mạch máu trong cơ thể, vừa rồi ngành Ngân hàng đã làm rất tốt nên ổn định được giá và cộng đồng doanh nghiệp nhỏ và vừa được hưởng lợi rất nhiều.</w:t>
      </w:r>
    </w:p>
    <w:p w:rsidR="0005390B" w:rsidRPr="00EE5A45" w:rsidRDefault="002C3588" w:rsidP="00EE5A45">
      <w:pPr>
        <w:spacing w:before="120" w:after="0" w:line="240" w:lineRule="auto"/>
        <w:jc w:val="center"/>
        <w:rPr>
          <w:rFonts w:ascii="Arial" w:hAnsi="Arial" w:cs="Arial"/>
          <w:sz w:val="20"/>
          <w:szCs w:val="20"/>
        </w:rPr>
      </w:pPr>
      <w:r w:rsidRPr="00EE5A45">
        <w:rPr>
          <w:rFonts w:ascii="Arial" w:hAnsi="Arial" w:cs="Arial"/>
          <w:noProof/>
          <w:sz w:val="20"/>
          <w:szCs w:val="20"/>
        </w:rPr>
        <w:lastRenderedPageBreak/>
        <w:drawing>
          <wp:inline distT="0" distB="0" distL="0" distR="0">
            <wp:extent cx="5943600" cy="3962400"/>
            <wp:effectExtent l="0" t="0" r="0" b="0"/>
            <wp:docPr id="3" name="Picture 3" descr="E:\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45.jpg"/>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943600" cy="3962400"/>
                    </a:xfrm>
                    <a:prstGeom prst="rect">
                      <a:avLst/>
                    </a:prstGeom>
                    <a:noFill/>
                    <a:ln>
                      <a:noFill/>
                    </a:ln>
                  </pic:spPr>
                </pic:pic>
              </a:graphicData>
            </a:graphic>
          </wp:inline>
        </w:drawing>
      </w:r>
    </w:p>
    <w:p w:rsidR="0005390B" w:rsidRPr="00214E48" w:rsidRDefault="0005390B" w:rsidP="00EE5A45">
      <w:pPr>
        <w:spacing w:before="120" w:after="0" w:line="240" w:lineRule="auto"/>
        <w:jc w:val="center"/>
        <w:rPr>
          <w:rFonts w:ascii="Arial" w:hAnsi="Arial" w:cs="Arial"/>
          <w:sz w:val="16"/>
          <w:szCs w:val="16"/>
        </w:rPr>
      </w:pPr>
      <w:r w:rsidRPr="00214E48">
        <w:rPr>
          <w:rFonts w:ascii="Arial" w:hAnsi="Arial" w:cs="Arial"/>
          <w:sz w:val="16"/>
          <w:szCs w:val="16"/>
        </w:rPr>
        <w:t>Chính sách tài khóa, tiền tệ chủ động linh hoạt đã góp phần ổn định thị trường tiền tệ, hỗ trợ tích cực cho tăng trưởng nền kinh tế</w:t>
      </w:r>
    </w:p>
    <w:p w:rsidR="00EF69DB" w:rsidRPr="00EE5A45" w:rsidRDefault="0074453A" w:rsidP="00EE5A45">
      <w:pPr>
        <w:spacing w:before="120" w:after="0" w:line="240" w:lineRule="auto"/>
        <w:jc w:val="both"/>
        <w:rPr>
          <w:rFonts w:ascii="Arial" w:hAnsi="Arial" w:cs="Arial"/>
          <w:sz w:val="20"/>
          <w:szCs w:val="20"/>
        </w:rPr>
      </w:pPr>
      <w:r w:rsidRPr="00EE5A45">
        <w:rPr>
          <w:rFonts w:ascii="Arial" w:hAnsi="Arial" w:cs="Arial"/>
          <w:sz w:val="20"/>
          <w:szCs w:val="20"/>
        </w:rPr>
        <w:t>“</w:t>
      </w:r>
      <w:r w:rsidR="00EF69DB" w:rsidRPr="00EE5A45">
        <w:rPr>
          <w:rFonts w:ascii="Arial" w:hAnsi="Arial" w:cs="Arial"/>
          <w:sz w:val="20"/>
          <w:szCs w:val="20"/>
        </w:rPr>
        <w:t>Đến nay, về cơ bản Ngân hàng Nhà nước đã hoàn thành các nhiệm vụ được giao và đạt được mục tiêu Quốc hội, Chính phủ đề ra</w:t>
      </w:r>
      <w:r w:rsidRPr="00EE5A45">
        <w:rPr>
          <w:rFonts w:ascii="Arial" w:hAnsi="Arial" w:cs="Arial"/>
          <w:sz w:val="20"/>
          <w:szCs w:val="20"/>
        </w:rPr>
        <w:t>.</w:t>
      </w:r>
      <w:r w:rsidR="00EF69DB" w:rsidRPr="00EE5A45">
        <w:rPr>
          <w:rFonts w:ascii="Arial" w:hAnsi="Arial" w:cs="Arial"/>
          <w:sz w:val="20"/>
          <w:szCs w:val="20"/>
        </w:rPr>
        <w:t>”, báo cáo của Ngân hàng Nhà nước khẳng định.</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Với hàng loạt giải pháp điều hành CSTT thời gian qua được NHNN thực hiện đã góp phần tích cực giúp nền kinh tế đạt được nhiều kết quả khả quan, lạm phát được kiểm soát ở mức thấp hơn mục tiêu do Quốc hội đề ra. Qua đó, các tổ chức xếp hạng tín nhiệm đã đánh giá rất tích cực: Fitch nâng triển vọng của Việt Nam từ mức Ổn định sang Tích cực và tiếp tục duy trì mức xếp hạng BB (tháng 5/2019); S&amp;P lần đầu tiên sau 9 năm đã điều chỉnh nâng xếp hạng tín nhiệm Việt Nam từ BB- lên BB (tháng 4/2019).</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Cụ thể, giải pháp điều hành đồng bộ và linh hoạt các công cụ CSTT để ổn định thị trường tiền tệ, ngoại tệ và kiểm soát lạm phát theo mục tiêu, NHNN cho biết, đã điều hành nghiệp vụ thị trường mở thông qua việc chào mua, chào bán tín phiếu để điều tiết lượng tiền trong nền kinh tế, duy trì sự ổn định trên thị trường tiền tệ. Bên cạnh đó, NHNN cũng điều hành đồng bộ các công cụ CSTT khác như giữ ổn định tỷ lệ dự trữ bắt buộc chung đối với các TCTD; thực hiện tái cấp vốn đối với các TCTD để cho vay theo các chương trình đã được Chính phủ phê duyệt;... góp phần kiểm soát tiền tệ, không tạo ra áp lực gia tăng lạm phát, hỗ trợ ổn định tỷ giá và mặt bằng lãi suất thị trường.</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Đồng thời, CSTT được phối hợp chặt chẽ với CSTK trong việc điều hòa vốn khả dụng của các TCTD; thường xuyên trao đổi thông tin, phối hợp chặt chẽ với các Bộ, ngành về điều hành CSTT, giá hàng hóa dịch vụ, dự báo lạm phát, làm cơ sở để tính toán liều lượng, mức độ điều chỉnh giá các mặt hàng Nhà nước quản lý phù hợp mục tiêu kiểm soát lạm phát chung, ổn định thị trường tiền tệ, ngoại tệ, giảm chi phí huy động vốn cho NSNN với kỳ hạn được kéo dài.</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Kết quả là lạm phát bình quân và lạm phát cơ bản được duy trì tương đối ổn định ở mức thấp, tạo dư địa để Chính phủ điều chỉnh giá các mặt hàng và dịch vụ Nhà nước quản lý (9 tháng đầu năm 2019, lạm phát bình quân là 2,5%; lạm phát cơ bản bình quân là 1,91%). Tính đến ngày 30/9/2019, tổng phương tiện thanh toán tăng 8,86% so với cuối năm 2018 (cùng kỳ tăng 8,81%).</w:t>
      </w:r>
    </w:p>
    <w:p w:rsidR="00EF69DB" w:rsidRPr="00EE5A45" w:rsidRDefault="00EF69DB" w:rsidP="00EE5A45">
      <w:pPr>
        <w:spacing w:before="120" w:after="0" w:line="240" w:lineRule="auto"/>
        <w:jc w:val="both"/>
        <w:rPr>
          <w:rFonts w:ascii="Arial" w:hAnsi="Arial" w:cs="Arial"/>
          <w:b/>
          <w:sz w:val="20"/>
          <w:szCs w:val="20"/>
        </w:rPr>
      </w:pPr>
      <w:r w:rsidRPr="00EE5A45">
        <w:rPr>
          <w:rFonts w:ascii="Arial" w:hAnsi="Arial" w:cs="Arial"/>
          <w:b/>
          <w:sz w:val="20"/>
          <w:szCs w:val="20"/>
        </w:rPr>
        <w:t>Duy trì ổn định mặt bằng lãi suất</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lastRenderedPageBreak/>
        <w:t>Về điều hành để duy trì ổn định mặt bằng lãi suất thị trường, NHNN cho biết, trong 9 tháng đầu năm, NHNN đã chỉ đạo các TCTD chủ động cân đối khả năng tài chính để áp dụng lãi suất cho vay hợp lý trên cơ sở lãi suất huy động và mức độ rủi ro của khoản vay, đảm bảo an toàn tài chính; điều tiết vốn khả dụng của các TCTD chủ yếu thông qua thực hiện chào mua giấy tờ có giá và chào bán tín phiếu NHNN qua nghiệp vụ thị trường mở, góp phần giữ ổn định thị trường tiền tệ.</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Trong bối cảnh lãi suất quốc tế gia tăng, NHNN đã điều hành đồng bộ các giải pháp CSTT nhằm ổn định mặt bằng lãi suất, góp phần ổn định kinh tế vĩ mô và hỗ trợ tăng trưởng kinh tế ở mức hợp lý. Trên cơ sở đánh giá tình hình kinh tế vĩ mô và thị trường tiền tệ, NHTW các nước trên thế giới gia tăng nới lỏng CSTT, trong nước kinh tế vĩ mô tiếp tục ổn định, lạm phát được kiểm soát phù hợp với mục tiêu, thị trường tiền tệ, ngoại hối diễn biến ổn định; từ ngày 16/9/2019, NHNN điều chỉnh giảm 0,25%/năm các mức lãi suất điều hành để tiếp tục tạo điều kiện hỗ trợ nền kinh tế và thanh khoản của hệ thống TCTD.</w:t>
      </w:r>
    </w:p>
    <w:p w:rsidR="00A821EF" w:rsidRPr="00EE5A45" w:rsidRDefault="00A821EF" w:rsidP="00EE5A45">
      <w:pPr>
        <w:spacing w:before="120" w:after="0" w:line="240" w:lineRule="auto"/>
        <w:jc w:val="center"/>
        <w:rPr>
          <w:rFonts w:ascii="Arial" w:hAnsi="Arial" w:cs="Arial"/>
          <w:sz w:val="20"/>
          <w:szCs w:val="20"/>
        </w:rPr>
      </w:pPr>
      <w:r w:rsidRPr="00EE5A45">
        <w:rPr>
          <w:rFonts w:ascii="Arial" w:hAnsi="Arial" w:cs="Arial"/>
          <w:noProof/>
          <w:sz w:val="20"/>
          <w:szCs w:val="20"/>
        </w:rPr>
        <w:drawing>
          <wp:inline distT="0" distB="0" distL="0" distR="0">
            <wp:extent cx="5943600" cy="3976791"/>
            <wp:effectExtent l="0" t="0" r="0" b="5080"/>
            <wp:docPr id="2" name="Picture 2" descr="F:\Bai nam 2019\Thang 8\Can THo\NHN_1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ai nam 2019\Thang 8\Can THo\NHN_1423.JPG"/>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5943600" cy="3976791"/>
                    </a:xfrm>
                    <a:prstGeom prst="rect">
                      <a:avLst/>
                    </a:prstGeom>
                    <a:noFill/>
                    <a:ln>
                      <a:noFill/>
                    </a:ln>
                  </pic:spPr>
                </pic:pic>
              </a:graphicData>
            </a:graphic>
          </wp:inline>
        </w:drawing>
      </w:r>
    </w:p>
    <w:p w:rsidR="00A821EF" w:rsidRPr="00134411" w:rsidRDefault="00A821EF" w:rsidP="00EE5A45">
      <w:pPr>
        <w:spacing w:before="120" w:after="0" w:line="240" w:lineRule="auto"/>
        <w:jc w:val="center"/>
        <w:rPr>
          <w:rFonts w:ascii="Arial" w:hAnsi="Arial" w:cs="Arial"/>
          <w:sz w:val="16"/>
          <w:szCs w:val="16"/>
        </w:rPr>
      </w:pPr>
      <w:bookmarkStart w:id="0" w:name="_GoBack"/>
      <w:r w:rsidRPr="00134411">
        <w:rPr>
          <w:rFonts w:ascii="Arial" w:hAnsi="Arial" w:cs="Arial"/>
          <w:sz w:val="16"/>
          <w:szCs w:val="16"/>
        </w:rPr>
        <w:t>Các TCTD chủ động cân đối khả năng tài chính để áp dụng lãi suất cho vay hợp lý góp phần thúc đẩy sản xuất kinh doanh</w:t>
      </w:r>
    </w:p>
    <w:bookmarkEnd w:id="0"/>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Về cơ bản, mặt bằng lãi suất tiếp tục duy trì ổn định. “Hiện mặt bằng lãi suất huy động phổ biến ở mức 0,5-1%/năm đối với tiền gửi không kỳ hạn và có kỳ hạn dưới 1 tháng; 4,5%-5,5%/năm đối với tiền gửi có kỳ hạn từ 1 đến dưới 6 tháng; 5,5%-6,5%/năm đối với tiền gửi có kỳ hạn từ 6 đến dưới 12 tháng; 6,6-7,3% đối với kỳ hạn trên 12 tháng. Lãi suất cho vay phổ biến ở mức 6-9%/năm đối với ngắn hạn; 9-11% đối với trung và dài hạn”, theo Ngân hàng Nhà nước.</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Bên cạnh đó, NHNN cũng điều hành tỷ giá chủ động, linh hoạt, phù hợp với diễn biến trên thị trường trong nước và quốc tế, các cân đối vĩ mô, tiền tệ và mục tiêu điều hành chính sách tiền tệ; kết hợp điều tiết thanh khoản, lãi suất VND hợp lý và chủ động truyền thông để ổn định thị trường, mua ngoại tệ bổ sung Dự trữ ngoại hối Nhà nước (DTNHNN) khi có điều kiện thuận lợi.</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 xml:space="preserve">Trong 9 tháng đầu năm 2019, mặc dù có nhiều áp lực từ những diễn biến trên thị trường quốc tế (diễn biến đồng CNY giảm giá mạnh, căng thẳng thương mại Mỹ - Trung, dự kiến về lộ trình chính sách của Fed,…), thị trường ngoại tệ vẫn duy trì hoạt động ổn định; tỷ giá trong nước tương đối ổn định, diễn biến linh hoạt phù hợp với sự thay đổi của điều kiện thị trường trong nước, quốc tế và mục tiêu điều hành chính sách </w:t>
      </w:r>
      <w:r w:rsidRPr="00EE5A45">
        <w:rPr>
          <w:rFonts w:ascii="Arial" w:hAnsi="Arial" w:cs="Arial"/>
          <w:sz w:val="20"/>
          <w:szCs w:val="20"/>
        </w:rPr>
        <w:lastRenderedPageBreak/>
        <w:t>tiền tệ; thanh khoản thị trường vẫn đảm bảo, các giao dịch ngoại tệ diễn ra thông suốt, các nhu cầu ngoại tệ hợp pháp được đáp ứng đầy đủ, kịp thời; NHNN mua được lượng lớn ngoại tệ, bổ sung DTNHNN.</w:t>
      </w:r>
    </w:p>
    <w:p w:rsidR="00EF69DB" w:rsidRPr="00EE5A45" w:rsidRDefault="00EF69DB" w:rsidP="00EE5A45">
      <w:pPr>
        <w:spacing w:before="120" w:after="0" w:line="240" w:lineRule="auto"/>
        <w:jc w:val="both"/>
        <w:rPr>
          <w:rFonts w:ascii="Arial" w:hAnsi="Arial" w:cs="Arial"/>
          <w:b/>
          <w:sz w:val="20"/>
          <w:szCs w:val="20"/>
        </w:rPr>
      </w:pPr>
      <w:r w:rsidRPr="00EE5A45">
        <w:rPr>
          <w:rFonts w:ascii="Arial" w:hAnsi="Arial" w:cs="Arial"/>
          <w:b/>
          <w:sz w:val="20"/>
          <w:szCs w:val="20"/>
        </w:rPr>
        <w:t>Tín dụng tăng trưởng phù hợp với cân đối vĩ mô</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Đối với điều hành tín dụng, NHNN cho biết, tín dụng tăng trưởng phù hợp với cân đối vĩ mô, đáp ứng nhu cầu vốn của nền kinh tế gắn liền với nâng cao chất lượng tín dụng, tập trung vào lĩnh vực sản xuất kinh doanh, lĩnh vực ưu tiên, tín dụng đối với các lĩnh vực rủi ro được kiểm soát chặt chẽ (Nghị quyết số 55/2017/QH14).</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Trên cơ sở mức tăng trưởng 13,89% của tín dụng cuối năm 2018, mục tiêu tăng trưởng kinh tế và lạm phát năm 2019, NHNN định hướng chỉ tiêu tăng trưởng tín dụng là 14%, có điều chỉnh linh hoạt phù hợp diễn biến, tình hình thực tế nhằm kiểm soát lạm phát, duy trì ổn định kinh tế vĩ mô, hỗ trợ tăng trưởng kinh tế hợp lý.</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Đến ngày 30/9/2019, tín dụng tăng 9,4% so với cuối năm 2018. Cơ cấu tín dụng tiếp tục có sự điều chỉnh tích cực, trong đó tín dụng tập trung vào lĩnh vực sản xuất kinh doanh, lĩnh vực ưu tiên; tín dụng đối với lĩnh vực tiềm ẩn rủi ro được kiểm soát chặt chẽ. Tín dụng ngoại tệ được kiểm soát phù hợp với lộ trình hạn chế đô la hóa trong nền kinh tế.</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Để đạt được kết quả tích cực trên, NHNN đã chia sẻ hàng loạt giải pháp trong điều hành tín dụng mà NHNN đã triển khai. Đó là, NHNN đã thông báo chỉ tiêu tăng trưởng tín dụng đến từng TCTD trên cơ sở đánh giá tình hình hoạt động và khả năng tín dụng lành mạnh; trong đó, ưu tiên chỉ tiêu cao hơn đối với TCTD thực hiện trước thời hạn các quy định về tỷ lệ an toàn vốn tại Thông tư 41/2016/TT-NHNN ngày 30/12/2016, các TCTD hỗ trợ QTDND yếu kém… Trong quá trình điều hành, NHNN xem xét điều chỉnh chỉ tiêu tăng trưởng tín dụng của một số TCTD nhằm đảm bảo hỗ trợ TCTD mở rộng tín dụng có hiệu quả cho doanh nghiệp và người dân.</w:t>
      </w:r>
    </w:p>
    <w:p w:rsidR="00EF69DB"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NHNN cũng chỉ đạo các TCTD nâng cao chất lượng tín dụng; tập trung phân bổ tín dụng vào các lĩnh vực sản xuất kinh doanh, nhất là các lĩnh vực ưu tiên theo chủ trương của Chính phủ, tạo điều kiện thuận lợi trong tiếp cận vốn tín dụng của doanh nghiệp và người dân. Kiểm soát chặt chẽ tín dụng vào các lĩnh vực tiềm ẩn rủi ro như bất động sản, chứng khoán…; Tăng cường quản lý rủi ro đối với các dự án BOT, BT giao thông; Kiểm soát cho vay bằng ngoại tệ và đưa ra lộ trình phù hợp giảm dần cho vay bằng ngoại tệ.</w:t>
      </w:r>
    </w:p>
    <w:p w:rsidR="00EB7FE9" w:rsidRPr="00EE5A45" w:rsidRDefault="00EF69DB" w:rsidP="00EE5A45">
      <w:pPr>
        <w:spacing w:before="120" w:after="0" w:line="240" w:lineRule="auto"/>
        <w:jc w:val="both"/>
        <w:rPr>
          <w:rFonts w:ascii="Arial" w:hAnsi="Arial" w:cs="Arial"/>
          <w:sz w:val="20"/>
          <w:szCs w:val="20"/>
        </w:rPr>
      </w:pPr>
      <w:r w:rsidRPr="00EE5A45">
        <w:rPr>
          <w:rFonts w:ascii="Arial" w:hAnsi="Arial" w:cs="Arial"/>
          <w:sz w:val="20"/>
          <w:szCs w:val="20"/>
        </w:rPr>
        <w:t>Đặc biệt, một giải pháp thời gian qua Ngân hàng Nhà nước tích cực triển khai là tiếp tục thực hiện tháo gỡ khó khăn trong tiếp cận tín dụng ngân hàng, tăng cường triển khai chương trình kết nối ngân hàng - doanh nghiệp, tạo điều kiện thuận lợi trong vay vốn tín dụng ngân hàng cho các doanh nghiệp.</w:t>
      </w:r>
    </w:p>
    <w:p w:rsidR="007039B3" w:rsidRPr="00EE5A45" w:rsidRDefault="00C6359C" w:rsidP="00EE5A45">
      <w:pPr>
        <w:spacing w:before="120" w:after="0" w:line="240" w:lineRule="auto"/>
        <w:jc w:val="both"/>
        <w:rPr>
          <w:rFonts w:ascii="Arial" w:hAnsi="Arial" w:cs="Arial"/>
          <w:sz w:val="20"/>
          <w:szCs w:val="20"/>
        </w:rPr>
      </w:pPr>
      <w:r w:rsidRPr="00EE5A45">
        <w:rPr>
          <w:rFonts w:ascii="Arial" w:hAnsi="Arial" w:cs="Arial"/>
          <w:sz w:val="20"/>
          <w:szCs w:val="20"/>
        </w:rPr>
        <w:t>NN</w:t>
      </w:r>
    </w:p>
    <w:sectPr w:rsidR="007039B3" w:rsidRPr="00EE5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DB"/>
    <w:rsid w:val="00030173"/>
    <w:rsid w:val="0005390B"/>
    <w:rsid w:val="000E72BD"/>
    <w:rsid w:val="000F70F4"/>
    <w:rsid w:val="00134411"/>
    <w:rsid w:val="001C0CAE"/>
    <w:rsid w:val="001E41FD"/>
    <w:rsid w:val="00214E48"/>
    <w:rsid w:val="00216F48"/>
    <w:rsid w:val="002C3588"/>
    <w:rsid w:val="003669BF"/>
    <w:rsid w:val="003949A5"/>
    <w:rsid w:val="003E4B6D"/>
    <w:rsid w:val="003F2810"/>
    <w:rsid w:val="004D2FAB"/>
    <w:rsid w:val="0051577B"/>
    <w:rsid w:val="00603CF2"/>
    <w:rsid w:val="00674D6B"/>
    <w:rsid w:val="006A2F79"/>
    <w:rsid w:val="007020E2"/>
    <w:rsid w:val="007039B3"/>
    <w:rsid w:val="0072574E"/>
    <w:rsid w:val="0074453A"/>
    <w:rsid w:val="00752E01"/>
    <w:rsid w:val="0076036E"/>
    <w:rsid w:val="008F4FEF"/>
    <w:rsid w:val="00924B05"/>
    <w:rsid w:val="00956AE2"/>
    <w:rsid w:val="00957A8B"/>
    <w:rsid w:val="0096331D"/>
    <w:rsid w:val="009812D7"/>
    <w:rsid w:val="009D487C"/>
    <w:rsid w:val="00A821EF"/>
    <w:rsid w:val="00A85D6F"/>
    <w:rsid w:val="00A90E77"/>
    <w:rsid w:val="00AE1942"/>
    <w:rsid w:val="00BE092C"/>
    <w:rsid w:val="00BF7B29"/>
    <w:rsid w:val="00C25F54"/>
    <w:rsid w:val="00C341B1"/>
    <w:rsid w:val="00C6359C"/>
    <w:rsid w:val="00D02A06"/>
    <w:rsid w:val="00D244BC"/>
    <w:rsid w:val="00DD7462"/>
    <w:rsid w:val="00E55B14"/>
    <w:rsid w:val="00E705A2"/>
    <w:rsid w:val="00EB7FE9"/>
    <w:rsid w:val="00EE5A45"/>
    <w:rsid w:val="00EE6408"/>
    <w:rsid w:val="00EF69DB"/>
    <w:rsid w:val="00F1390E"/>
    <w:rsid w:val="00F22F9F"/>
    <w:rsid w:val="00FB01D2"/>
    <w:rsid w:val="00FB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FA5F6-B211-4223-9E0C-8780D2C6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43014">
      <w:bodyDiv w:val="1"/>
      <w:marLeft w:val="0"/>
      <w:marRight w:val="0"/>
      <w:marTop w:val="0"/>
      <w:marBottom w:val="0"/>
      <w:divBdr>
        <w:top w:val="none" w:sz="0" w:space="0" w:color="auto"/>
        <w:left w:val="none" w:sz="0" w:space="0" w:color="auto"/>
        <w:bottom w:val="none" w:sz="0" w:space="0" w:color="auto"/>
        <w:right w:val="none" w:sz="0" w:space="0" w:color="auto"/>
      </w:divBdr>
    </w:div>
    <w:div w:id="2134664720">
      <w:bodyDiv w:val="1"/>
      <w:marLeft w:val="0"/>
      <w:marRight w:val="0"/>
      <w:marTop w:val="0"/>
      <w:marBottom w:val="0"/>
      <w:divBdr>
        <w:top w:val="none" w:sz="0" w:space="0" w:color="auto"/>
        <w:left w:val="none" w:sz="0" w:space="0" w:color="auto"/>
        <w:bottom w:val="none" w:sz="0" w:space="0" w:color="auto"/>
        <w:right w:val="none" w:sz="0" w:space="0" w:color="auto"/>
      </w:divBdr>
      <w:divsChild>
        <w:div w:id="438725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63</cp:revision>
  <dcterms:created xsi:type="dcterms:W3CDTF">2019-10-23T02:35:00Z</dcterms:created>
  <dcterms:modified xsi:type="dcterms:W3CDTF">2019-11-08T07:27:00Z</dcterms:modified>
</cp:coreProperties>
</file>