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1FF" w:rsidRPr="00F96020" w:rsidRDefault="006261FF" w:rsidP="00F96020">
      <w:pPr>
        <w:spacing w:before="120" w:after="0" w:line="240" w:lineRule="auto"/>
        <w:jc w:val="both"/>
        <w:rPr>
          <w:rFonts w:ascii="Arial" w:hAnsi="Arial" w:cs="Arial"/>
          <w:sz w:val="20"/>
          <w:szCs w:val="20"/>
        </w:rPr>
      </w:pPr>
      <w:bookmarkStart w:id="0" w:name="_GoBack"/>
      <w:bookmarkEnd w:id="0"/>
      <w:r w:rsidRPr="00F96020">
        <w:rPr>
          <w:rFonts w:ascii="Arial" w:hAnsi="Arial" w:cs="Arial"/>
          <w:sz w:val="20"/>
          <w:szCs w:val="20"/>
        </w:rPr>
        <w:t xml:space="preserve">Bloomberg trích dẫn báo cáo năm 2019 của Google, Temasek Holdings Pte và Bain &amp; Co về thương mại điện tử khu vực Đông Nam Á, theo đó doanh số mà </w:t>
      </w:r>
      <w:r w:rsidR="00797F54" w:rsidRPr="00F96020">
        <w:rPr>
          <w:rFonts w:ascii="Arial" w:hAnsi="Arial" w:cs="Arial"/>
          <w:sz w:val="20"/>
          <w:szCs w:val="20"/>
        </w:rPr>
        <w:t>nền kinh tế</w:t>
      </w:r>
      <w:r w:rsidR="00EC3BE3" w:rsidRPr="00F96020">
        <w:rPr>
          <w:rFonts w:ascii="Arial" w:hAnsi="Arial" w:cs="Arial"/>
          <w:sz w:val="20"/>
          <w:szCs w:val="20"/>
        </w:rPr>
        <w:t xml:space="preserve"> giao dịch trực tuyến </w:t>
      </w:r>
      <w:r w:rsidR="006C5D5A" w:rsidRPr="00F96020">
        <w:rPr>
          <w:rFonts w:ascii="Arial" w:hAnsi="Arial" w:cs="Arial"/>
          <w:sz w:val="20"/>
          <w:szCs w:val="20"/>
        </w:rPr>
        <w:t xml:space="preserve">khu vực Đông Nam Á dự kiến đạt </w:t>
      </w:r>
      <w:r w:rsidR="00EC3BE3" w:rsidRPr="00F96020">
        <w:rPr>
          <w:rFonts w:ascii="Arial" w:hAnsi="Arial" w:cs="Arial"/>
          <w:sz w:val="20"/>
          <w:szCs w:val="20"/>
        </w:rPr>
        <w:t>vào năm 2025</w:t>
      </w:r>
      <w:r w:rsidR="006C5D5A" w:rsidRPr="00F96020">
        <w:rPr>
          <w:rFonts w:ascii="Arial" w:hAnsi="Arial" w:cs="Arial"/>
          <w:sz w:val="20"/>
          <w:szCs w:val="20"/>
        </w:rPr>
        <w:t xml:space="preserve"> </w:t>
      </w:r>
      <w:r w:rsidRPr="00F96020">
        <w:rPr>
          <w:rFonts w:ascii="Arial" w:hAnsi="Arial" w:cs="Arial"/>
          <w:sz w:val="20"/>
          <w:szCs w:val="20"/>
        </w:rPr>
        <w:t xml:space="preserve">là 300 tỷ đô la và đóng góp tới 8,5% GDP của khu vực, trở thành một trong những khu vực có nền kinh tế </w:t>
      </w:r>
      <w:r w:rsidR="002E75C2" w:rsidRPr="00F96020">
        <w:rPr>
          <w:rFonts w:ascii="Arial" w:hAnsi="Arial" w:cs="Arial"/>
          <w:sz w:val="20"/>
          <w:szCs w:val="20"/>
        </w:rPr>
        <w:t>I</w:t>
      </w:r>
      <w:r w:rsidRPr="00F96020">
        <w:rPr>
          <w:rFonts w:ascii="Arial" w:hAnsi="Arial" w:cs="Arial"/>
          <w:sz w:val="20"/>
          <w:szCs w:val="20"/>
        </w:rPr>
        <w:t>nternet năng động nhất toàn cầu.</w:t>
      </w:r>
    </w:p>
    <w:p w:rsidR="00363462" w:rsidRPr="00F96020" w:rsidRDefault="006261FF" w:rsidP="00F96020">
      <w:pPr>
        <w:spacing w:before="120" w:after="0" w:line="240" w:lineRule="auto"/>
        <w:ind w:firstLine="720"/>
        <w:jc w:val="both"/>
        <w:rPr>
          <w:rFonts w:ascii="Arial" w:hAnsi="Arial" w:cs="Arial"/>
          <w:sz w:val="20"/>
          <w:szCs w:val="20"/>
        </w:rPr>
      </w:pPr>
      <w:r w:rsidRPr="00F96020">
        <w:rPr>
          <w:rFonts w:ascii="Arial" w:hAnsi="Arial" w:cs="Arial"/>
          <w:sz w:val="20"/>
          <w:szCs w:val="20"/>
        </w:rPr>
        <w:t xml:space="preserve"> </w:t>
      </w:r>
      <w:r w:rsidR="00363462" w:rsidRPr="00F96020">
        <w:rPr>
          <w:rFonts w:ascii="Arial" w:hAnsi="Arial" w:cs="Arial"/>
          <w:noProof/>
          <w:sz w:val="20"/>
          <w:szCs w:val="20"/>
        </w:rPr>
        <w:drawing>
          <wp:inline distT="0" distB="0" distL="0" distR="0" wp14:anchorId="50F1D9FE" wp14:editId="6944C04F">
            <wp:extent cx="5676265" cy="3019425"/>
            <wp:effectExtent l="0" t="0" r="63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A808B7" w:rsidRPr="00F96020" w:rsidRDefault="00A808B7" w:rsidP="00F96020">
      <w:pPr>
        <w:spacing w:before="120" w:after="0" w:line="240" w:lineRule="auto"/>
        <w:ind w:left="6480" w:firstLine="720"/>
        <w:rPr>
          <w:rFonts w:ascii="Arial" w:hAnsi="Arial" w:cs="Arial"/>
          <w:color w:val="000000"/>
          <w:sz w:val="20"/>
          <w:szCs w:val="20"/>
          <w:shd w:val="clear" w:color="auto" w:fill="FFFFFF"/>
        </w:rPr>
      </w:pPr>
      <w:r w:rsidRPr="00F96020">
        <w:rPr>
          <w:rFonts w:ascii="Arial" w:hAnsi="Arial" w:cs="Arial"/>
          <w:color w:val="000000"/>
          <w:sz w:val="20"/>
          <w:szCs w:val="20"/>
          <w:shd w:val="clear" w:color="auto" w:fill="FFFFFF"/>
        </w:rPr>
        <w:t>Đơn vị: tỷ USD</w:t>
      </w:r>
    </w:p>
    <w:p w:rsidR="00AC561C" w:rsidRPr="00F96020" w:rsidRDefault="00A808B7" w:rsidP="00F96020">
      <w:pPr>
        <w:spacing w:before="120" w:after="0" w:line="240" w:lineRule="auto"/>
        <w:ind w:left="2160"/>
        <w:rPr>
          <w:rFonts w:ascii="Arial" w:hAnsi="Arial" w:cs="Arial"/>
          <w:color w:val="000000"/>
          <w:sz w:val="20"/>
          <w:szCs w:val="20"/>
          <w:shd w:val="clear" w:color="auto" w:fill="FFFFFF"/>
        </w:rPr>
      </w:pPr>
      <w:r w:rsidRPr="00F96020">
        <w:rPr>
          <w:rFonts w:ascii="Arial" w:hAnsi="Arial" w:cs="Arial"/>
          <w:color w:val="000000"/>
          <w:sz w:val="20"/>
          <w:szCs w:val="20"/>
          <w:shd w:val="clear" w:color="auto" w:fill="FFFFFF"/>
        </w:rPr>
        <w:t xml:space="preserve">           </w:t>
      </w:r>
      <w:r w:rsidR="003B443B" w:rsidRPr="00F96020">
        <w:rPr>
          <w:rFonts w:ascii="Arial" w:hAnsi="Arial" w:cs="Arial"/>
          <w:i/>
          <w:color w:val="000000"/>
          <w:sz w:val="20"/>
          <w:szCs w:val="20"/>
          <w:shd w:val="clear" w:color="auto" w:fill="FFFFFF"/>
        </w:rPr>
        <w:t>Nguồn:</w:t>
      </w:r>
      <w:r w:rsidR="003B443B" w:rsidRPr="00F96020">
        <w:rPr>
          <w:rFonts w:ascii="Arial" w:hAnsi="Arial" w:cs="Arial"/>
          <w:color w:val="000000"/>
          <w:sz w:val="20"/>
          <w:szCs w:val="20"/>
          <w:shd w:val="clear" w:color="auto" w:fill="FFFFFF"/>
        </w:rPr>
        <w:t xml:space="preserve"> Google &amp; Temasek / Bain, e-Conomy SEA 2019</w:t>
      </w:r>
    </w:p>
    <w:p w:rsidR="00641120" w:rsidRPr="00F96020" w:rsidRDefault="00725B11" w:rsidP="00F96020">
      <w:pPr>
        <w:spacing w:before="120" w:after="0" w:line="240" w:lineRule="auto"/>
        <w:jc w:val="both"/>
        <w:rPr>
          <w:rFonts w:ascii="Arial" w:hAnsi="Arial" w:cs="Arial"/>
          <w:sz w:val="20"/>
          <w:szCs w:val="20"/>
        </w:rPr>
      </w:pPr>
      <w:r w:rsidRPr="00F96020">
        <w:rPr>
          <w:rFonts w:ascii="Arial" w:hAnsi="Arial" w:cs="Arial"/>
          <w:sz w:val="20"/>
          <w:szCs w:val="20"/>
        </w:rPr>
        <w:tab/>
      </w:r>
    </w:p>
    <w:p w:rsidR="007B6F3F" w:rsidRPr="00F96020" w:rsidRDefault="00EC5E72" w:rsidP="00F96020">
      <w:pPr>
        <w:spacing w:before="120" w:after="0" w:line="240" w:lineRule="auto"/>
        <w:jc w:val="both"/>
        <w:rPr>
          <w:rFonts w:ascii="Arial" w:hAnsi="Arial" w:cs="Arial"/>
          <w:sz w:val="20"/>
          <w:szCs w:val="20"/>
        </w:rPr>
      </w:pPr>
      <w:r w:rsidRPr="00F96020">
        <w:rPr>
          <w:rFonts w:ascii="Arial" w:hAnsi="Arial" w:cs="Arial"/>
          <w:sz w:val="20"/>
          <w:szCs w:val="20"/>
        </w:rPr>
        <w:t xml:space="preserve">Theo </w:t>
      </w:r>
      <w:r w:rsidR="006261FF" w:rsidRPr="00F96020">
        <w:rPr>
          <w:rFonts w:ascii="Arial" w:hAnsi="Arial" w:cs="Arial"/>
          <w:sz w:val="20"/>
          <w:szCs w:val="20"/>
        </w:rPr>
        <w:t>Google, Temasek Holdings Pte và Bain &amp; Co</w:t>
      </w:r>
      <w:r w:rsidRPr="00F96020">
        <w:rPr>
          <w:rFonts w:ascii="Arial" w:hAnsi="Arial" w:cs="Arial"/>
          <w:sz w:val="20"/>
          <w:szCs w:val="20"/>
        </w:rPr>
        <w:t xml:space="preserve">, khu vực Đông Nam Á đang sở hữu những </w:t>
      </w:r>
      <w:r w:rsidR="002E75C2" w:rsidRPr="00F96020">
        <w:rPr>
          <w:rFonts w:ascii="Arial" w:hAnsi="Arial" w:cs="Arial"/>
          <w:sz w:val="20"/>
          <w:szCs w:val="20"/>
        </w:rPr>
        <w:t>yếu tố thuận lợi</w:t>
      </w:r>
      <w:r w:rsidRPr="00F96020">
        <w:rPr>
          <w:rFonts w:ascii="Arial" w:hAnsi="Arial" w:cs="Arial"/>
          <w:sz w:val="20"/>
          <w:szCs w:val="20"/>
        </w:rPr>
        <w:t xml:space="preserve"> cho sự phát triển của kinh tế </w:t>
      </w:r>
      <w:r w:rsidR="002E75C2" w:rsidRPr="00F96020">
        <w:rPr>
          <w:rFonts w:ascii="Arial" w:hAnsi="Arial" w:cs="Arial"/>
          <w:sz w:val="20"/>
          <w:szCs w:val="20"/>
        </w:rPr>
        <w:t>I</w:t>
      </w:r>
      <w:r w:rsidRPr="00F96020">
        <w:rPr>
          <w:rFonts w:ascii="Arial" w:hAnsi="Arial" w:cs="Arial"/>
          <w:sz w:val="20"/>
          <w:szCs w:val="20"/>
        </w:rPr>
        <w:t xml:space="preserve">nternet, </w:t>
      </w:r>
      <w:r w:rsidR="006261FF" w:rsidRPr="00F96020">
        <w:rPr>
          <w:rFonts w:ascii="Arial" w:hAnsi="Arial" w:cs="Arial"/>
          <w:sz w:val="20"/>
          <w:szCs w:val="20"/>
        </w:rPr>
        <w:t xml:space="preserve">như có tỷ lệ người sử dụng </w:t>
      </w:r>
      <w:r w:rsidR="002E75C2" w:rsidRPr="00F96020">
        <w:rPr>
          <w:rFonts w:ascii="Arial" w:hAnsi="Arial" w:cs="Arial"/>
          <w:sz w:val="20"/>
          <w:szCs w:val="20"/>
        </w:rPr>
        <w:t>I</w:t>
      </w:r>
      <w:r w:rsidR="006261FF" w:rsidRPr="00F96020">
        <w:rPr>
          <w:rFonts w:ascii="Arial" w:hAnsi="Arial" w:cs="Arial"/>
          <w:sz w:val="20"/>
          <w:szCs w:val="20"/>
        </w:rPr>
        <w:t>nternet nhiều nhất thế giới (</w:t>
      </w:r>
      <w:r w:rsidR="006261FF" w:rsidRPr="00F96020">
        <w:rPr>
          <w:rFonts w:ascii="Arial" w:hAnsi="Arial" w:cs="Arial"/>
          <w:i/>
          <w:sz w:val="20"/>
          <w:szCs w:val="20"/>
        </w:rPr>
        <w:t xml:space="preserve">360 triệu trong số 570 triệu người dân của khu vực này hiện đang sử dụng Internet và cứ 2 người sử dụng </w:t>
      </w:r>
      <w:r w:rsidR="002E75C2" w:rsidRPr="00F96020">
        <w:rPr>
          <w:rFonts w:ascii="Arial" w:hAnsi="Arial" w:cs="Arial"/>
          <w:i/>
          <w:sz w:val="20"/>
          <w:szCs w:val="20"/>
        </w:rPr>
        <w:t>I</w:t>
      </w:r>
      <w:r w:rsidR="006261FF" w:rsidRPr="00F96020">
        <w:rPr>
          <w:rFonts w:ascii="Arial" w:hAnsi="Arial" w:cs="Arial"/>
          <w:i/>
          <w:sz w:val="20"/>
          <w:szCs w:val="20"/>
        </w:rPr>
        <w:t xml:space="preserve">nternet thì có 1 người tham gia kinh tế </w:t>
      </w:r>
      <w:r w:rsidR="002E75C2" w:rsidRPr="00F96020">
        <w:rPr>
          <w:rFonts w:ascii="Arial" w:hAnsi="Arial" w:cs="Arial"/>
          <w:i/>
          <w:sz w:val="20"/>
          <w:szCs w:val="20"/>
        </w:rPr>
        <w:t>I</w:t>
      </w:r>
      <w:r w:rsidR="006261FF" w:rsidRPr="00F96020">
        <w:rPr>
          <w:rFonts w:ascii="Arial" w:hAnsi="Arial" w:cs="Arial"/>
          <w:i/>
          <w:sz w:val="20"/>
          <w:szCs w:val="20"/>
        </w:rPr>
        <w:t>nternet</w:t>
      </w:r>
      <w:r w:rsidR="006261FF" w:rsidRPr="00F96020">
        <w:rPr>
          <w:rFonts w:ascii="Arial" w:hAnsi="Arial" w:cs="Arial"/>
          <w:sz w:val="20"/>
          <w:szCs w:val="20"/>
        </w:rPr>
        <w:t xml:space="preserve">), có thời gian đăng nhập </w:t>
      </w:r>
      <w:r w:rsidR="002E75C2" w:rsidRPr="00F96020">
        <w:rPr>
          <w:rFonts w:ascii="Arial" w:hAnsi="Arial" w:cs="Arial"/>
          <w:sz w:val="20"/>
          <w:szCs w:val="20"/>
        </w:rPr>
        <w:t>I</w:t>
      </w:r>
      <w:r w:rsidR="006261FF" w:rsidRPr="00F96020">
        <w:rPr>
          <w:rFonts w:ascii="Arial" w:hAnsi="Arial" w:cs="Arial"/>
          <w:sz w:val="20"/>
          <w:szCs w:val="20"/>
        </w:rPr>
        <w:t xml:space="preserve">nternet nhiều nhất </w:t>
      </w:r>
      <w:r w:rsidRPr="00F96020">
        <w:rPr>
          <w:rFonts w:ascii="Arial" w:hAnsi="Arial" w:cs="Arial"/>
          <w:sz w:val="20"/>
          <w:szCs w:val="20"/>
        </w:rPr>
        <w:t xml:space="preserve">trong ngày </w:t>
      </w:r>
      <w:r w:rsidR="006261FF" w:rsidRPr="00F96020">
        <w:rPr>
          <w:rFonts w:ascii="Arial" w:hAnsi="Arial" w:cs="Arial"/>
          <w:sz w:val="20"/>
          <w:szCs w:val="20"/>
        </w:rPr>
        <w:t>(</w:t>
      </w:r>
      <w:r w:rsidR="006261FF" w:rsidRPr="00F96020">
        <w:rPr>
          <w:rFonts w:ascii="Arial" w:hAnsi="Arial" w:cs="Arial"/>
          <w:i/>
          <w:sz w:val="20"/>
          <w:szCs w:val="20"/>
        </w:rPr>
        <w:t xml:space="preserve">6 quốc gia Đông Nam Á lọt top 10 toàn cầu về thời gian sử dụng </w:t>
      </w:r>
      <w:r w:rsidR="002E75C2" w:rsidRPr="00F96020">
        <w:rPr>
          <w:rFonts w:ascii="Arial" w:hAnsi="Arial" w:cs="Arial"/>
          <w:i/>
          <w:sz w:val="20"/>
          <w:szCs w:val="20"/>
        </w:rPr>
        <w:t>I</w:t>
      </w:r>
      <w:r w:rsidR="006261FF" w:rsidRPr="00F96020">
        <w:rPr>
          <w:rFonts w:ascii="Arial" w:hAnsi="Arial" w:cs="Arial"/>
          <w:i/>
          <w:sz w:val="20"/>
          <w:szCs w:val="20"/>
        </w:rPr>
        <w:t>nternet trong ngày</w:t>
      </w:r>
      <w:r w:rsidR="006261FF" w:rsidRPr="00F96020">
        <w:rPr>
          <w:rFonts w:ascii="Arial" w:hAnsi="Arial" w:cs="Arial"/>
          <w:sz w:val="20"/>
          <w:szCs w:val="20"/>
        </w:rPr>
        <w:t>), một trong những khu vực có dân số trẻ nhất (</w:t>
      </w:r>
      <w:r w:rsidR="006261FF" w:rsidRPr="00F96020">
        <w:rPr>
          <w:rFonts w:ascii="Arial" w:hAnsi="Arial" w:cs="Arial"/>
          <w:i/>
          <w:sz w:val="20"/>
          <w:szCs w:val="20"/>
        </w:rPr>
        <w:t>67% dân số thuộc độ tuổi từ 15 đến 64</w:t>
      </w:r>
      <w:r w:rsidR="006261FF" w:rsidRPr="00F96020">
        <w:rPr>
          <w:rFonts w:ascii="Arial" w:hAnsi="Arial" w:cs="Arial"/>
          <w:sz w:val="20"/>
          <w:szCs w:val="20"/>
        </w:rPr>
        <w:t>), tốc độ tăng trưởng kinh tế</w:t>
      </w:r>
      <w:r w:rsidR="00641120" w:rsidRPr="00F96020">
        <w:rPr>
          <w:rFonts w:ascii="Arial" w:hAnsi="Arial" w:cs="Arial"/>
          <w:sz w:val="20"/>
          <w:szCs w:val="20"/>
        </w:rPr>
        <w:t xml:space="preserve"> hàng năm </w:t>
      </w:r>
      <w:r w:rsidR="006261FF" w:rsidRPr="00F96020">
        <w:rPr>
          <w:rFonts w:ascii="Arial" w:hAnsi="Arial" w:cs="Arial"/>
          <w:sz w:val="20"/>
          <w:szCs w:val="20"/>
        </w:rPr>
        <w:t>cao hơn mức trung bình của thế giới (</w:t>
      </w:r>
      <w:r w:rsidR="006261FF" w:rsidRPr="00F96020">
        <w:rPr>
          <w:rFonts w:ascii="Arial" w:hAnsi="Arial" w:cs="Arial"/>
          <w:i/>
          <w:sz w:val="20"/>
          <w:szCs w:val="20"/>
        </w:rPr>
        <w:t xml:space="preserve">từ năm 2020, tốc độ tăng trưởng </w:t>
      </w:r>
      <w:r w:rsidR="00641120" w:rsidRPr="00F96020">
        <w:rPr>
          <w:rFonts w:ascii="Arial" w:hAnsi="Arial" w:cs="Arial"/>
          <w:i/>
          <w:sz w:val="20"/>
          <w:szCs w:val="20"/>
        </w:rPr>
        <w:t xml:space="preserve">GDP </w:t>
      </w:r>
      <w:r w:rsidR="006261FF" w:rsidRPr="00F96020">
        <w:rPr>
          <w:rFonts w:ascii="Arial" w:hAnsi="Arial" w:cs="Arial"/>
          <w:i/>
          <w:sz w:val="20"/>
          <w:szCs w:val="20"/>
        </w:rPr>
        <w:t>cao hơn 2% so với mức chung của thế giới</w:t>
      </w:r>
      <w:r w:rsidR="006261FF" w:rsidRPr="00F96020">
        <w:rPr>
          <w:rFonts w:ascii="Arial" w:hAnsi="Arial" w:cs="Arial"/>
          <w:sz w:val="20"/>
          <w:szCs w:val="20"/>
        </w:rPr>
        <w:t>)</w:t>
      </w:r>
      <w:r w:rsidRPr="00F96020">
        <w:rPr>
          <w:rFonts w:ascii="Arial" w:hAnsi="Arial" w:cs="Arial"/>
          <w:sz w:val="20"/>
          <w:szCs w:val="20"/>
        </w:rPr>
        <w:t xml:space="preserve">. </w:t>
      </w:r>
    </w:p>
    <w:p w:rsidR="00A731E0" w:rsidRPr="00F96020" w:rsidRDefault="00EC5E72" w:rsidP="00F96020">
      <w:pPr>
        <w:spacing w:before="120" w:after="0" w:line="240" w:lineRule="auto"/>
        <w:jc w:val="both"/>
        <w:rPr>
          <w:rFonts w:ascii="Arial" w:hAnsi="Arial" w:cs="Arial"/>
          <w:sz w:val="20"/>
          <w:szCs w:val="20"/>
        </w:rPr>
      </w:pPr>
      <w:r w:rsidRPr="00F96020">
        <w:rPr>
          <w:rFonts w:ascii="Arial" w:hAnsi="Arial" w:cs="Arial"/>
          <w:sz w:val="20"/>
          <w:szCs w:val="20"/>
        </w:rPr>
        <w:t xml:space="preserve">Bên cạnh đó, </w:t>
      </w:r>
      <w:r w:rsidR="008E2EAC" w:rsidRPr="00F96020">
        <w:rPr>
          <w:rFonts w:ascii="Arial" w:hAnsi="Arial" w:cs="Arial"/>
          <w:sz w:val="20"/>
          <w:szCs w:val="20"/>
        </w:rPr>
        <w:t xml:space="preserve">một trong </w:t>
      </w:r>
      <w:r w:rsidRPr="00F96020">
        <w:rPr>
          <w:rFonts w:ascii="Arial" w:hAnsi="Arial" w:cs="Arial"/>
          <w:sz w:val="20"/>
          <w:szCs w:val="20"/>
        </w:rPr>
        <w:t>những yếu tố thúc đẩy thương mại điện tử phát triển</w:t>
      </w:r>
      <w:r w:rsidR="008E2EAC" w:rsidRPr="00F96020">
        <w:rPr>
          <w:rFonts w:ascii="Arial" w:hAnsi="Arial" w:cs="Arial"/>
          <w:sz w:val="20"/>
          <w:szCs w:val="20"/>
        </w:rPr>
        <w:t xml:space="preserve"> </w:t>
      </w:r>
      <w:r w:rsidR="00725B11" w:rsidRPr="00F96020">
        <w:rPr>
          <w:rFonts w:ascii="Arial" w:hAnsi="Arial" w:cs="Arial"/>
          <w:sz w:val="20"/>
          <w:szCs w:val="20"/>
        </w:rPr>
        <w:t xml:space="preserve">chính là thanh toán </w:t>
      </w:r>
      <w:r w:rsidR="008E2EAC" w:rsidRPr="00F96020">
        <w:rPr>
          <w:rFonts w:ascii="Arial" w:hAnsi="Arial" w:cs="Arial"/>
          <w:sz w:val="20"/>
          <w:szCs w:val="20"/>
        </w:rPr>
        <w:t>kỹ thuật số (Digital Payment). Theo Google, Temasek Holdings Pte và Bain &amp; Co, t</w:t>
      </w:r>
      <w:r w:rsidR="007B6F3F" w:rsidRPr="00F96020">
        <w:rPr>
          <w:rFonts w:ascii="Arial" w:hAnsi="Arial" w:cs="Arial"/>
          <w:sz w:val="20"/>
          <w:szCs w:val="20"/>
        </w:rPr>
        <w:t xml:space="preserve">hanh toán kỹ thuật số </w:t>
      </w:r>
      <w:r w:rsidR="002A66E7" w:rsidRPr="00F96020">
        <w:rPr>
          <w:rFonts w:ascii="Arial" w:hAnsi="Arial" w:cs="Arial"/>
          <w:sz w:val="20"/>
          <w:szCs w:val="20"/>
        </w:rPr>
        <w:t xml:space="preserve">cùng với chuyển tiền số, </w:t>
      </w:r>
      <w:r w:rsidR="001F4BD5" w:rsidRPr="00F96020">
        <w:rPr>
          <w:rFonts w:ascii="Arial" w:hAnsi="Arial" w:cs="Arial"/>
          <w:sz w:val="20"/>
          <w:szCs w:val="20"/>
        </w:rPr>
        <w:t>tín dụng</w:t>
      </w:r>
      <w:r w:rsidR="002A66E7" w:rsidRPr="00F96020">
        <w:rPr>
          <w:rFonts w:ascii="Arial" w:hAnsi="Arial" w:cs="Arial"/>
          <w:sz w:val="20"/>
          <w:szCs w:val="20"/>
        </w:rPr>
        <w:t xml:space="preserve"> số, đầu tư số và bảo hiểm số </w:t>
      </w:r>
      <w:r w:rsidRPr="00F96020">
        <w:rPr>
          <w:rFonts w:ascii="Arial" w:hAnsi="Arial" w:cs="Arial"/>
          <w:sz w:val="20"/>
          <w:szCs w:val="20"/>
        </w:rPr>
        <w:t xml:space="preserve">trong khu vực </w:t>
      </w:r>
      <w:r w:rsidR="00641120" w:rsidRPr="00F96020">
        <w:rPr>
          <w:rFonts w:ascii="Arial" w:hAnsi="Arial" w:cs="Arial"/>
          <w:sz w:val="20"/>
          <w:szCs w:val="20"/>
        </w:rPr>
        <w:t xml:space="preserve">Đông Nam Á </w:t>
      </w:r>
      <w:r w:rsidRPr="00F96020">
        <w:rPr>
          <w:rFonts w:ascii="Arial" w:hAnsi="Arial" w:cs="Arial"/>
          <w:sz w:val="20"/>
          <w:szCs w:val="20"/>
        </w:rPr>
        <w:t xml:space="preserve">đang </w:t>
      </w:r>
      <w:r w:rsidR="002E75C2" w:rsidRPr="00F96020">
        <w:rPr>
          <w:rFonts w:ascii="Arial" w:hAnsi="Arial" w:cs="Arial"/>
          <w:sz w:val="20"/>
          <w:szCs w:val="20"/>
        </w:rPr>
        <w:t xml:space="preserve">hình </w:t>
      </w:r>
      <w:r w:rsidR="002A66E7" w:rsidRPr="00F96020">
        <w:rPr>
          <w:rFonts w:ascii="Arial" w:hAnsi="Arial" w:cs="Arial"/>
          <w:sz w:val="20"/>
          <w:szCs w:val="20"/>
        </w:rPr>
        <w:t xml:space="preserve">thành hệ sinh thái các dịch vụ tài chính </w:t>
      </w:r>
      <w:r w:rsidR="00641120" w:rsidRPr="00F96020">
        <w:rPr>
          <w:rFonts w:ascii="Arial" w:hAnsi="Arial" w:cs="Arial"/>
          <w:sz w:val="20"/>
          <w:szCs w:val="20"/>
        </w:rPr>
        <w:t>số có</w:t>
      </w:r>
      <w:r w:rsidR="001F4BD5" w:rsidRPr="00F96020">
        <w:rPr>
          <w:rFonts w:ascii="Arial" w:hAnsi="Arial" w:cs="Arial"/>
          <w:sz w:val="20"/>
          <w:szCs w:val="20"/>
        </w:rPr>
        <w:t xml:space="preserve"> </w:t>
      </w:r>
      <w:r w:rsidR="002A66E7" w:rsidRPr="00F96020">
        <w:rPr>
          <w:rFonts w:ascii="Arial" w:hAnsi="Arial" w:cs="Arial"/>
          <w:sz w:val="20"/>
          <w:szCs w:val="20"/>
        </w:rPr>
        <w:t>sự chuyển đổi mạnh mẽ nhấ</w:t>
      </w:r>
      <w:r w:rsidRPr="00F96020">
        <w:rPr>
          <w:rFonts w:ascii="Arial" w:hAnsi="Arial" w:cs="Arial"/>
          <w:sz w:val="20"/>
          <w:szCs w:val="20"/>
        </w:rPr>
        <w:t xml:space="preserve">t </w:t>
      </w:r>
      <w:r w:rsidR="008E2EAC" w:rsidRPr="00F96020">
        <w:rPr>
          <w:rFonts w:ascii="Arial" w:hAnsi="Arial" w:cs="Arial"/>
          <w:sz w:val="20"/>
          <w:szCs w:val="20"/>
        </w:rPr>
        <w:t xml:space="preserve">và </w:t>
      </w:r>
      <w:r w:rsidR="00A731E0" w:rsidRPr="00F96020">
        <w:rPr>
          <w:rFonts w:ascii="Arial" w:hAnsi="Arial" w:cs="Arial"/>
          <w:sz w:val="20"/>
          <w:szCs w:val="20"/>
        </w:rPr>
        <w:t xml:space="preserve">mở rộng nhanh </w:t>
      </w:r>
      <w:r w:rsidR="00641120" w:rsidRPr="00F96020">
        <w:rPr>
          <w:rFonts w:ascii="Arial" w:hAnsi="Arial" w:cs="Arial"/>
          <w:sz w:val="20"/>
          <w:szCs w:val="20"/>
        </w:rPr>
        <w:t>nhất</w:t>
      </w:r>
      <w:r w:rsidR="00A731E0" w:rsidRPr="00F96020">
        <w:rPr>
          <w:rFonts w:ascii="Arial" w:hAnsi="Arial" w:cs="Arial"/>
          <w:sz w:val="20"/>
          <w:szCs w:val="20"/>
        </w:rPr>
        <w:t xml:space="preserve"> các công nghệ và </w:t>
      </w:r>
      <w:r w:rsidR="002E75C2" w:rsidRPr="00F96020">
        <w:rPr>
          <w:rFonts w:ascii="Arial" w:hAnsi="Arial" w:cs="Arial"/>
          <w:sz w:val="20"/>
          <w:szCs w:val="20"/>
        </w:rPr>
        <w:t>dịch vụ</w:t>
      </w:r>
      <w:r w:rsidR="00A731E0" w:rsidRPr="00F96020">
        <w:rPr>
          <w:rFonts w:ascii="Arial" w:hAnsi="Arial" w:cs="Arial"/>
          <w:sz w:val="20"/>
          <w:szCs w:val="20"/>
        </w:rPr>
        <w:t xml:space="preserve"> tài chính mới, giúp cho hệ thống </w:t>
      </w:r>
      <w:r w:rsidR="008E2EAC" w:rsidRPr="00F96020">
        <w:rPr>
          <w:rFonts w:ascii="Arial" w:hAnsi="Arial" w:cs="Arial"/>
          <w:sz w:val="20"/>
          <w:szCs w:val="20"/>
        </w:rPr>
        <w:t>tài chính</w:t>
      </w:r>
      <w:r w:rsidR="002E75C2" w:rsidRPr="00F96020">
        <w:rPr>
          <w:rFonts w:ascii="Arial" w:hAnsi="Arial" w:cs="Arial"/>
          <w:sz w:val="20"/>
          <w:szCs w:val="20"/>
        </w:rPr>
        <w:t xml:space="preserve"> -</w:t>
      </w:r>
      <w:r w:rsidR="008E2EAC" w:rsidRPr="00F96020">
        <w:rPr>
          <w:rFonts w:ascii="Arial" w:hAnsi="Arial" w:cs="Arial"/>
          <w:sz w:val="20"/>
          <w:szCs w:val="20"/>
        </w:rPr>
        <w:t xml:space="preserve"> </w:t>
      </w:r>
      <w:r w:rsidR="00A731E0" w:rsidRPr="00F96020">
        <w:rPr>
          <w:rFonts w:ascii="Arial" w:hAnsi="Arial" w:cs="Arial"/>
          <w:sz w:val="20"/>
          <w:szCs w:val="20"/>
        </w:rPr>
        <w:t xml:space="preserve">ngân hàng </w:t>
      </w:r>
      <w:r w:rsidR="00641120" w:rsidRPr="00F96020">
        <w:rPr>
          <w:rFonts w:ascii="Arial" w:hAnsi="Arial" w:cs="Arial"/>
          <w:sz w:val="20"/>
          <w:szCs w:val="20"/>
        </w:rPr>
        <w:t xml:space="preserve">khu vực </w:t>
      </w:r>
      <w:r w:rsidR="00A731E0" w:rsidRPr="00F96020">
        <w:rPr>
          <w:rFonts w:ascii="Arial" w:hAnsi="Arial" w:cs="Arial"/>
          <w:sz w:val="20"/>
          <w:szCs w:val="20"/>
        </w:rPr>
        <w:t xml:space="preserve">đạt được hiệu quả kinh tế cao hơn khi </w:t>
      </w:r>
      <w:r w:rsidR="00641120" w:rsidRPr="00F96020">
        <w:rPr>
          <w:rFonts w:ascii="Arial" w:hAnsi="Arial" w:cs="Arial"/>
          <w:sz w:val="20"/>
          <w:szCs w:val="20"/>
        </w:rPr>
        <w:t xml:space="preserve">tăng cường khả năng </w:t>
      </w:r>
      <w:r w:rsidR="00A731E0" w:rsidRPr="00F96020">
        <w:rPr>
          <w:rFonts w:ascii="Arial" w:hAnsi="Arial" w:cs="Arial"/>
          <w:sz w:val="20"/>
          <w:szCs w:val="20"/>
        </w:rPr>
        <w:t xml:space="preserve">tiếp cận </w:t>
      </w:r>
      <w:r w:rsidR="00641120" w:rsidRPr="00F96020">
        <w:rPr>
          <w:rFonts w:ascii="Arial" w:hAnsi="Arial" w:cs="Arial"/>
          <w:sz w:val="20"/>
          <w:szCs w:val="20"/>
        </w:rPr>
        <w:t>tới</w:t>
      </w:r>
      <w:r w:rsidR="00A731E0" w:rsidRPr="00F96020">
        <w:rPr>
          <w:rFonts w:ascii="Arial" w:hAnsi="Arial" w:cs="Arial"/>
          <w:sz w:val="20"/>
          <w:szCs w:val="20"/>
        </w:rPr>
        <w:t xml:space="preserve"> </w:t>
      </w:r>
      <w:r w:rsidR="00360C6A" w:rsidRPr="00F96020">
        <w:rPr>
          <w:rFonts w:ascii="Arial" w:hAnsi="Arial" w:cs="Arial"/>
          <w:sz w:val="20"/>
          <w:szCs w:val="20"/>
        </w:rPr>
        <w:t xml:space="preserve">người chưa có tài khoản </w:t>
      </w:r>
      <w:r w:rsidR="008E2EAC" w:rsidRPr="00F96020">
        <w:rPr>
          <w:rFonts w:ascii="Arial" w:hAnsi="Arial" w:cs="Arial"/>
          <w:sz w:val="20"/>
          <w:szCs w:val="20"/>
        </w:rPr>
        <w:t xml:space="preserve">(unbanked) </w:t>
      </w:r>
      <w:r w:rsidR="00360C6A" w:rsidRPr="00F96020">
        <w:rPr>
          <w:rFonts w:ascii="Arial" w:hAnsi="Arial" w:cs="Arial"/>
          <w:sz w:val="20"/>
          <w:szCs w:val="20"/>
        </w:rPr>
        <w:t>và ngườ</w:t>
      </w:r>
      <w:r w:rsidR="008E2EAC" w:rsidRPr="00F96020">
        <w:rPr>
          <w:rFonts w:ascii="Arial" w:hAnsi="Arial" w:cs="Arial"/>
          <w:sz w:val="20"/>
          <w:szCs w:val="20"/>
        </w:rPr>
        <w:t xml:space="preserve">i </w:t>
      </w:r>
      <w:r w:rsidR="00641120" w:rsidRPr="00F96020">
        <w:rPr>
          <w:rFonts w:ascii="Arial" w:hAnsi="Arial" w:cs="Arial"/>
          <w:sz w:val="20"/>
          <w:szCs w:val="20"/>
        </w:rPr>
        <w:t>có</w:t>
      </w:r>
      <w:r w:rsidR="002E75C2" w:rsidRPr="00F96020">
        <w:rPr>
          <w:rFonts w:ascii="Arial" w:hAnsi="Arial" w:cs="Arial"/>
          <w:sz w:val="20"/>
          <w:szCs w:val="20"/>
        </w:rPr>
        <w:t xml:space="preserve"> </w:t>
      </w:r>
      <w:r w:rsidR="00360C6A" w:rsidRPr="00F96020">
        <w:rPr>
          <w:rFonts w:ascii="Arial" w:hAnsi="Arial" w:cs="Arial"/>
          <w:sz w:val="20"/>
          <w:szCs w:val="20"/>
        </w:rPr>
        <w:t xml:space="preserve">hạn chế </w:t>
      </w:r>
      <w:r w:rsidR="008E2EAC" w:rsidRPr="00F96020">
        <w:rPr>
          <w:rFonts w:ascii="Arial" w:hAnsi="Arial" w:cs="Arial"/>
          <w:sz w:val="20"/>
          <w:szCs w:val="20"/>
        </w:rPr>
        <w:t xml:space="preserve">trong việc </w:t>
      </w:r>
      <w:r w:rsidR="00360C6A" w:rsidRPr="00F96020">
        <w:rPr>
          <w:rFonts w:ascii="Arial" w:hAnsi="Arial" w:cs="Arial"/>
          <w:sz w:val="20"/>
          <w:szCs w:val="20"/>
        </w:rPr>
        <w:t xml:space="preserve">tiếp cận </w:t>
      </w:r>
      <w:r w:rsidR="002E75C2" w:rsidRPr="00F96020">
        <w:rPr>
          <w:rFonts w:ascii="Arial" w:hAnsi="Arial" w:cs="Arial"/>
          <w:sz w:val="20"/>
          <w:szCs w:val="20"/>
        </w:rPr>
        <w:t xml:space="preserve">các </w:t>
      </w:r>
      <w:r w:rsidR="00360C6A" w:rsidRPr="00F96020">
        <w:rPr>
          <w:rFonts w:ascii="Arial" w:hAnsi="Arial" w:cs="Arial"/>
          <w:sz w:val="20"/>
          <w:szCs w:val="20"/>
        </w:rPr>
        <w:t>dịch vụ ngân hàng</w:t>
      </w:r>
      <w:r w:rsidR="002E75C2" w:rsidRPr="00F96020">
        <w:rPr>
          <w:rFonts w:ascii="Arial" w:hAnsi="Arial" w:cs="Arial"/>
          <w:sz w:val="20"/>
          <w:szCs w:val="20"/>
        </w:rPr>
        <w:t xml:space="preserve"> truyền thống</w:t>
      </w:r>
      <w:r w:rsidR="008E2EAC" w:rsidRPr="00F96020">
        <w:rPr>
          <w:rFonts w:ascii="Arial" w:hAnsi="Arial" w:cs="Arial"/>
          <w:sz w:val="20"/>
          <w:szCs w:val="20"/>
        </w:rPr>
        <w:t xml:space="preserve"> (underbanked)</w:t>
      </w:r>
      <w:r w:rsidR="00A731E0" w:rsidRPr="00F96020">
        <w:rPr>
          <w:rFonts w:ascii="Arial" w:hAnsi="Arial" w:cs="Arial"/>
          <w:sz w:val="20"/>
          <w:szCs w:val="20"/>
        </w:rPr>
        <w:t>. Các công nghệ mới</w:t>
      </w:r>
      <w:r w:rsidR="008E2EAC" w:rsidRPr="00F96020">
        <w:rPr>
          <w:rFonts w:ascii="Arial" w:hAnsi="Arial" w:cs="Arial"/>
          <w:sz w:val="20"/>
          <w:szCs w:val="20"/>
        </w:rPr>
        <w:t xml:space="preserve"> nhất</w:t>
      </w:r>
      <w:r w:rsidR="00475C43" w:rsidRPr="00F96020">
        <w:rPr>
          <w:rFonts w:ascii="Arial" w:hAnsi="Arial" w:cs="Arial"/>
          <w:sz w:val="20"/>
          <w:szCs w:val="20"/>
        </w:rPr>
        <w:t xml:space="preserve"> (như T</w:t>
      </w:r>
      <w:r w:rsidR="002E75C2" w:rsidRPr="00F96020">
        <w:rPr>
          <w:rFonts w:ascii="Arial" w:hAnsi="Arial" w:cs="Arial"/>
          <w:sz w:val="20"/>
          <w:szCs w:val="20"/>
        </w:rPr>
        <w:t>rí tuệ nhân tạo – AI, phân tích dữ liệu lớn – Big data</w:t>
      </w:r>
      <w:r w:rsidR="00475C43" w:rsidRPr="00F96020">
        <w:rPr>
          <w:rFonts w:ascii="Arial" w:hAnsi="Arial" w:cs="Arial"/>
          <w:sz w:val="20"/>
          <w:szCs w:val="20"/>
        </w:rPr>
        <w:t xml:space="preserve"> Analytics</w:t>
      </w:r>
      <w:r w:rsidR="002E75C2" w:rsidRPr="00F96020">
        <w:rPr>
          <w:rFonts w:ascii="Arial" w:hAnsi="Arial" w:cs="Arial"/>
          <w:sz w:val="20"/>
          <w:szCs w:val="20"/>
        </w:rPr>
        <w:t xml:space="preserve">, </w:t>
      </w:r>
      <w:r w:rsidR="00475C43" w:rsidRPr="00F96020">
        <w:rPr>
          <w:rFonts w:ascii="Arial" w:hAnsi="Arial" w:cs="Arial"/>
          <w:sz w:val="20"/>
          <w:szCs w:val="20"/>
        </w:rPr>
        <w:t>T</w:t>
      </w:r>
      <w:r w:rsidR="002E75C2" w:rsidRPr="00F96020">
        <w:rPr>
          <w:rFonts w:ascii="Arial" w:hAnsi="Arial" w:cs="Arial"/>
          <w:sz w:val="20"/>
          <w:szCs w:val="20"/>
        </w:rPr>
        <w:t>ư vấn</w:t>
      </w:r>
      <w:r w:rsidR="00475C43" w:rsidRPr="00F96020">
        <w:rPr>
          <w:rFonts w:ascii="Arial" w:hAnsi="Arial" w:cs="Arial"/>
          <w:sz w:val="20"/>
          <w:szCs w:val="20"/>
        </w:rPr>
        <w:t xml:space="preserve"> tài chính tự động</w:t>
      </w:r>
      <w:r w:rsidR="002E75C2" w:rsidRPr="00F96020">
        <w:rPr>
          <w:rFonts w:ascii="Arial" w:hAnsi="Arial" w:cs="Arial"/>
          <w:sz w:val="20"/>
          <w:szCs w:val="20"/>
        </w:rPr>
        <w:t xml:space="preserve"> – Robo Advisor,…)</w:t>
      </w:r>
      <w:r w:rsidR="008E2EAC" w:rsidRPr="00F96020">
        <w:rPr>
          <w:rFonts w:ascii="Arial" w:hAnsi="Arial" w:cs="Arial"/>
          <w:sz w:val="20"/>
          <w:szCs w:val="20"/>
        </w:rPr>
        <w:t xml:space="preserve"> đã được ứng dụng trong </w:t>
      </w:r>
      <w:r w:rsidR="00360C6A" w:rsidRPr="00F96020">
        <w:rPr>
          <w:rFonts w:ascii="Arial" w:hAnsi="Arial" w:cs="Arial"/>
          <w:sz w:val="20"/>
          <w:szCs w:val="20"/>
        </w:rPr>
        <w:t>lĩnh vực thanh toán và ngân hàng số,</w:t>
      </w:r>
      <w:r w:rsidR="00A731E0" w:rsidRPr="00F96020">
        <w:rPr>
          <w:rFonts w:ascii="Arial" w:hAnsi="Arial" w:cs="Arial"/>
          <w:sz w:val="20"/>
          <w:szCs w:val="20"/>
        </w:rPr>
        <w:t xml:space="preserve"> </w:t>
      </w:r>
      <w:r w:rsidR="008E2EAC" w:rsidRPr="00F96020">
        <w:rPr>
          <w:rFonts w:ascii="Arial" w:hAnsi="Arial" w:cs="Arial"/>
          <w:sz w:val="20"/>
          <w:szCs w:val="20"/>
        </w:rPr>
        <w:t>giúp thay đổi hành vi thanh toán của người tiêu dùng và được</w:t>
      </w:r>
      <w:r w:rsidR="00A731E0" w:rsidRPr="00F96020">
        <w:rPr>
          <w:rFonts w:ascii="Arial" w:hAnsi="Arial" w:cs="Arial"/>
          <w:sz w:val="20"/>
          <w:szCs w:val="20"/>
        </w:rPr>
        <w:t xml:space="preserve"> lựa chọn sử dụ</w:t>
      </w:r>
      <w:r w:rsidR="003B7955" w:rsidRPr="00F96020">
        <w:rPr>
          <w:rFonts w:ascii="Arial" w:hAnsi="Arial" w:cs="Arial"/>
          <w:sz w:val="20"/>
          <w:szCs w:val="20"/>
        </w:rPr>
        <w:t xml:space="preserve">ng </w:t>
      </w:r>
      <w:r w:rsidR="008E2EAC" w:rsidRPr="00F96020">
        <w:rPr>
          <w:rFonts w:ascii="Arial" w:hAnsi="Arial" w:cs="Arial"/>
          <w:sz w:val="20"/>
          <w:szCs w:val="20"/>
        </w:rPr>
        <w:t>nhiều hơn bởi những ưu điểm về sự thuận tiện</w:t>
      </w:r>
      <w:r w:rsidR="00A903B6" w:rsidRPr="00F96020">
        <w:rPr>
          <w:rFonts w:ascii="Arial" w:hAnsi="Arial" w:cs="Arial"/>
          <w:sz w:val="20"/>
          <w:szCs w:val="20"/>
        </w:rPr>
        <w:t xml:space="preserve">, tốc độ giao dịch </w:t>
      </w:r>
      <w:r w:rsidR="008E2EAC" w:rsidRPr="00F96020">
        <w:rPr>
          <w:rFonts w:ascii="Arial" w:hAnsi="Arial" w:cs="Arial"/>
          <w:sz w:val="20"/>
          <w:szCs w:val="20"/>
        </w:rPr>
        <w:t>và tiết kiệm chi phí</w:t>
      </w:r>
      <w:r w:rsidR="009A1E86" w:rsidRPr="00F96020">
        <w:rPr>
          <w:rFonts w:ascii="Arial" w:hAnsi="Arial" w:cs="Arial"/>
          <w:sz w:val="20"/>
          <w:szCs w:val="20"/>
        </w:rPr>
        <w:t>.</w:t>
      </w:r>
      <w:r w:rsidR="008E2EAC" w:rsidRPr="00F96020">
        <w:rPr>
          <w:rFonts w:ascii="Arial" w:hAnsi="Arial" w:cs="Arial"/>
          <w:sz w:val="20"/>
          <w:szCs w:val="20"/>
        </w:rPr>
        <w:t xml:space="preserve"> </w:t>
      </w:r>
    </w:p>
    <w:p w:rsidR="002A66E7" w:rsidRPr="00F96020" w:rsidRDefault="002A66E7" w:rsidP="00F96020">
      <w:pPr>
        <w:spacing w:before="120" w:after="0" w:line="240" w:lineRule="auto"/>
        <w:jc w:val="both"/>
        <w:rPr>
          <w:rFonts w:ascii="Arial" w:hAnsi="Arial" w:cs="Arial"/>
          <w:sz w:val="20"/>
          <w:szCs w:val="20"/>
        </w:rPr>
      </w:pPr>
      <w:r w:rsidRPr="00F96020">
        <w:rPr>
          <w:rFonts w:ascii="Arial" w:hAnsi="Arial" w:cs="Arial"/>
          <w:sz w:val="20"/>
          <w:szCs w:val="20"/>
        </w:rPr>
        <w:t xml:space="preserve">Trong </w:t>
      </w:r>
      <w:r w:rsidR="001C5DE8" w:rsidRPr="00F96020">
        <w:rPr>
          <w:rFonts w:ascii="Arial" w:hAnsi="Arial" w:cs="Arial"/>
          <w:sz w:val="20"/>
          <w:szCs w:val="20"/>
        </w:rPr>
        <w:t>bối cảnh</w:t>
      </w:r>
      <w:r w:rsidRPr="00F96020">
        <w:rPr>
          <w:rFonts w:ascii="Arial" w:hAnsi="Arial" w:cs="Arial"/>
          <w:sz w:val="20"/>
          <w:szCs w:val="20"/>
        </w:rPr>
        <w:t xml:space="preserve"> đó, thanh toán số, bao gồm các hình thức thanh toán không dùng tiền mặt như thanh toán thẻ, </w:t>
      </w:r>
      <w:r w:rsidR="00360C6A" w:rsidRPr="00F96020">
        <w:rPr>
          <w:rFonts w:ascii="Arial" w:hAnsi="Arial" w:cs="Arial"/>
          <w:sz w:val="20"/>
          <w:szCs w:val="20"/>
        </w:rPr>
        <w:t xml:space="preserve">thanh toán qua di dộng, thanh toán qua </w:t>
      </w:r>
      <w:r w:rsidR="002E75C2" w:rsidRPr="00F96020">
        <w:rPr>
          <w:rFonts w:ascii="Arial" w:hAnsi="Arial" w:cs="Arial"/>
          <w:sz w:val="20"/>
          <w:szCs w:val="20"/>
        </w:rPr>
        <w:t>I</w:t>
      </w:r>
      <w:r w:rsidR="00360C6A" w:rsidRPr="00F96020">
        <w:rPr>
          <w:rFonts w:ascii="Arial" w:hAnsi="Arial" w:cs="Arial"/>
          <w:sz w:val="20"/>
          <w:szCs w:val="20"/>
        </w:rPr>
        <w:t>nternet hay</w:t>
      </w:r>
      <w:r w:rsidRPr="00F96020">
        <w:rPr>
          <w:rFonts w:ascii="Arial" w:hAnsi="Arial" w:cs="Arial"/>
          <w:sz w:val="20"/>
          <w:szCs w:val="20"/>
        </w:rPr>
        <w:t xml:space="preserve"> ví điện tử, </w:t>
      </w:r>
      <w:r w:rsidR="007B6F3F" w:rsidRPr="00F96020">
        <w:rPr>
          <w:rFonts w:ascii="Arial" w:hAnsi="Arial" w:cs="Arial"/>
          <w:sz w:val="20"/>
          <w:szCs w:val="20"/>
        </w:rPr>
        <w:t xml:space="preserve">đang </w:t>
      </w:r>
      <w:r w:rsidR="00725B11" w:rsidRPr="00F96020">
        <w:rPr>
          <w:rFonts w:ascii="Arial" w:hAnsi="Arial" w:cs="Arial"/>
          <w:sz w:val="20"/>
          <w:szCs w:val="20"/>
        </w:rPr>
        <w:t>trở thành x</w:t>
      </w:r>
      <w:r w:rsidR="007B6F3F" w:rsidRPr="00F96020">
        <w:rPr>
          <w:rFonts w:ascii="Arial" w:hAnsi="Arial" w:cs="Arial"/>
          <w:sz w:val="20"/>
          <w:szCs w:val="20"/>
        </w:rPr>
        <w:t xml:space="preserve">u thế </w:t>
      </w:r>
      <w:r w:rsidR="009A1E86" w:rsidRPr="00F96020">
        <w:rPr>
          <w:rFonts w:ascii="Arial" w:hAnsi="Arial" w:cs="Arial"/>
          <w:sz w:val="20"/>
          <w:szCs w:val="20"/>
        </w:rPr>
        <w:t>thanh toán</w:t>
      </w:r>
      <w:r w:rsidR="002E75C2" w:rsidRPr="00F96020">
        <w:rPr>
          <w:rFonts w:ascii="Arial" w:hAnsi="Arial" w:cs="Arial"/>
          <w:sz w:val="20"/>
          <w:szCs w:val="20"/>
        </w:rPr>
        <w:t xml:space="preserve"> chủ đạo</w:t>
      </w:r>
      <w:r w:rsidR="009A1E86" w:rsidRPr="00F96020">
        <w:rPr>
          <w:rFonts w:ascii="Arial" w:hAnsi="Arial" w:cs="Arial"/>
          <w:sz w:val="20"/>
          <w:szCs w:val="20"/>
        </w:rPr>
        <w:t xml:space="preserve"> được </w:t>
      </w:r>
      <w:r w:rsidR="00334C49" w:rsidRPr="00F96020">
        <w:rPr>
          <w:rFonts w:ascii="Arial" w:hAnsi="Arial" w:cs="Arial"/>
          <w:sz w:val="20"/>
          <w:szCs w:val="20"/>
        </w:rPr>
        <w:t xml:space="preserve">người dân </w:t>
      </w:r>
      <w:r w:rsidR="009A1E86" w:rsidRPr="00F96020">
        <w:rPr>
          <w:rFonts w:ascii="Arial" w:hAnsi="Arial" w:cs="Arial"/>
          <w:sz w:val="20"/>
          <w:szCs w:val="20"/>
        </w:rPr>
        <w:t>lựa chọn</w:t>
      </w:r>
      <w:r w:rsidR="001F4BD5" w:rsidRPr="00F96020">
        <w:rPr>
          <w:rFonts w:ascii="Arial" w:hAnsi="Arial" w:cs="Arial"/>
          <w:sz w:val="20"/>
          <w:szCs w:val="20"/>
        </w:rPr>
        <w:t xml:space="preserve"> </w:t>
      </w:r>
      <w:r w:rsidR="007B6F3F" w:rsidRPr="00F96020">
        <w:rPr>
          <w:rFonts w:ascii="Arial" w:hAnsi="Arial" w:cs="Arial"/>
          <w:sz w:val="20"/>
          <w:szCs w:val="20"/>
        </w:rPr>
        <w:t>và được kỳ vọng sẽ vượt quá 1 nghìn tỷ</w:t>
      </w:r>
      <w:r w:rsidR="00B86ECA" w:rsidRPr="00F96020">
        <w:rPr>
          <w:rFonts w:ascii="Arial" w:hAnsi="Arial" w:cs="Arial"/>
          <w:sz w:val="20"/>
          <w:szCs w:val="20"/>
        </w:rPr>
        <w:t xml:space="preserve"> USD vào năm 2025. </w:t>
      </w:r>
      <w:r w:rsidR="00CC787F" w:rsidRPr="00F96020">
        <w:rPr>
          <w:rFonts w:ascii="Arial" w:hAnsi="Arial" w:cs="Arial"/>
          <w:sz w:val="20"/>
          <w:szCs w:val="20"/>
        </w:rPr>
        <w:t>Điều</w:t>
      </w:r>
      <w:r w:rsidR="001F4BD5" w:rsidRPr="00F96020">
        <w:rPr>
          <w:rFonts w:ascii="Arial" w:hAnsi="Arial" w:cs="Arial"/>
          <w:sz w:val="20"/>
          <w:szCs w:val="20"/>
        </w:rPr>
        <w:t xml:space="preserve"> này c</w:t>
      </w:r>
      <w:r w:rsidRPr="00F96020">
        <w:rPr>
          <w:rFonts w:ascii="Arial" w:hAnsi="Arial" w:cs="Arial"/>
          <w:sz w:val="20"/>
          <w:szCs w:val="20"/>
        </w:rPr>
        <w:t>ó nghĩa là, cứ 2 USD thanh toán trong nền kinh tế thì gầ</w:t>
      </w:r>
      <w:r w:rsidR="00A731E0" w:rsidRPr="00F96020">
        <w:rPr>
          <w:rFonts w:ascii="Arial" w:hAnsi="Arial" w:cs="Arial"/>
          <w:sz w:val="20"/>
          <w:szCs w:val="20"/>
        </w:rPr>
        <w:t>n 1 USD sẽ thực hiện</w:t>
      </w:r>
      <w:r w:rsidRPr="00F96020">
        <w:rPr>
          <w:rFonts w:ascii="Arial" w:hAnsi="Arial" w:cs="Arial"/>
          <w:sz w:val="20"/>
          <w:szCs w:val="20"/>
        </w:rPr>
        <w:t xml:space="preserve"> </w:t>
      </w:r>
      <w:r w:rsidR="00C01CE6" w:rsidRPr="00F96020">
        <w:rPr>
          <w:rFonts w:ascii="Arial" w:hAnsi="Arial" w:cs="Arial"/>
          <w:sz w:val="20"/>
          <w:szCs w:val="20"/>
        </w:rPr>
        <w:t xml:space="preserve">qua các kênh </w:t>
      </w:r>
      <w:r w:rsidRPr="00F96020">
        <w:rPr>
          <w:rFonts w:ascii="Arial" w:hAnsi="Arial" w:cs="Arial"/>
          <w:sz w:val="20"/>
          <w:szCs w:val="20"/>
        </w:rPr>
        <w:t xml:space="preserve">thanh toán điện tử. </w:t>
      </w:r>
    </w:p>
    <w:p w:rsidR="00641120" w:rsidRPr="00F96020" w:rsidRDefault="00641120" w:rsidP="00F96020">
      <w:pPr>
        <w:spacing w:before="120" w:after="0" w:line="240" w:lineRule="auto"/>
        <w:ind w:firstLine="720"/>
        <w:jc w:val="both"/>
        <w:rPr>
          <w:rFonts w:ascii="Arial" w:hAnsi="Arial" w:cs="Arial"/>
          <w:sz w:val="20"/>
          <w:szCs w:val="20"/>
        </w:rPr>
      </w:pPr>
      <w:r w:rsidRPr="00F96020">
        <w:rPr>
          <w:rFonts w:ascii="Arial" w:hAnsi="Arial" w:cs="Arial"/>
          <w:noProof/>
          <w:sz w:val="20"/>
          <w:szCs w:val="20"/>
        </w:rPr>
        <w:lastRenderedPageBreak/>
        <w:drawing>
          <wp:inline distT="0" distB="0" distL="0" distR="0" wp14:anchorId="1B70EC0F" wp14:editId="561CCCD2">
            <wp:extent cx="5590540" cy="2371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0540" cy="2371725"/>
                    </a:xfrm>
                    <a:prstGeom prst="rect">
                      <a:avLst/>
                    </a:prstGeom>
                    <a:noFill/>
                  </pic:spPr>
                </pic:pic>
              </a:graphicData>
            </a:graphic>
          </wp:inline>
        </w:drawing>
      </w:r>
    </w:p>
    <w:p w:rsidR="00334C49" w:rsidRPr="00F96020" w:rsidRDefault="00334C49" w:rsidP="00F96020">
      <w:pPr>
        <w:spacing w:before="120" w:after="0" w:line="240" w:lineRule="auto"/>
        <w:ind w:left="7200"/>
        <w:jc w:val="both"/>
        <w:rPr>
          <w:rFonts w:ascii="Arial" w:hAnsi="Arial" w:cs="Arial"/>
          <w:sz w:val="20"/>
          <w:szCs w:val="20"/>
        </w:rPr>
      </w:pPr>
      <w:r w:rsidRPr="00F96020">
        <w:rPr>
          <w:rFonts w:ascii="Arial" w:hAnsi="Arial" w:cs="Arial"/>
          <w:sz w:val="20"/>
          <w:szCs w:val="20"/>
        </w:rPr>
        <w:t xml:space="preserve">    Đơn vị: Tỷ USD</w:t>
      </w:r>
    </w:p>
    <w:p w:rsidR="00641120" w:rsidRPr="00F96020" w:rsidRDefault="00641120" w:rsidP="00F96020">
      <w:pPr>
        <w:spacing w:before="120" w:after="0" w:line="240" w:lineRule="auto"/>
        <w:ind w:left="2880" w:firstLine="720"/>
        <w:jc w:val="both"/>
        <w:rPr>
          <w:rFonts w:ascii="Arial" w:hAnsi="Arial" w:cs="Arial"/>
          <w:i/>
          <w:sz w:val="20"/>
          <w:szCs w:val="20"/>
        </w:rPr>
      </w:pPr>
      <w:r w:rsidRPr="00F96020">
        <w:rPr>
          <w:rFonts w:ascii="Arial" w:hAnsi="Arial" w:cs="Arial"/>
          <w:i/>
          <w:sz w:val="20"/>
          <w:szCs w:val="20"/>
        </w:rPr>
        <w:t>Nguồn: Google &amp; Temasek / Bain, e-Conomy SEA 2019</w:t>
      </w:r>
    </w:p>
    <w:p w:rsidR="00641120" w:rsidRPr="00F96020" w:rsidRDefault="00641120" w:rsidP="00F96020">
      <w:pPr>
        <w:spacing w:before="120" w:after="0" w:line="240" w:lineRule="auto"/>
        <w:ind w:firstLine="720"/>
        <w:jc w:val="both"/>
        <w:rPr>
          <w:rFonts w:ascii="Arial" w:hAnsi="Arial" w:cs="Arial"/>
          <w:sz w:val="20"/>
          <w:szCs w:val="20"/>
        </w:rPr>
      </w:pPr>
    </w:p>
    <w:p w:rsidR="00B2117E" w:rsidRPr="00F96020" w:rsidRDefault="00B2117E" w:rsidP="00F96020">
      <w:pPr>
        <w:spacing w:before="120" w:after="0" w:line="240" w:lineRule="auto"/>
        <w:jc w:val="both"/>
        <w:rPr>
          <w:rFonts w:ascii="Arial" w:hAnsi="Arial" w:cs="Arial"/>
          <w:b/>
          <w:sz w:val="20"/>
          <w:szCs w:val="20"/>
        </w:rPr>
      </w:pPr>
      <w:r w:rsidRPr="00F96020">
        <w:rPr>
          <w:rFonts w:ascii="Arial" w:hAnsi="Arial" w:cs="Arial"/>
          <w:b/>
          <w:sz w:val="20"/>
          <w:szCs w:val="20"/>
        </w:rPr>
        <w:t xml:space="preserve">Thanh toán điện tử </w:t>
      </w:r>
      <w:r w:rsidR="00360C6A" w:rsidRPr="00F96020">
        <w:rPr>
          <w:rFonts w:ascii="Arial" w:hAnsi="Arial" w:cs="Arial"/>
          <w:b/>
          <w:sz w:val="20"/>
          <w:szCs w:val="20"/>
        </w:rPr>
        <w:t xml:space="preserve">và thương mại điện tử </w:t>
      </w:r>
      <w:r w:rsidRPr="00F96020">
        <w:rPr>
          <w:rFonts w:ascii="Arial" w:hAnsi="Arial" w:cs="Arial"/>
          <w:b/>
          <w:sz w:val="20"/>
          <w:szCs w:val="20"/>
        </w:rPr>
        <w:t>ở Việ</w:t>
      </w:r>
      <w:r w:rsidR="00D21E7A" w:rsidRPr="00F96020">
        <w:rPr>
          <w:rFonts w:ascii="Arial" w:hAnsi="Arial" w:cs="Arial"/>
          <w:b/>
          <w:sz w:val="20"/>
          <w:szCs w:val="20"/>
        </w:rPr>
        <w:t>t Nam</w:t>
      </w:r>
    </w:p>
    <w:p w:rsidR="003E34CE" w:rsidRPr="00F96020" w:rsidRDefault="003E34CE" w:rsidP="00F96020">
      <w:pPr>
        <w:spacing w:before="120" w:after="0" w:line="240" w:lineRule="auto"/>
        <w:jc w:val="both"/>
        <w:rPr>
          <w:rFonts w:ascii="Arial" w:hAnsi="Arial" w:cs="Arial"/>
          <w:sz w:val="20"/>
          <w:szCs w:val="20"/>
        </w:rPr>
      </w:pPr>
      <w:r w:rsidRPr="00F96020">
        <w:rPr>
          <w:rFonts w:ascii="Arial" w:hAnsi="Arial" w:cs="Arial"/>
          <w:sz w:val="20"/>
          <w:szCs w:val="20"/>
        </w:rPr>
        <w:t xml:space="preserve">Theo Sách trắng thương mại điện tử Việt Nam (Cục Thương mại điện tử và Kinh tế số, Bộ Công thương, 2019), doanh thu thương mại điện tử bán lẻ - B2C của Việt Nam đạt 8,06 tỷ USD trong năm 2018, tăng 30% so với năm 2017. </w:t>
      </w:r>
    </w:p>
    <w:p w:rsidR="00334C49" w:rsidRPr="00F96020" w:rsidRDefault="00334C49" w:rsidP="00F96020">
      <w:pPr>
        <w:spacing w:before="120" w:after="0" w:line="240" w:lineRule="auto"/>
        <w:jc w:val="both"/>
        <w:rPr>
          <w:rFonts w:ascii="Arial" w:hAnsi="Arial" w:cs="Arial"/>
          <w:sz w:val="20"/>
          <w:szCs w:val="20"/>
        </w:rPr>
      </w:pPr>
      <w:r w:rsidRPr="00F96020">
        <w:rPr>
          <w:rFonts w:ascii="Arial" w:hAnsi="Arial" w:cs="Arial"/>
          <w:sz w:val="20"/>
          <w:szCs w:val="20"/>
        </w:rPr>
        <w:t xml:space="preserve">Báo cáo của Google, Temasek Holdings Pte và Bain &amp; Co dự kiến, tổng giá trị hàng hóa kinh tế Internet của Việt Nam vào năm 2019 đạt gần 5% tổng sản phẩm quốc gia (GDP), cao hơn con số bình quân 3,7% mà khu vực Đông Nam Á đạt được. </w:t>
      </w:r>
    </w:p>
    <w:p w:rsidR="00B95DA1" w:rsidRPr="00F96020" w:rsidRDefault="00D21E7A" w:rsidP="00F96020">
      <w:pPr>
        <w:spacing w:before="120" w:after="0" w:line="240" w:lineRule="auto"/>
        <w:jc w:val="both"/>
        <w:rPr>
          <w:rFonts w:ascii="Arial" w:hAnsi="Arial" w:cs="Arial"/>
          <w:sz w:val="20"/>
          <w:szCs w:val="20"/>
        </w:rPr>
      </w:pPr>
      <w:r w:rsidRPr="00F96020">
        <w:rPr>
          <w:rFonts w:ascii="Arial" w:hAnsi="Arial" w:cs="Arial"/>
          <w:sz w:val="20"/>
          <w:szCs w:val="20"/>
        </w:rPr>
        <w:t xml:space="preserve">Đồng hành với sự phát triển của thương mại điện tử, </w:t>
      </w:r>
      <w:r w:rsidR="009A1E86" w:rsidRPr="00F96020">
        <w:rPr>
          <w:rFonts w:ascii="Arial" w:hAnsi="Arial" w:cs="Arial"/>
          <w:sz w:val="20"/>
          <w:szCs w:val="20"/>
        </w:rPr>
        <w:t xml:space="preserve">bắt kịp xu hướng thanh toán không dùng tiền mặt của khu vực và thế giới, </w:t>
      </w:r>
      <w:r w:rsidRPr="00F96020">
        <w:rPr>
          <w:rFonts w:ascii="Arial" w:hAnsi="Arial" w:cs="Arial"/>
          <w:sz w:val="20"/>
          <w:szCs w:val="20"/>
        </w:rPr>
        <w:t xml:space="preserve">thanh toán </w:t>
      </w:r>
      <w:r w:rsidR="00155427" w:rsidRPr="00F96020">
        <w:rPr>
          <w:rFonts w:ascii="Arial" w:hAnsi="Arial" w:cs="Arial"/>
          <w:sz w:val="20"/>
          <w:szCs w:val="20"/>
        </w:rPr>
        <w:t>điện tử</w:t>
      </w:r>
      <w:r w:rsidRPr="00F96020">
        <w:rPr>
          <w:rFonts w:ascii="Arial" w:hAnsi="Arial" w:cs="Arial"/>
          <w:sz w:val="20"/>
          <w:szCs w:val="20"/>
        </w:rPr>
        <w:t xml:space="preserve"> tại Việt Nam </w:t>
      </w:r>
      <w:r w:rsidR="00EC0DE0" w:rsidRPr="00F96020">
        <w:rPr>
          <w:rFonts w:ascii="Arial" w:hAnsi="Arial" w:cs="Arial"/>
          <w:sz w:val="20"/>
          <w:szCs w:val="20"/>
        </w:rPr>
        <w:t>trong thờ</w:t>
      </w:r>
      <w:r w:rsidR="00B95DA1" w:rsidRPr="00F96020">
        <w:rPr>
          <w:rFonts w:ascii="Arial" w:hAnsi="Arial" w:cs="Arial"/>
          <w:sz w:val="20"/>
          <w:szCs w:val="20"/>
        </w:rPr>
        <w:t xml:space="preserve">i gian qua cũng đạt được tốc độ tăng trưởng ấn tượng ở mức 2 và 3 con số. </w:t>
      </w:r>
    </w:p>
    <w:p w:rsidR="00B95DA1" w:rsidRPr="00F96020" w:rsidRDefault="009A1E86" w:rsidP="00F96020">
      <w:pPr>
        <w:spacing w:before="120" w:after="0" w:line="240" w:lineRule="auto"/>
        <w:jc w:val="both"/>
        <w:rPr>
          <w:rFonts w:ascii="Arial" w:hAnsi="Arial" w:cs="Arial"/>
          <w:color w:val="000000"/>
          <w:spacing w:val="2"/>
          <w:sz w:val="20"/>
          <w:szCs w:val="20"/>
          <w:lang w:val="nl-NL"/>
        </w:rPr>
      </w:pPr>
      <w:r w:rsidRPr="00F96020">
        <w:rPr>
          <w:rFonts w:ascii="Arial" w:eastAsia="Times New Roman" w:hAnsi="Arial" w:cs="Arial"/>
          <w:sz w:val="20"/>
          <w:szCs w:val="20"/>
        </w:rPr>
        <w:t xml:space="preserve">Nếu trong năm 2017, hệ thống thanh toán điện tử liên ngân hàng </w:t>
      </w:r>
      <w:r w:rsidR="00AB71FC" w:rsidRPr="00F96020">
        <w:rPr>
          <w:rFonts w:ascii="Arial" w:eastAsia="Times New Roman" w:hAnsi="Arial" w:cs="Arial"/>
          <w:sz w:val="20"/>
          <w:szCs w:val="20"/>
        </w:rPr>
        <w:t>trong vai trò hệ thống thanh toán xương sống của Quốc gia</w:t>
      </w:r>
      <w:r w:rsidR="00715894" w:rsidRPr="00F96020">
        <w:rPr>
          <w:rFonts w:ascii="Arial" w:eastAsia="Times New Roman" w:hAnsi="Arial" w:cs="Arial"/>
          <w:sz w:val="20"/>
          <w:szCs w:val="20"/>
        </w:rPr>
        <w:t>,</w:t>
      </w:r>
      <w:r w:rsidR="00AB71FC" w:rsidRPr="00F96020">
        <w:rPr>
          <w:rFonts w:ascii="Arial" w:eastAsia="Times New Roman" w:hAnsi="Arial" w:cs="Arial"/>
          <w:sz w:val="20"/>
          <w:szCs w:val="20"/>
        </w:rPr>
        <w:t xml:space="preserve"> xử lý </w:t>
      </w:r>
      <w:r w:rsidR="002E75C2" w:rsidRPr="00F96020">
        <w:rPr>
          <w:rFonts w:ascii="Arial" w:eastAsia="Times New Roman" w:hAnsi="Arial" w:cs="Arial"/>
          <w:sz w:val="20"/>
          <w:szCs w:val="20"/>
        </w:rPr>
        <w:t>được</w:t>
      </w:r>
      <w:r w:rsidR="00AB71FC" w:rsidRPr="00F96020">
        <w:rPr>
          <w:rFonts w:ascii="Arial" w:eastAsia="Times New Roman" w:hAnsi="Arial" w:cs="Arial"/>
          <w:sz w:val="20"/>
          <w:szCs w:val="20"/>
        </w:rPr>
        <w:t xml:space="preserve"> hơn 58 triệu tỷ đồng thì con số này trong năm 2018 tăng trưởng tới 25%, đạt </w:t>
      </w:r>
      <w:r w:rsidR="004A1DF8" w:rsidRPr="00F96020">
        <w:rPr>
          <w:rFonts w:ascii="Arial" w:eastAsia="Times New Roman" w:hAnsi="Arial" w:cs="Arial"/>
          <w:sz w:val="20"/>
          <w:szCs w:val="20"/>
        </w:rPr>
        <w:t>73 triệu tỉ đồng</w:t>
      </w:r>
      <w:r w:rsidR="00787570" w:rsidRPr="00F96020">
        <w:rPr>
          <w:rFonts w:ascii="Arial" w:eastAsia="Times New Roman" w:hAnsi="Arial" w:cs="Arial"/>
          <w:sz w:val="20"/>
          <w:szCs w:val="20"/>
        </w:rPr>
        <w:t xml:space="preserve"> (gấp 13 lần GDP).</w:t>
      </w:r>
      <w:r w:rsidR="00AB71FC" w:rsidRPr="00F96020">
        <w:rPr>
          <w:rFonts w:ascii="Arial" w:eastAsia="Times New Roman" w:hAnsi="Arial" w:cs="Arial"/>
          <w:sz w:val="20"/>
          <w:szCs w:val="20"/>
        </w:rPr>
        <w:t xml:space="preserve"> Như vậy, hệ thống đã xử lý trung bình khoảng 13 tỷ đồng/ngày, </w:t>
      </w:r>
      <w:r w:rsidR="004A1DF8" w:rsidRPr="00F96020">
        <w:rPr>
          <w:rFonts w:ascii="Arial" w:eastAsia="Times New Roman" w:hAnsi="Arial" w:cs="Arial"/>
          <w:sz w:val="20"/>
          <w:szCs w:val="20"/>
        </w:rPr>
        <w:t xml:space="preserve">gấp gần 2 lần doanh thu thương mại điện tử bán lẻ </w:t>
      </w:r>
      <w:r w:rsidR="00D86456" w:rsidRPr="00F96020">
        <w:rPr>
          <w:rFonts w:ascii="Arial" w:eastAsia="Times New Roman" w:hAnsi="Arial" w:cs="Arial"/>
          <w:sz w:val="20"/>
          <w:szCs w:val="20"/>
        </w:rPr>
        <w:t xml:space="preserve">8,06 tỷ USD của </w:t>
      </w:r>
      <w:r w:rsidR="004A1DF8" w:rsidRPr="00F96020">
        <w:rPr>
          <w:rFonts w:ascii="Arial" w:eastAsia="Times New Roman" w:hAnsi="Arial" w:cs="Arial"/>
          <w:sz w:val="20"/>
          <w:szCs w:val="20"/>
        </w:rPr>
        <w:t>năm 2018</w:t>
      </w:r>
      <w:r w:rsidR="00AB71FC" w:rsidRPr="00F96020">
        <w:rPr>
          <w:rFonts w:ascii="Arial" w:eastAsia="Times New Roman" w:hAnsi="Arial" w:cs="Arial"/>
          <w:sz w:val="20"/>
          <w:szCs w:val="20"/>
        </w:rPr>
        <w:t xml:space="preserve">. </w:t>
      </w:r>
      <w:r w:rsidR="00787570" w:rsidRPr="00F96020">
        <w:rPr>
          <w:rFonts w:ascii="Arial" w:eastAsia="Times New Roman" w:hAnsi="Arial" w:cs="Arial"/>
          <w:sz w:val="20"/>
          <w:szCs w:val="20"/>
        </w:rPr>
        <w:t xml:space="preserve">Số liệu thống kê </w:t>
      </w:r>
      <w:r w:rsidR="00E862E3" w:rsidRPr="00F96020">
        <w:rPr>
          <w:rFonts w:ascii="Arial" w:eastAsia="Times New Roman" w:hAnsi="Arial" w:cs="Arial"/>
          <w:sz w:val="20"/>
          <w:szCs w:val="20"/>
        </w:rPr>
        <w:t xml:space="preserve">trong năm 2018 </w:t>
      </w:r>
      <w:r w:rsidR="00715894" w:rsidRPr="00F96020">
        <w:rPr>
          <w:rFonts w:ascii="Arial" w:eastAsia="Times New Roman" w:hAnsi="Arial" w:cs="Arial"/>
          <w:sz w:val="20"/>
          <w:szCs w:val="20"/>
        </w:rPr>
        <w:t>của các</w:t>
      </w:r>
      <w:r w:rsidR="00AB71FC" w:rsidRPr="00F96020">
        <w:rPr>
          <w:rFonts w:ascii="Arial" w:eastAsia="Times New Roman" w:hAnsi="Arial" w:cs="Arial"/>
          <w:sz w:val="20"/>
          <w:szCs w:val="20"/>
        </w:rPr>
        <w:t xml:space="preserve"> phương thức </w:t>
      </w:r>
      <w:r w:rsidR="00E862E3" w:rsidRPr="00F96020">
        <w:rPr>
          <w:rFonts w:ascii="Arial" w:eastAsia="Times New Roman" w:hAnsi="Arial" w:cs="Arial"/>
          <w:sz w:val="20"/>
          <w:szCs w:val="20"/>
        </w:rPr>
        <w:t xml:space="preserve">thanh toán </w:t>
      </w:r>
      <w:r w:rsidR="00715894" w:rsidRPr="00F96020">
        <w:rPr>
          <w:rFonts w:ascii="Arial" w:eastAsia="Times New Roman" w:hAnsi="Arial" w:cs="Arial"/>
          <w:sz w:val="20"/>
          <w:szCs w:val="20"/>
        </w:rPr>
        <w:t xml:space="preserve">điện tử </w:t>
      </w:r>
      <w:r w:rsidR="00AB71FC" w:rsidRPr="00F96020">
        <w:rPr>
          <w:rFonts w:ascii="Arial" w:eastAsia="Times New Roman" w:hAnsi="Arial" w:cs="Arial"/>
          <w:sz w:val="20"/>
          <w:szCs w:val="20"/>
        </w:rPr>
        <w:t xml:space="preserve">cũng </w:t>
      </w:r>
      <w:r w:rsidR="00787570" w:rsidRPr="00F96020">
        <w:rPr>
          <w:rFonts w:ascii="Arial" w:eastAsia="Times New Roman" w:hAnsi="Arial" w:cs="Arial"/>
          <w:sz w:val="20"/>
          <w:szCs w:val="20"/>
        </w:rPr>
        <w:t xml:space="preserve">cho thấy </w:t>
      </w:r>
      <w:r w:rsidR="00AB71FC" w:rsidRPr="00F96020">
        <w:rPr>
          <w:rFonts w:ascii="Arial" w:eastAsia="Times New Roman" w:hAnsi="Arial" w:cs="Arial"/>
          <w:sz w:val="20"/>
          <w:szCs w:val="20"/>
        </w:rPr>
        <w:t>tốc độ tăng trưởng ấ</w:t>
      </w:r>
      <w:r w:rsidR="00715894" w:rsidRPr="00F96020">
        <w:rPr>
          <w:rFonts w:ascii="Arial" w:eastAsia="Times New Roman" w:hAnsi="Arial" w:cs="Arial"/>
          <w:sz w:val="20"/>
          <w:szCs w:val="20"/>
        </w:rPr>
        <w:t>n tượng so với năm 2017.</w:t>
      </w:r>
      <w:r w:rsidR="00AB71FC" w:rsidRPr="00F96020">
        <w:rPr>
          <w:rFonts w:ascii="Arial" w:eastAsia="Times New Roman" w:hAnsi="Arial" w:cs="Arial"/>
          <w:sz w:val="20"/>
          <w:szCs w:val="20"/>
        </w:rPr>
        <w:t xml:space="preserve"> </w:t>
      </w:r>
      <w:r w:rsidR="00715894" w:rsidRPr="00F96020">
        <w:rPr>
          <w:rFonts w:ascii="Arial" w:eastAsia="Times New Roman" w:hAnsi="Arial" w:cs="Arial"/>
          <w:sz w:val="20"/>
          <w:szCs w:val="20"/>
        </w:rPr>
        <w:t xml:space="preserve">Trong năm 2018, số lượng giao dịch qua kênh Internet là hơn 255 triệu giao dịch với giá trị khoảng 16 triệu tỷ đồng (tăng tương ứng 33,6% và 19,5% so với năm 2017); số lượng giao dịch qua kênh điện thoại di động là hơn 185 triệu giao dịch với giá trị khoảng 1,86 triệu tỷ đồng  (tăng tương ứng 41% và 169% so với năm 2017). </w:t>
      </w:r>
      <w:r w:rsidR="004A1DF8" w:rsidRPr="00F96020">
        <w:rPr>
          <w:rFonts w:ascii="Arial" w:eastAsia="Times New Roman" w:hAnsi="Arial" w:cs="Arial"/>
          <w:sz w:val="20"/>
          <w:szCs w:val="20"/>
        </w:rPr>
        <w:t xml:space="preserve">Khảo sát của hãng kiểm toán PwC đối với 27 nước đã ghi nhận </w:t>
      </w:r>
      <w:r w:rsidR="004A1DF8" w:rsidRPr="00F96020">
        <w:rPr>
          <w:rFonts w:ascii="Arial" w:eastAsia="Times New Roman" w:hAnsi="Arial" w:cs="Arial"/>
          <w:i/>
          <w:sz w:val="20"/>
          <w:szCs w:val="20"/>
        </w:rPr>
        <w:t>Việt Nam là thị trường tăng trưởng nhanh nhất về thanh toán di động trong năm 2018</w:t>
      </w:r>
      <w:r w:rsidR="004A1DF8" w:rsidRPr="00F96020">
        <w:rPr>
          <w:rFonts w:ascii="Arial" w:eastAsia="Times New Roman" w:hAnsi="Arial" w:cs="Arial"/>
          <w:sz w:val="20"/>
          <w:szCs w:val="20"/>
        </w:rPr>
        <w:t xml:space="preserve"> với t</w:t>
      </w:r>
      <w:r w:rsidR="00475C43" w:rsidRPr="00F96020">
        <w:rPr>
          <w:rFonts w:ascii="Arial" w:eastAsia="Times New Roman" w:hAnsi="Arial" w:cs="Arial"/>
          <w:sz w:val="20"/>
          <w:szCs w:val="20"/>
        </w:rPr>
        <w:t>ỷ</w:t>
      </w:r>
      <w:r w:rsidR="004A1DF8" w:rsidRPr="00F96020">
        <w:rPr>
          <w:rFonts w:ascii="Arial" w:eastAsia="Times New Roman" w:hAnsi="Arial" w:cs="Arial"/>
          <w:sz w:val="20"/>
          <w:szCs w:val="20"/>
        </w:rPr>
        <w:t xml:space="preserve"> lệ người tiêu dùng thanh toán di động ở Việt Nam đã tăng từ 37% lên 61%</w:t>
      </w:r>
      <w:r w:rsidR="00AB71FC" w:rsidRPr="00F96020">
        <w:rPr>
          <w:rFonts w:ascii="Arial" w:eastAsia="Times New Roman" w:hAnsi="Arial" w:cs="Arial"/>
          <w:sz w:val="20"/>
          <w:szCs w:val="20"/>
        </w:rPr>
        <w:t xml:space="preserve"> trong khi Malaysia tăng</w:t>
      </w:r>
      <w:r w:rsidR="00475C43" w:rsidRPr="00F96020">
        <w:rPr>
          <w:rFonts w:ascii="Arial" w:eastAsia="Times New Roman" w:hAnsi="Arial" w:cs="Arial"/>
          <w:sz w:val="20"/>
          <w:szCs w:val="20"/>
        </w:rPr>
        <w:t xml:space="preserve"> từ</w:t>
      </w:r>
      <w:r w:rsidR="00AB71FC" w:rsidRPr="00F96020">
        <w:rPr>
          <w:rFonts w:ascii="Arial" w:eastAsia="Times New Roman" w:hAnsi="Arial" w:cs="Arial"/>
          <w:sz w:val="20"/>
          <w:szCs w:val="20"/>
        </w:rPr>
        <w:t xml:space="preserve"> 17% lên 40% </w:t>
      </w:r>
      <w:r w:rsidR="00787570" w:rsidRPr="00F96020">
        <w:rPr>
          <w:rFonts w:ascii="Arial" w:eastAsia="Times New Roman" w:hAnsi="Arial" w:cs="Arial"/>
          <w:sz w:val="20"/>
          <w:szCs w:val="20"/>
        </w:rPr>
        <w:t>hay</w:t>
      </w:r>
      <w:r w:rsidR="00AB71FC" w:rsidRPr="00F96020">
        <w:rPr>
          <w:rFonts w:ascii="Arial" w:eastAsia="Times New Roman" w:hAnsi="Arial" w:cs="Arial"/>
          <w:sz w:val="20"/>
          <w:szCs w:val="20"/>
        </w:rPr>
        <w:t xml:space="preserve"> Philippines tăng</w:t>
      </w:r>
      <w:r w:rsidR="00475C43" w:rsidRPr="00F96020">
        <w:rPr>
          <w:rFonts w:ascii="Arial" w:eastAsia="Times New Roman" w:hAnsi="Arial" w:cs="Arial"/>
          <w:sz w:val="20"/>
          <w:szCs w:val="20"/>
        </w:rPr>
        <w:t xml:space="preserve"> từ</w:t>
      </w:r>
      <w:r w:rsidR="00AB71FC" w:rsidRPr="00F96020">
        <w:rPr>
          <w:rFonts w:ascii="Arial" w:eastAsia="Times New Roman" w:hAnsi="Arial" w:cs="Arial"/>
          <w:sz w:val="20"/>
          <w:szCs w:val="20"/>
        </w:rPr>
        <w:t xml:space="preserve"> 14% lên 45%</w:t>
      </w:r>
      <w:r w:rsidR="00787570" w:rsidRPr="00F96020">
        <w:rPr>
          <w:rFonts w:ascii="Arial" w:eastAsia="Times New Roman" w:hAnsi="Arial" w:cs="Arial"/>
          <w:sz w:val="20"/>
          <w:szCs w:val="20"/>
        </w:rPr>
        <w:t xml:space="preserve">. </w:t>
      </w:r>
    </w:p>
    <w:p w:rsidR="000C1E75" w:rsidRPr="00F96020" w:rsidRDefault="00CD3498" w:rsidP="00F96020">
      <w:pPr>
        <w:spacing w:before="120" w:after="0" w:line="240" w:lineRule="auto"/>
        <w:jc w:val="both"/>
        <w:rPr>
          <w:rFonts w:ascii="Arial" w:eastAsia="Times New Roman" w:hAnsi="Arial" w:cs="Arial"/>
          <w:sz w:val="20"/>
          <w:szCs w:val="20"/>
        </w:rPr>
      </w:pPr>
      <w:r w:rsidRPr="00F96020">
        <w:rPr>
          <w:rFonts w:ascii="Arial" w:eastAsia="Times New Roman" w:hAnsi="Arial" w:cs="Arial"/>
          <w:sz w:val="20"/>
          <w:szCs w:val="20"/>
        </w:rPr>
        <w:t xml:space="preserve">Để đạt được những kết quả như trên, </w:t>
      </w:r>
      <w:r w:rsidR="00CC0A84" w:rsidRPr="00F96020">
        <w:rPr>
          <w:rFonts w:ascii="Arial" w:eastAsia="Times New Roman" w:hAnsi="Arial" w:cs="Arial"/>
          <w:sz w:val="20"/>
          <w:szCs w:val="20"/>
        </w:rPr>
        <w:t>bên cạnh việc từng bước hoàn thiện khuôn khổ pháp lý trong hoạt động thanh toán phù hợp với các mô hình ứng dụng công nghệ mới</w:t>
      </w:r>
      <w:r w:rsidR="00376307" w:rsidRPr="00F96020">
        <w:rPr>
          <w:rFonts w:ascii="Arial" w:eastAsia="Times New Roman" w:hAnsi="Arial" w:cs="Arial"/>
          <w:sz w:val="20"/>
          <w:szCs w:val="20"/>
        </w:rPr>
        <w:t xml:space="preserve"> như như quy định về tiền điện tử, ví điện tử; tiền di động (mobile money); chuyển mạch điện tử; tiêu chuẩn thanh toán</w:t>
      </w:r>
      <w:r w:rsidR="00475C43" w:rsidRPr="00F96020">
        <w:rPr>
          <w:rFonts w:ascii="Arial" w:eastAsia="Times New Roman" w:hAnsi="Arial" w:cs="Arial"/>
          <w:sz w:val="20"/>
          <w:szCs w:val="20"/>
        </w:rPr>
        <w:t xml:space="preserve"> mã phản hồi nhanh</w:t>
      </w:r>
      <w:r w:rsidR="00376307" w:rsidRPr="00F96020">
        <w:rPr>
          <w:rFonts w:ascii="Arial" w:eastAsia="Times New Roman" w:hAnsi="Arial" w:cs="Arial"/>
          <w:sz w:val="20"/>
          <w:szCs w:val="20"/>
        </w:rPr>
        <w:t xml:space="preserve"> </w:t>
      </w:r>
      <w:r w:rsidR="00475C43" w:rsidRPr="00F96020">
        <w:rPr>
          <w:rFonts w:ascii="Arial" w:eastAsia="Times New Roman" w:hAnsi="Arial" w:cs="Arial"/>
          <w:sz w:val="20"/>
          <w:szCs w:val="20"/>
        </w:rPr>
        <w:t>(</w:t>
      </w:r>
      <w:r w:rsidR="00376307" w:rsidRPr="00F96020">
        <w:rPr>
          <w:rFonts w:ascii="Arial" w:eastAsia="Times New Roman" w:hAnsi="Arial" w:cs="Arial"/>
          <w:sz w:val="20"/>
          <w:szCs w:val="20"/>
        </w:rPr>
        <w:t>QR code</w:t>
      </w:r>
      <w:r w:rsidR="00475C43" w:rsidRPr="00F96020">
        <w:rPr>
          <w:rFonts w:ascii="Arial" w:eastAsia="Times New Roman" w:hAnsi="Arial" w:cs="Arial"/>
          <w:sz w:val="20"/>
          <w:szCs w:val="20"/>
        </w:rPr>
        <w:t>)</w:t>
      </w:r>
      <w:r w:rsidR="00376307" w:rsidRPr="00F96020">
        <w:rPr>
          <w:rFonts w:ascii="Arial" w:eastAsia="Times New Roman" w:hAnsi="Arial" w:cs="Arial"/>
          <w:sz w:val="20"/>
          <w:szCs w:val="20"/>
        </w:rPr>
        <w:t>, tiêu chuẩn thẻ chíp; tiêu chuẩn an ninh an toàn giao dịch điện tử; cơ chế quản lý thử nghiệm hoạt động Fintech</w:t>
      </w:r>
      <w:r w:rsidR="00475C43" w:rsidRPr="00F96020">
        <w:rPr>
          <w:rFonts w:ascii="Arial" w:eastAsia="Times New Roman" w:hAnsi="Arial" w:cs="Arial"/>
          <w:sz w:val="20"/>
          <w:szCs w:val="20"/>
        </w:rPr>
        <w:t xml:space="preserve"> (Sandbox)</w:t>
      </w:r>
      <w:r w:rsidR="00376307" w:rsidRPr="00F96020">
        <w:rPr>
          <w:rFonts w:ascii="Arial" w:eastAsia="Times New Roman" w:hAnsi="Arial" w:cs="Arial"/>
          <w:sz w:val="20"/>
          <w:szCs w:val="20"/>
        </w:rPr>
        <w:t>,…</w:t>
      </w:r>
      <w:r w:rsidR="00CC0A84" w:rsidRPr="00F96020">
        <w:rPr>
          <w:rFonts w:ascii="Arial" w:eastAsia="Times New Roman" w:hAnsi="Arial" w:cs="Arial"/>
          <w:sz w:val="20"/>
          <w:szCs w:val="20"/>
        </w:rPr>
        <w:t>, nhiều giải pháp đẩy mạnh thanh toán không dùng tiền mặt và nâng cao khả năng tiếp cận dịch vụ tài chính cho người dân đã được triển khai đồng bộ, thống nhất</w:t>
      </w:r>
      <w:r w:rsidR="00475C43" w:rsidRPr="00F96020">
        <w:rPr>
          <w:rFonts w:ascii="Arial" w:eastAsia="Times New Roman" w:hAnsi="Arial" w:cs="Arial"/>
          <w:sz w:val="20"/>
          <w:szCs w:val="20"/>
        </w:rPr>
        <w:t>,</w:t>
      </w:r>
      <w:r w:rsidR="00376307" w:rsidRPr="00F96020">
        <w:rPr>
          <w:rFonts w:ascii="Arial" w:eastAsia="Times New Roman" w:hAnsi="Arial" w:cs="Arial"/>
          <w:sz w:val="20"/>
          <w:szCs w:val="20"/>
        </w:rPr>
        <w:t xml:space="preserve"> như</w:t>
      </w:r>
      <w:r w:rsidR="00475C43" w:rsidRPr="00F96020">
        <w:rPr>
          <w:rFonts w:ascii="Arial" w:eastAsia="Times New Roman" w:hAnsi="Arial" w:cs="Arial"/>
          <w:sz w:val="20"/>
          <w:szCs w:val="20"/>
        </w:rPr>
        <w:t>:</w:t>
      </w:r>
      <w:r w:rsidR="00376307" w:rsidRPr="00F96020">
        <w:rPr>
          <w:rFonts w:ascii="Arial" w:eastAsia="Times New Roman" w:hAnsi="Arial" w:cs="Arial"/>
          <w:sz w:val="20"/>
          <w:szCs w:val="20"/>
        </w:rPr>
        <w:t xml:space="preserve"> </w:t>
      </w:r>
      <w:r w:rsidR="00475C43" w:rsidRPr="00F96020">
        <w:rPr>
          <w:rFonts w:ascii="Arial" w:eastAsia="Times New Roman" w:hAnsi="Arial" w:cs="Arial"/>
          <w:sz w:val="20"/>
          <w:szCs w:val="20"/>
        </w:rPr>
        <w:t>N</w:t>
      </w:r>
      <w:r w:rsidR="00376307" w:rsidRPr="00F96020">
        <w:rPr>
          <w:rFonts w:ascii="Arial" w:eastAsia="Times New Roman" w:hAnsi="Arial" w:cs="Arial"/>
          <w:sz w:val="20"/>
          <w:szCs w:val="20"/>
        </w:rPr>
        <w:t>âng cấp hệ thống thanh toán điện tử liên ngân hàng, phát triển mạng lưới POS dùng chung, xây dựng hệ thống thanh toán phục vụ các giao dịch thanh toán bán lẻ (ACH), làm tốt công tác thông tin, tuyên truyền về thanh toán điện tử và giáo dục tài chính, chỉ đạo các tổ chức nghiên cứu, ứng dụng mạnh mẽ các công nghệ mới, hiện đại vào các sản phẩm, dịch vụ thanh toán..</w:t>
      </w:r>
      <w:r w:rsidR="00A401F9" w:rsidRPr="00F96020">
        <w:rPr>
          <w:rFonts w:ascii="Arial" w:eastAsia="Times New Roman" w:hAnsi="Arial" w:cs="Arial"/>
          <w:sz w:val="20"/>
          <w:szCs w:val="20"/>
        </w:rPr>
        <w:t xml:space="preserve">. </w:t>
      </w:r>
      <w:r w:rsidR="00376307" w:rsidRPr="00F96020">
        <w:rPr>
          <w:rFonts w:ascii="Arial" w:eastAsia="Times New Roman" w:hAnsi="Arial" w:cs="Arial"/>
          <w:sz w:val="20"/>
          <w:szCs w:val="20"/>
        </w:rPr>
        <w:t xml:space="preserve">Nhờ đó, </w:t>
      </w:r>
      <w:r w:rsidR="0032515F" w:rsidRPr="00F96020">
        <w:rPr>
          <w:rFonts w:ascii="Arial" w:eastAsia="Times New Roman" w:hAnsi="Arial" w:cs="Arial"/>
          <w:sz w:val="20"/>
          <w:szCs w:val="20"/>
        </w:rPr>
        <w:t xml:space="preserve">các công nghệ mới </w:t>
      </w:r>
      <w:r w:rsidR="00376307" w:rsidRPr="00F96020">
        <w:rPr>
          <w:rFonts w:ascii="Arial" w:eastAsia="Times New Roman" w:hAnsi="Arial" w:cs="Arial"/>
          <w:sz w:val="20"/>
          <w:szCs w:val="20"/>
        </w:rPr>
        <w:t xml:space="preserve">về thanh toán </w:t>
      </w:r>
      <w:r w:rsidR="0032515F" w:rsidRPr="00F96020">
        <w:rPr>
          <w:rFonts w:ascii="Arial" w:eastAsia="Times New Roman" w:hAnsi="Arial" w:cs="Arial"/>
          <w:sz w:val="20"/>
          <w:szCs w:val="20"/>
        </w:rPr>
        <w:t xml:space="preserve">trên thế giới </w:t>
      </w:r>
      <w:r w:rsidR="00B40515" w:rsidRPr="00F96020">
        <w:rPr>
          <w:rFonts w:ascii="Arial" w:eastAsia="Times New Roman" w:hAnsi="Arial" w:cs="Arial"/>
          <w:sz w:val="20"/>
          <w:szCs w:val="20"/>
        </w:rPr>
        <w:t>đã được ứng dụng mạnh mẽ: Phân tích hành vi khách hành trên dữ liệu lớn; xác thực sinh trắc học; ứng dụng QR Code; mã hóa thông tin thẻ (Tokenization), thanh toán thẻ chíp tiếp xúc và phi tiếp xúc (contact và contactless), thanh toán trên thi</w:t>
      </w:r>
      <w:r w:rsidR="0032515F" w:rsidRPr="00F96020">
        <w:rPr>
          <w:rFonts w:ascii="Arial" w:eastAsia="Times New Roman" w:hAnsi="Arial" w:cs="Arial"/>
          <w:sz w:val="20"/>
          <w:szCs w:val="20"/>
        </w:rPr>
        <w:t>ết bị di động (Mobile Payment)..</w:t>
      </w:r>
      <w:r w:rsidR="00B40515" w:rsidRPr="00F96020">
        <w:rPr>
          <w:rFonts w:ascii="Arial" w:eastAsia="Times New Roman" w:hAnsi="Arial" w:cs="Arial"/>
          <w:sz w:val="20"/>
          <w:szCs w:val="20"/>
        </w:rPr>
        <w:t xml:space="preserve">. </w:t>
      </w:r>
      <w:r w:rsidR="00376307" w:rsidRPr="00F96020">
        <w:rPr>
          <w:rFonts w:ascii="Arial" w:eastAsia="Times New Roman" w:hAnsi="Arial" w:cs="Arial"/>
          <w:sz w:val="20"/>
          <w:szCs w:val="20"/>
        </w:rPr>
        <w:t>giúp tăng tốc độ thanh toán, tăng cường an toàn, bảo mật dịch vụ, gia tăng trải nghiệm và sự hài lòng của khách hàng. Có thể thấy</w:t>
      </w:r>
      <w:r w:rsidR="00B40515" w:rsidRPr="00F96020">
        <w:rPr>
          <w:rFonts w:ascii="Arial" w:eastAsia="Times New Roman" w:hAnsi="Arial" w:cs="Arial"/>
          <w:sz w:val="20"/>
          <w:szCs w:val="20"/>
        </w:rPr>
        <w:t xml:space="preserve">, </w:t>
      </w:r>
      <w:r w:rsidR="0032515F" w:rsidRPr="00F96020">
        <w:rPr>
          <w:rFonts w:ascii="Arial" w:eastAsia="Times New Roman" w:hAnsi="Arial" w:cs="Arial"/>
          <w:sz w:val="20"/>
          <w:szCs w:val="20"/>
        </w:rPr>
        <w:t>nhiều</w:t>
      </w:r>
      <w:r w:rsidR="00B40515" w:rsidRPr="00F96020">
        <w:rPr>
          <w:rFonts w:ascii="Arial" w:eastAsia="Times New Roman" w:hAnsi="Arial" w:cs="Arial"/>
          <w:sz w:val="20"/>
          <w:szCs w:val="20"/>
        </w:rPr>
        <w:t xml:space="preserve"> dịch vụ </w:t>
      </w:r>
      <w:r w:rsidR="00B40515" w:rsidRPr="00F96020">
        <w:rPr>
          <w:rFonts w:ascii="Arial" w:eastAsia="Times New Roman" w:hAnsi="Arial" w:cs="Arial"/>
          <w:sz w:val="20"/>
          <w:szCs w:val="20"/>
        </w:rPr>
        <w:lastRenderedPageBreak/>
        <w:t>thanh toán điện tử đã và đang trở thành sự lựa chọn của người tiêu dùng và người bán hàng</w:t>
      </w:r>
      <w:r w:rsidR="00A401F9" w:rsidRPr="00F96020">
        <w:rPr>
          <w:rFonts w:ascii="Arial" w:eastAsia="Times New Roman" w:hAnsi="Arial" w:cs="Arial"/>
          <w:sz w:val="20"/>
          <w:szCs w:val="20"/>
        </w:rPr>
        <w:t>, không chỉ trong thương mại điện tử nói riêng mà còn trong nền kinh tế nói chung,</w:t>
      </w:r>
      <w:r w:rsidR="00B40515" w:rsidRPr="00F96020">
        <w:rPr>
          <w:rFonts w:ascii="Arial" w:eastAsia="Times New Roman" w:hAnsi="Arial" w:cs="Arial"/>
          <w:sz w:val="20"/>
          <w:szCs w:val="20"/>
        </w:rPr>
        <w:t xml:space="preserve"> bởi những ưu thế vượt trội như t</w:t>
      </w:r>
      <w:r w:rsidR="0032515F" w:rsidRPr="00F96020">
        <w:rPr>
          <w:rFonts w:ascii="Arial" w:eastAsia="Times New Roman" w:hAnsi="Arial" w:cs="Arial"/>
          <w:sz w:val="20"/>
          <w:szCs w:val="20"/>
        </w:rPr>
        <w:t xml:space="preserve">huận tiện, an toàn và tiết kiệm, đưa hoạt động thanh toán không dùng tiền mặt tại Việt Nam </w:t>
      </w:r>
      <w:r w:rsidR="00376307" w:rsidRPr="00F96020">
        <w:rPr>
          <w:rFonts w:ascii="Arial" w:eastAsia="Times New Roman" w:hAnsi="Arial" w:cs="Arial"/>
          <w:sz w:val="20"/>
          <w:szCs w:val="20"/>
        </w:rPr>
        <w:t xml:space="preserve">có những bước tiến </w:t>
      </w:r>
      <w:r w:rsidR="0032515F" w:rsidRPr="00F96020">
        <w:rPr>
          <w:rFonts w:ascii="Arial" w:eastAsia="Times New Roman" w:hAnsi="Arial" w:cs="Arial"/>
          <w:sz w:val="20"/>
          <w:szCs w:val="20"/>
        </w:rPr>
        <w:t xml:space="preserve">vượt bậc như trên. </w:t>
      </w:r>
      <w:r w:rsidR="000C1E75" w:rsidRPr="00F96020">
        <w:rPr>
          <w:rFonts w:ascii="Arial" w:eastAsia="Times New Roman" w:hAnsi="Arial" w:cs="Arial"/>
          <w:sz w:val="20"/>
          <w:szCs w:val="20"/>
        </w:rPr>
        <w:t xml:space="preserve">Những con số của hoạt động thanh toán trong 7 tháng đầu năm 2019 vẫn tiếp tục đạt </w:t>
      </w:r>
      <w:r w:rsidR="00051760" w:rsidRPr="00F96020">
        <w:rPr>
          <w:rFonts w:ascii="Arial" w:eastAsia="Times New Roman" w:hAnsi="Arial" w:cs="Arial"/>
          <w:sz w:val="20"/>
          <w:szCs w:val="20"/>
        </w:rPr>
        <w:t xml:space="preserve">sự </w:t>
      </w:r>
      <w:r w:rsidR="000C1E75" w:rsidRPr="00F96020">
        <w:rPr>
          <w:rFonts w:ascii="Arial" w:eastAsia="Times New Roman" w:hAnsi="Arial" w:cs="Arial"/>
          <w:sz w:val="20"/>
          <w:szCs w:val="20"/>
        </w:rPr>
        <w:t>tăng trưởng ấn tượng</w:t>
      </w:r>
      <w:r w:rsidR="00A975F1" w:rsidRPr="00F96020">
        <w:rPr>
          <w:rFonts w:ascii="Arial" w:eastAsia="Times New Roman" w:hAnsi="Arial" w:cs="Arial"/>
          <w:sz w:val="20"/>
          <w:szCs w:val="20"/>
        </w:rPr>
        <w:t xml:space="preserve">, ví dụ </w:t>
      </w:r>
      <w:r w:rsidR="000C1E75" w:rsidRPr="00F96020">
        <w:rPr>
          <w:rFonts w:ascii="Arial" w:eastAsia="Times New Roman" w:hAnsi="Arial" w:cs="Arial"/>
          <w:sz w:val="20"/>
          <w:szCs w:val="20"/>
        </w:rPr>
        <w:t>như số lượng giao dịch tài chính qua kênh Internet tăng 51,8% về số lượng giao dịch và 18,3% về giá trị giao dịch so với cùng kỳ năm 2018, số lượng giao dịch tài chính qua kênh điện thoại di động tăng tương ứng 104,9% về số lượng giao dịch và 155,3% về giá trị giao dịch so với cùng kỳ năm</w:t>
      </w:r>
      <w:r w:rsidR="00051760" w:rsidRPr="00F96020">
        <w:rPr>
          <w:rFonts w:ascii="Arial" w:eastAsia="Times New Roman" w:hAnsi="Arial" w:cs="Arial"/>
          <w:sz w:val="20"/>
          <w:szCs w:val="20"/>
        </w:rPr>
        <w:t xml:space="preserve"> 2018</w:t>
      </w:r>
      <w:r w:rsidR="000C1E75" w:rsidRPr="00F96020">
        <w:rPr>
          <w:rFonts w:ascii="Arial" w:eastAsia="Times New Roman" w:hAnsi="Arial" w:cs="Arial"/>
          <w:sz w:val="20"/>
          <w:szCs w:val="20"/>
        </w:rPr>
        <w:t xml:space="preserve">. </w:t>
      </w:r>
      <w:r w:rsidR="00051760" w:rsidRPr="00F96020">
        <w:rPr>
          <w:rFonts w:ascii="Arial" w:eastAsia="Times New Roman" w:hAnsi="Arial" w:cs="Arial"/>
          <w:sz w:val="20"/>
          <w:szCs w:val="20"/>
        </w:rPr>
        <w:t>Đ</w:t>
      </w:r>
      <w:r w:rsidR="000C1E75" w:rsidRPr="00F96020">
        <w:rPr>
          <w:rFonts w:ascii="Arial" w:eastAsia="Times New Roman" w:hAnsi="Arial" w:cs="Arial"/>
          <w:sz w:val="20"/>
          <w:szCs w:val="20"/>
        </w:rPr>
        <w:t>ến cuối tháng 7/2019</w:t>
      </w:r>
      <w:r w:rsidR="00051760" w:rsidRPr="00F96020">
        <w:rPr>
          <w:rFonts w:ascii="Arial" w:eastAsia="Times New Roman" w:hAnsi="Arial" w:cs="Arial"/>
          <w:sz w:val="20"/>
          <w:szCs w:val="20"/>
        </w:rPr>
        <w:t xml:space="preserve">, cả nước đã có khoảng </w:t>
      </w:r>
      <w:r w:rsidR="000C1E75" w:rsidRPr="00F96020">
        <w:rPr>
          <w:rFonts w:ascii="Arial" w:eastAsia="Times New Roman" w:hAnsi="Arial" w:cs="Arial"/>
          <w:sz w:val="20"/>
          <w:szCs w:val="20"/>
        </w:rPr>
        <w:t>83,3 triệu tài khoản cá nhân (tăng 14,9% so với cùng kỳ năm 2018),</w:t>
      </w:r>
      <w:r w:rsidR="00051760" w:rsidRPr="00F96020">
        <w:rPr>
          <w:rFonts w:ascii="Arial" w:eastAsia="Times New Roman" w:hAnsi="Arial" w:cs="Arial"/>
          <w:sz w:val="20"/>
          <w:szCs w:val="20"/>
        </w:rPr>
        <w:t xml:space="preserve"> </w:t>
      </w:r>
      <w:r w:rsidR="000C1E75" w:rsidRPr="00F96020">
        <w:rPr>
          <w:rFonts w:ascii="Arial" w:eastAsia="Times New Roman" w:hAnsi="Arial" w:cs="Arial"/>
          <w:sz w:val="20"/>
          <w:szCs w:val="20"/>
        </w:rPr>
        <w:t xml:space="preserve">minh chứng rõ rệt cho việc </w:t>
      </w:r>
      <w:r w:rsidR="00A975F1" w:rsidRPr="00F96020">
        <w:rPr>
          <w:rFonts w:ascii="Arial" w:eastAsia="Times New Roman" w:hAnsi="Arial" w:cs="Arial"/>
          <w:sz w:val="20"/>
          <w:szCs w:val="20"/>
        </w:rPr>
        <w:t xml:space="preserve">tỷ lệ </w:t>
      </w:r>
      <w:r w:rsidR="000C1E75" w:rsidRPr="00F96020">
        <w:rPr>
          <w:rFonts w:ascii="Arial" w:eastAsia="Times New Roman" w:hAnsi="Arial" w:cs="Arial"/>
          <w:sz w:val="20"/>
          <w:szCs w:val="20"/>
        </w:rPr>
        <w:t xml:space="preserve">người </w:t>
      </w:r>
      <w:r w:rsidR="00A975F1" w:rsidRPr="00F96020">
        <w:rPr>
          <w:rFonts w:ascii="Arial" w:eastAsia="Times New Roman" w:hAnsi="Arial" w:cs="Arial"/>
          <w:sz w:val="20"/>
          <w:szCs w:val="20"/>
        </w:rPr>
        <w:t xml:space="preserve">được </w:t>
      </w:r>
      <w:r w:rsidR="000C1E75" w:rsidRPr="00F96020">
        <w:rPr>
          <w:rFonts w:ascii="Arial" w:eastAsia="Times New Roman" w:hAnsi="Arial" w:cs="Arial"/>
          <w:sz w:val="20"/>
          <w:szCs w:val="20"/>
        </w:rPr>
        <w:t xml:space="preserve">tiếp cận dịch vụ ngân hàng </w:t>
      </w:r>
      <w:r w:rsidR="00A975F1" w:rsidRPr="00F96020">
        <w:rPr>
          <w:rFonts w:ascii="Arial" w:eastAsia="Times New Roman" w:hAnsi="Arial" w:cs="Arial"/>
          <w:sz w:val="20"/>
          <w:szCs w:val="20"/>
        </w:rPr>
        <w:t xml:space="preserve">nhiều </w:t>
      </w:r>
      <w:r w:rsidR="000C1E75" w:rsidRPr="00F96020">
        <w:rPr>
          <w:rFonts w:ascii="Arial" w:eastAsia="Times New Roman" w:hAnsi="Arial" w:cs="Arial"/>
          <w:sz w:val="20"/>
          <w:szCs w:val="20"/>
        </w:rPr>
        <w:t xml:space="preserve">hơn và </w:t>
      </w:r>
      <w:r w:rsidR="00A975F1" w:rsidRPr="00F96020">
        <w:rPr>
          <w:rFonts w:ascii="Arial" w:eastAsia="Times New Roman" w:hAnsi="Arial" w:cs="Arial"/>
          <w:sz w:val="20"/>
          <w:szCs w:val="20"/>
        </w:rPr>
        <w:t>hoạt động</w:t>
      </w:r>
      <w:r w:rsidR="000C1E75" w:rsidRPr="00F96020">
        <w:rPr>
          <w:rFonts w:ascii="Arial" w:eastAsia="Times New Roman" w:hAnsi="Arial" w:cs="Arial"/>
          <w:sz w:val="20"/>
          <w:szCs w:val="20"/>
        </w:rPr>
        <w:t xml:space="preserve"> thanh toán không dùng tiền mặt được </w:t>
      </w:r>
      <w:r w:rsidR="00A903B6" w:rsidRPr="00F96020">
        <w:rPr>
          <w:rFonts w:ascii="Arial" w:eastAsia="Times New Roman" w:hAnsi="Arial" w:cs="Arial"/>
          <w:sz w:val="20"/>
          <w:szCs w:val="20"/>
        </w:rPr>
        <w:t>thúc đẩy</w:t>
      </w:r>
      <w:r w:rsidR="000C1E75" w:rsidRPr="00F96020">
        <w:rPr>
          <w:rFonts w:ascii="Arial" w:eastAsia="Times New Roman" w:hAnsi="Arial" w:cs="Arial"/>
          <w:sz w:val="20"/>
          <w:szCs w:val="20"/>
        </w:rPr>
        <w:t xml:space="preserve"> hơn. </w:t>
      </w:r>
    </w:p>
    <w:p w:rsidR="006733DE" w:rsidRPr="00F96020" w:rsidRDefault="00376307" w:rsidP="00F96020">
      <w:pPr>
        <w:spacing w:before="120" w:after="0" w:line="240" w:lineRule="auto"/>
        <w:jc w:val="both"/>
        <w:rPr>
          <w:rFonts w:ascii="Arial" w:eastAsia="Times New Roman" w:hAnsi="Arial" w:cs="Arial"/>
          <w:sz w:val="20"/>
          <w:szCs w:val="20"/>
        </w:rPr>
      </w:pPr>
      <w:r w:rsidRPr="00F96020">
        <w:rPr>
          <w:rFonts w:ascii="Arial" w:eastAsia="Times New Roman" w:hAnsi="Arial" w:cs="Arial"/>
          <w:sz w:val="20"/>
          <w:szCs w:val="20"/>
        </w:rPr>
        <w:t>V</w:t>
      </w:r>
      <w:r w:rsidR="00B40515" w:rsidRPr="00F96020">
        <w:rPr>
          <w:rFonts w:ascii="Arial" w:eastAsia="Times New Roman" w:hAnsi="Arial" w:cs="Arial"/>
          <w:sz w:val="20"/>
          <w:szCs w:val="20"/>
        </w:rPr>
        <w:t xml:space="preserve">ới định hướng đúng đắn và </w:t>
      </w:r>
      <w:r w:rsidR="00A401F9" w:rsidRPr="00F96020">
        <w:rPr>
          <w:rFonts w:ascii="Arial" w:eastAsia="Times New Roman" w:hAnsi="Arial" w:cs="Arial"/>
          <w:sz w:val="20"/>
          <w:szCs w:val="20"/>
        </w:rPr>
        <w:t>sự chủ động,</w:t>
      </w:r>
      <w:r w:rsidR="00CC0A84" w:rsidRPr="00F96020">
        <w:rPr>
          <w:rFonts w:ascii="Arial" w:eastAsia="Times New Roman" w:hAnsi="Arial" w:cs="Arial"/>
          <w:sz w:val="20"/>
          <w:szCs w:val="20"/>
        </w:rPr>
        <w:t xml:space="preserve"> quyết liệt triển khai đồng bộ có hiệu quả </w:t>
      </w:r>
      <w:r w:rsidR="00A401F9" w:rsidRPr="00F96020">
        <w:rPr>
          <w:rFonts w:ascii="Arial" w:eastAsia="Times New Roman" w:hAnsi="Arial" w:cs="Arial"/>
          <w:sz w:val="20"/>
          <w:szCs w:val="20"/>
        </w:rPr>
        <w:t>các giải pháp</w:t>
      </w:r>
      <w:r w:rsidR="00B40515" w:rsidRPr="00F96020">
        <w:rPr>
          <w:rFonts w:ascii="Arial" w:eastAsia="Times New Roman" w:hAnsi="Arial" w:cs="Arial"/>
          <w:sz w:val="20"/>
          <w:szCs w:val="20"/>
        </w:rPr>
        <w:t xml:space="preserve"> phát triển thanh toán không dùng tiền mặt trong kỷ nguyên số, </w:t>
      </w:r>
      <w:r w:rsidRPr="00F96020">
        <w:rPr>
          <w:rFonts w:ascii="Arial" w:eastAsia="Times New Roman" w:hAnsi="Arial" w:cs="Arial"/>
          <w:sz w:val="20"/>
          <w:szCs w:val="20"/>
        </w:rPr>
        <w:t>thanh toán điện tử</w:t>
      </w:r>
      <w:r w:rsidR="00B40515" w:rsidRPr="00F96020">
        <w:rPr>
          <w:rFonts w:ascii="Arial" w:eastAsia="Times New Roman" w:hAnsi="Arial" w:cs="Arial"/>
          <w:sz w:val="20"/>
          <w:szCs w:val="20"/>
        </w:rPr>
        <w:t xml:space="preserve"> </w:t>
      </w:r>
      <w:r w:rsidR="00B764B5" w:rsidRPr="00F96020">
        <w:rPr>
          <w:rFonts w:ascii="Arial" w:eastAsia="Times New Roman" w:hAnsi="Arial" w:cs="Arial"/>
          <w:sz w:val="20"/>
          <w:szCs w:val="20"/>
        </w:rPr>
        <w:t xml:space="preserve">chắc chắn </w:t>
      </w:r>
      <w:r w:rsidRPr="00F96020">
        <w:rPr>
          <w:rFonts w:ascii="Arial" w:eastAsia="Times New Roman" w:hAnsi="Arial" w:cs="Arial"/>
          <w:sz w:val="20"/>
          <w:szCs w:val="20"/>
        </w:rPr>
        <w:t xml:space="preserve">là một trong các yếu tố </w:t>
      </w:r>
      <w:r w:rsidR="00723079" w:rsidRPr="00F96020">
        <w:rPr>
          <w:rFonts w:ascii="Arial" w:eastAsia="Times New Roman" w:hAnsi="Arial" w:cs="Arial"/>
          <w:sz w:val="20"/>
          <w:szCs w:val="20"/>
        </w:rPr>
        <w:t xml:space="preserve">không thể thiếu </w:t>
      </w:r>
      <w:r w:rsidR="00B40515" w:rsidRPr="00F96020">
        <w:rPr>
          <w:rFonts w:ascii="Arial" w:eastAsia="Times New Roman" w:hAnsi="Arial" w:cs="Arial"/>
          <w:sz w:val="20"/>
          <w:szCs w:val="20"/>
        </w:rPr>
        <w:t xml:space="preserve">góp phần hỗ trợ </w:t>
      </w:r>
      <w:r w:rsidR="00975423" w:rsidRPr="00F96020">
        <w:rPr>
          <w:rFonts w:ascii="Arial" w:eastAsia="Times New Roman" w:hAnsi="Arial" w:cs="Arial"/>
          <w:sz w:val="20"/>
          <w:szCs w:val="20"/>
        </w:rPr>
        <w:t>nền kinh tế Internet Việt Nam</w:t>
      </w:r>
      <w:r w:rsidR="00755BDF" w:rsidRPr="00F96020">
        <w:rPr>
          <w:rFonts w:ascii="Arial" w:eastAsia="Times New Roman" w:hAnsi="Arial" w:cs="Arial"/>
          <w:sz w:val="20"/>
          <w:szCs w:val="20"/>
        </w:rPr>
        <w:t xml:space="preserve"> </w:t>
      </w:r>
      <w:r w:rsidR="00975423" w:rsidRPr="00F96020">
        <w:rPr>
          <w:rFonts w:ascii="Arial" w:eastAsia="Times New Roman" w:hAnsi="Arial" w:cs="Arial"/>
          <w:sz w:val="20"/>
          <w:szCs w:val="20"/>
        </w:rPr>
        <w:t xml:space="preserve">trở </w:t>
      </w:r>
      <w:r w:rsidR="00755BDF" w:rsidRPr="00F96020">
        <w:rPr>
          <w:rFonts w:ascii="Arial" w:eastAsia="Times New Roman" w:hAnsi="Arial" w:cs="Arial"/>
          <w:sz w:val="20"/>
          <w:szCs w:val="20"/>
        </w:rPr>
        <w:t xml:space="preserve">thành một trong những nền kinh tế số năng động và phát triển ấn tượng </w:t>
      </w:r>
      <w:r w:rsidR="00A401F9" w:rsidRPr="00F96020">
        <w:rPr>
          <w:rFonts w:ascii="Arial" w:eastAsia="Times New Roman" w:hAnsi="Arial" w:cs="Arial"/>
          <w:sz w:val="20"/>
          <w:szCs w:val="20"/>
        </w:rPr>
        <w:t>của</w:t>
      </w:r>
      <w:r w:rsidR="00755BDF" w:rsidRPr="00F96020">
        <w:rPr>
          <w:rFonts w:ascii="Arial" w:eastAsia="Times New Roman" w:hAnsi="Arial" w:cs="Arial"/>
          <w:sz w:val="20"/>
          <w:szCs w:val="20"/>
        </w:rPr>
        <w:t xml:space="preserve"> khu vực.</w:t>
      </w:r>
      <w:r w:rsidR="00475C43" w:rsidRPr="00F96020">
        <w:rPr>
          <w:rFonts w:ascii="Arial" w:eastAsia="Times New Roman" w:hAnsi="Arial" w:cs="Arial"/>
          <w:sz w:val="20"/>
          <w:szCs w:val="20"/>
        </w:rPr>
        <w:t>/.</w:t>
      </w:r>
      <w:r w:rsidR="00755BDF" w:rsidRPr="00F96020">
        <w:rPr>
          <w:rFonts w:ascii="Arial" w:eastAsia="Times New Roman" w:hAnsi="Arial" w:cs="Arial"/>
          <w:sz w:val="20"/>
          <w:szCs w:val="20"/>
        </w:rPr>
        <w:t xml:space="preserve"> </w:t>
      </w:r>
    </w:p>
    <w:p w:rsidR="0032515F" w:rsidRPr="00F96020" w:rsidRDefault="0032515F" w:rsidP="00F96020">
      <w:pPr>
        <w:spacing w:before="120" w:after="0" w:line="240" w:lineRule="auto"/>
        <w:ind w:firstLine="720"/>
        <w:jc w:val="both"/>
        <w:rPr>
          <w:rFonts w:ascii="Arial" w:eastAsia="Times New Roman" w:hAnsi="Arial" w:cs="Arial"/>
          <w:sz w:val="20"/>
          <w:szCs w:val="20"/>
        </w:rPr>
      </w:pPr>
      <w:r w:rsidRPr="00F96020">
        <w:rPr>
          <w:rFonts w:ascii="Arial" w:eastAsia="Times New Roman" w:hAnsi="Arial" w:cs="Arial"/>
          <w:sz w:val="20"/>
          <w:szCs w:val="20"/>
        </w:rPr>
        <w:t>TT1</w:t>
      </w:r>
    </w:p>
    <w:p w:rsidR="00F52602" w:rsidRPr="00F96020" w:rsidRDefault="0032515F" w:rsidP="00F96020">
      <w:pPr>
        <w:spacing w:before="120" w:after="0" w:line="240" w:lineRule="auto"/>
        <w:ind w:firstLine="720"/>
        <w:jc w:val="both"/>
        <w:rPr>
          <w:rFonts w:ascii="Arial" w:eastAsia="Times New Roman" w:hAnsi="Arial" w:cs="Arial"/>
          <w:i/>
          <w:sz w:val="20"/>
          <w:szCs w:val="20"/>
        </w:rPr>
      </w:pPr>
      <w:r w:rsidRPr="00F96020">
        <w:rPr>
          <w:rFonts w:ascii="Arial" w:eastAsia="Times New Roman" w:hAnsi="Arial" w:cs="Arial"/>
          <w:i/>
          <w:sz w:val="20"/>
          <w:szCs w:val="20"/>
        </w:rPr>
        <w:t>(Theo Bloomberg, Google, Temasek Holdings Pte và Bain &amp; Co, Sách trắng thương mại điện tử Việt Nam)</w:t>
      </w:r>
    </w:p>
    <w:p w:rsidR="00F96020" w:rsidRPr="00F96020" w:rsidRDefault="00F96020" w:rsidP="00F96020">
      <w:pPr>
        <w:spacing w:before="120" w:after="0" w:line="240" w:lineRule="auto"/>
        <w:ind w:firstLine="720"/>
        <w:jc w:val="both"/>
        <w:rPr>
          <w:rFonts w:ascii="Arial" w:eastAsia="Times New Roman" w:hAnsi="Arial" w:cs="Arial"/>
          <w:i/>
          <w:sz w:val="20"/>
          <w:szCs w:val="20"/>
        </w:rPr>
      </w:pPr>
    </w:p>
    <w:sectPr w:rsidR="00F96020" w:rsidRPr="00F96020" w:rsidSect="00376307">
      <w:pgSz w:w="12240" w:h="15840"/>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D6B"/>
    <w:rsid w:val="00035881"/>
    <w:rsid w:val="00042E0C"/>
    <w:rsid w:val="000464ED"/>
    <w:rsid w:val="00051760"/>
    <w:rsid w:val="00073D6B"/>
    <w:rsid w:val="000C1E75"/>
    <w:rsid w:val="00113686"/>
    <w:rsid w:val="001523C1"/>
    <w:rsid w:val="00155427"/>
    <w:rsid w:val="00170B5D"/>
    <w:rsid w:val="001718DD"/>
    <w:rsid w:val="001C5DE8"/>
    <w:rsid w:val="001D3686"/>
    <w:rsid w:val="001E69D8"/>
    <w:rsid w:val="001F4BD5"/>
    <w:rsid w:val="001F5C28"/>
    <w:rsid w:val="002577CF"/>
    <w:rsid w:val="00260DE8"/>
    <w:rsid w:val="0029123D"/>
    <w:rsid w:val="002A66E7"/>
    <w:rsid w:val="002B0F6A"/>
    <w:rsid w:val="002E3FF6"/>
    <w:rsid w:val="002E75C2"/>
    <w:rsid w:val="0032515F"/>
    <w:rsid w:val="00334C49"/>
    <w:rsid w:val="00360C6A"/>
    <w:rsid w:val="00363462"/>
    <w:rsid w:val="00376307"/>
    <w:rsid w:val="003901E1"/>
    <w:rsid w:val="003B443B"/>
    <w:rsid w:val="003B7955"/>
    <w:rsid w:val="003E34CE"/>
    <w:rsid w:val="004331AA"/>
    <w:rsid w:val="00444F18"/>
    <w:rsid w:val="00475C43"/>
    <w:rsid w:val="004A1DF8"/>
    <w:rsid w:val="004A2B7D"/>
    <w:rsid w:val="004F02FD"/>
    <w:rsid w:val="00556D2B"/>
    <w:rsid w:val="005B3A29"/>
    <w:rsid w:val="0061096A"/>
    <w:rsid w:val="00615460"/>
    <w:rsid w:val="006261FF"/>
    <w:rsid w:val="0063226F"/>
    <w:rsid w:val="00641120"/>
    <w:rsid w:val="00641AFC"/>
    <w:rsid w:val="006733DE"/>
    <w:rsid w:val="006B2D99"/>
    <w:rsid w:val="006C5D5A"/>
    <w:rsid w:val="0070644D"/>
    <w:rsid w:val="00715894"/>
    <w:rsid w:val="00723079"/>
    <w:rsid w:val="00725B11"/>
    <w:rsid w:val="00755BDF"/>
    <w:rsid w:val="00787570"/>
    <w:rsid w:val="00797F54"/>
    <w:rsid w:val="007A53BB"/>
    <w:rsid w:val="007B6F3E"/>
    <w:rsid w:val="007B6F3F"/>
    <w:rsid w:val="007E10CE"/>
    <w:rsid w:val="007F356C"/>
    <w:rsid w:val="008009A1"/>
    <w:rsid w:val="00803287"/>
    <w:rsid w:val="008079D0"/>
    <w:rsid w:val="00814FE4"/>
    <w:rsid w:val="00820618"/>
    <w:rsid w:val="008C1430"/>
    <w:rsid w:val="008C384C"/>
    <w:rsid w:val="008D5020"/>
    <w:rsid w:val="008E2EAC"/>
    <w:rsid w:val="008F7BB2"/>
    <w:rsid w:val="0092058B"/>
    <w:rsid w:val="009410FB"/>
    <w:rsid w:val="00957AF6"/>
    <w:rsid w:val="00975423"/>
    <w:rsid w:val="009A1E86"/>
    <w:rsid w:val="009B74C1"/>
    <w:rsid w:val="00A0473A"/>
    <w:rsid w:val="00A12053"/>
    <w:rsid w:val="00A401F9"/>
    <w:rsid w:val="00A731E0"/>
    <w:rsid w:val="00A808B7"/>
    <w:rsid w:val="00A829FC"/>
    <w:rsid w:val="00A903B6"/>
    <w:rsid w:val="00A975F1"/>
    <w:rsid w:val="00AB71FC"/>
    <w:rsid w:val="00AC561C"/>
    <w:rsid w:val="00AD17B5"/>
    <w:rsid w:val="00AE4B85"/>
    <w:rsid w:val="00AE5290"/>
    <w:rsid w:val="00AE52DC"/>
    <w:rsid w:val="00AF6F37"/>
    <w:rsid w:val="00B2117E"/>
    <w:rsid w:val="00B40515"/>
    <w:rsid w:val="00B4292E"/>
    <w:rsid w:val="00B43073"/>
    <w:rsid w:val="00B764B5"/>
    <w:rsid w:val="00B86ECA"/>
    <w:rsid w:val="00B95DA1"/>
    <w:rsid w:val="00BE3DC2"/>
    <w:rsid w:val="00BF0A18"/>
    <w:rsid w:val="00C01CE6"/>
    <w:rsid w:val="00C23A12"/>
    <w:rsid w:val="00C53B02"/>
    <w:rsid w:val="00CB4F2F"/>
    <w:rsid w:val="00CC0A84"/>
    <w:rsid w:val="00CC787F"/>
    <w:rsid w:val="00CD3498"/>
    <w:rsid w:val="00D1630E"/>
    <w:rsid w:val="00D21E7A"/>
    <w:rsid w:val="00D5278A"/>
    <w:rsid w:val="00D83BF4"/>
    <w:rsid w:val="00D86456"/>
    <w:rsid w:val="00D93926"/>
    <w:rsid w:val="00DB380C"/>
    <w:rsid w:val="00DE2D22"/>
    <w:rsid w:val="00DF46FB"/>
    <w:rsid w:val="00E26B3C"/>
    <w:rsid w:val="00E377B0"/>
    <w:rsid w:val="00E71F5E"/>
    <w:rsid w:val="00E7658A"/>
    <w:rsid w:val="00E840F1"/>
    <w:rsid w:val="00E862E3"/>
    <w:rsid w:val="00EB0D0D"/>
    <w:rsid w:val="00EC0DE0"/>
    <w:rsid w:val="00EC2B0D"/>
    <w:rsid w:val="00EC3BE3"/>
    <w:rsid w:val="00EC5E72"/>
    <w:rsid w:val="00EE14B7"/>
    <w:rsid w:val="00F22791"/>
    <w:rsid w:val="00F3744D"/>
    <w:rsid w:val="00F52602"/>
    <w:rsid w:val="00F55EDC"/>
    <w:rsid w:val="00F86204"/>
    <w:rsid w:val="00F96020"/>
    <w:rsid w:val="00FB5AEC"/>
    <w:rsid w:val="00FB6279"/>
    <w:rsid w:val="00FE00C8"/>
    <w:rsid w:val="00FE088B"/>
    <w:rsid w:val="00FE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AAA1B3-D315-494C-85BF-5E64D7FCE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5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latin typeface="+mj-lt"/>
              </a:rPr>
              <a:t>Tăng</a:t>
            </a:r>
            <a:r>
              <a:rPr lang="en-US" b="1" baseline="0">
                <a:latin typeface="+mj-lt"/>
              </a:rPr>
              <a:t> trưởng kinh tế Internet của </a:t>
            </a:r>
          </a:p>
          <a:p>
            <a:pPr>
              <a:defRPr b="1"/>
            </a:pPr>
            <a:r>
              <a:rPr lang="en-US" b="1" baseline="0">
                <a:latin typeface="+mj-lt"/>
              </a:rPr>
              <a:t>một số quốc gia khu vực Đông Nam Á</a:t>
            </a:r>
            <a:endParaRPr lang="en-US" b="1">
              <a:latin typeface="+mj-lt"/>
            </a:endParaRPr>
          </a:p>
        </c:rich>
      </c:tx>
      <c:layout>
        <c:manualLayout>
          <c:xMode val="edge"/>
          <c:yMode val="edge"/>
          <c:x val="0.2533350715655453"/>
          <c:y val="1.9445876957687982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Sheet1!$C$4</c:f>
              <c:strCache>
                <c:ptCount val="1"/>
                <c:pt idx="0">
                  <c:v>2019</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Sheet1!$B$5:$B$10</c:f>
              <c:strCache>
                <c:ptCount val="6"/>
                <c:pt idx="0">
                  <c:v>Indonesia</c:v>
                </c:pt>
                <c:pt idx="1">
                  <c:v>Malaysia</c:v>
                </c:pt>
                <c:pt idx="2">
                  <c:v>Philippines</c:v>
                </c:pt>
                <c:pt idx="3">
                  <c:v>Singapore</c:v>
                </c:pt>
                <c:pt idx="4">
                  <c:v>Thailand</c:v>
                </c:pt>
                <c:pt idx="5">
                  <c:v>Vietnam</c:v>
                </c:pt>
              </c:strCache>
            </c:strRef>
          </c:cat>
          <c:val>
            <c:numRef>
              <c:f>Sheet1!$C$5:$C$10</c:f>
              <c:numCache>
                <c:formatCode>General</c:formatCode>
                <c:ptCount val="6"/>
                <c:pt idx="0">
                  <c:v>40</c:v>
                </c:pt>
                <c:pt idx="1">
                  <c:v>11</c:v>
                </c:pt>
                <c:pt idx="2">
                  <c:v>7</c:v>
                </c:pt>
                <c:pt idx="3">
                  <c:v>12</c:v>
                </c:pt>
                <c:pt idx="4">
                  <c:v>16</c:v>
                </c:pt>
                <c:pt idx="5">
                  <c:v>12</c:v>
                </c:pt>
              </c:numCache>
            </c:numRef>
          </c:val>
        </c:ser>
        <c:ser>
          <c:idx val="1"/>
          <c:order val="1"/>
          <c:tx>
            <c:strRef>
              <c:f>Sheet1!$D$4</c:f>
              <c:strCache>
                <c:ptCount val="1"/>
                <c:pt idx="0">
                  <c:v>2025</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Sheet1!$B$5:$B$10</c:f>
              <c:strCache>
                <c:ptCount val="6"/>
                <c:pt idx="0">
                  <c:v>Indonesia</c:v>
                </c:pt>
                <c:pt idx="1">
                  <c:v>Malaysia</c:v>
                </c:pt>
                <c:pt idx="2">
                  <c:v>Philippines</c:v>
                </c:pt>
                <c:pt idx="3">
                  <c:v>Singapore</c:v>
                </c:pt>
                <c:pt idx="4">
                  <c:v>Thailand</c:v>
                </c:pt>
                <c:pt idx="5">
                  <c:v>Vietnam</c:v>
                </c:pt>
              </c:strCache>
            </c:strRef>
          </c:cat>
          <c:val>
            <c:numRef>
              <c:f>Sheet1!$D$5:$D$10</c:f>
              <c:numCache>
                <c:formatCode>General</c:formatCode>
                <c:ptCount val="6"/>
                <c:pt idx="0">
                  <c:v>133</c:v>
                </c:pt>
                <c:pt idx="1">
                  <c:v>26</c:v>
                </c:pt>
                <c:pt idx="2">
                  <c:v>25</c:v>
                </c:pt>
                <c:pt idx="3">
                  <c:v>27</c:v>
                </c:pt>
                <c:pt idx="4">
                  <c:v>50</c:v>
                </c:pt>
                <c:pt idx="5">
                  <c:v>43</c:v>
                </c:pt>
              </c:numCache>
            </c:numRef>
          </c:val>
        </c:ser>
        <c:dLbls>
          <c:showLegendKey val="0"/>
          <c:showVal val="0"/>
          <c:showCatName val="0"/>
          <c:showSerName val="0"/>
          <c:showPercent val="0"/>
          <c:showBubbleSize val="0"/>
        </c:dLbls>
        <c:gapWidth val="150"/>
        <c:shape val="box"/>
        <c:axId val="-1740687488"/>
        <c:axId val="-1740689120"/>
        <c:axId val="0"/>
      </c:bar3DChart>
      <c:catAx>
        <c:axId val="-17406874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689120"/>
        <c:crosses val="autoZero"/>
        <c:auto val="1"/>
        <c:lblAlgn val="ctr"/>
        <c:lblOffset val="100"/>
        <c:noMultiLvlLbl val="0"/>
      </c:catAx>
      <c:valAx>
        <c:axId val="-17406891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687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9851D-249F-402F-AB76-45A873D4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20</cp:revision>
  <dcterms:created xsi:type="dcterms:W3CDTF">2019-11-27T06:54:00Z</dcterms:created>
  <dcterms:modified xsi:type="dcterms:W3CDTF">2019-11-27T07:16:00Z</dcterms:modified>
</cp:coreProperties>
</file>