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44A1F" w14:textId="701B2983" w:rsidR="00227B5F" w:rsidRPr="00310FB1" w:rsidRDefault="003F1E4E" w:rsidP="00310FB1">
      <w:pPr>
        <w:jc w:val="both"/>
        <w:rPr>
          <w:rFonts w:ascii="Arial" w:hAnsi="Arial" w:cs="Arial"/>
          <w:sz w:val="20"/>
          <w:szCs w:val="24"/>
        </w:rPr>
      </w:pPr>
      <w:bookmarkStart w:id="0" w:name="_GoBack"/>
      <w:bookmarkEnd w:id="0"/>
      <w:r w:rsidRPr="00310FB1">
        <w:rPr>
          <w:rFonts w:ascii="Arial" w:hAnsi="Arial" w:cs="Arial"/>
          <w:sz w:val="20"/>
          <w:szCs w:val="24"/>
        </w:rPr>
        <w:t xml:space="preserve">Báo cáo </w:t>
      </w:r>
      <w:r w:rsidR="008A20B9" w:rsidRPr="00310FB1">
        <w:rPr>
          <w:rFonts w:ascii="Arial" w:hAnsi="Arial" w:cs="Arial"/>
          <w:sz w:val="20"/>
          <w:szCs w:val="24"/>
        </w:rPr>
        <w:t xml:space="preserve">an ninh, </w:t>
      </w:r>
      <w:r w:rsidRPr="00310FB1">
        <w:rPr>
          <w:rFonts w:ascii="Arial" w:hAnsi="Arial" w:cs="Arial"/>
          <w:sz w:val="20"/>
          <w:szCs w:val="24"/>
        </w:rPr>
        <w:t xml:space="preserve">bảo mật thanh toán (Payment Security Report - PSR) </w:t>
      </w:r>
      <w:r w:rsidR="008323CD" w:rsidRPr="00310FB1">
        <w:rPr>
          <w:rFonts w:ascii="Arial" w:hAnsi="Arial" w:cs="Arial"/>
          <w:sz w:val="20"/>
          <w:szCs w:val="24"/>
        </w:rPr>
        <w:t>đượ</w:t>
      </w:r>
      <w:r w:rsidR="004645FD" w:rsidRPr="00310FB1">
        <w:rPr>
          <w:rFonts w:ascii="Arial" w:hAnsi="Arial" w:cs="Arial"/>
          <w:sz w:val="20"/>
          <w:szCs w:val="24"/>
        </w:rPr>
        <w:t xml:space="preserve">c </w:t>
      </w:r>
      <w:r w:rsidR="008323CD" w:rsidRPr="00310FB1">
        <w:rPr>
          <w:rFonts w:ascii="Arial" w:hAnsi="Arial" w:cs="Arial"/>
          <w:sz w:val="20"/>
          <w:szCs w:val="24"/>
        </w:rPr>
        <w:t>Verizon</w:t>
      </w:r>
      <w:r w:rsidR="00263C57" w:rsidRPr="00310FB1">
        <w:rPr>
          <w:rFonts w:ascii="Arial" w:hAnsi="Arial" w:cs="Arial"/>
          <w:sz w:val="20"/>
          <w:szCs w:val="24"/>
        </w:rPr>
        <w:t>, một công ty truyền thông và mạng di động của Hoa Kỳ,</w:t>
      </w:r>
      <w:r w:rsidR="008323CD" w:rsidRPr="00310FB1">
        <w:rPr>
          <w:rFonts w:ascii="Arial" w:hAnsi="Arial" w:cs="Arial"/>
          <w:sz w:val="20"/>
          <w:szCs w:val="24"/>
        </w:rPr>
        <w:t xml:space="preserve"> công bố </w:t>
      </w:r>
      <w:r w:rsidR="00263C57" w:rsidRPr="00310FB1">
        <w:rPr>
          <w:rFonts w:ascii="Arial" w:hAnsi="Arial" w:cs="Arial"/>
          <w:sz w:val="20"/>
          <w:szCs w:val="24"/>
        </w:rPr>
        <w:t xml:space="preserve">hàng năm </w:t>
      </w:r>
      <w:r w:rsidRPr="00310FB1">
        <w:rPr>
          <w:rFonts w:ascii="Arial" w:hAnsi="Arial" w:cs="Arial"/>
          <w:sz w:val="20"/>
          <w:szCs w:val="24"/>
        </w:rPr>
        <w:t xml:space="preserve">từ năm 2010. Vào thời điểm đó, đây là nghiên cứu đầu tiên cung cấp </w:t>
      </w:r>
      <w:r w:rsidR="00585F75" w:rsidRPr="00310FB1">
        <w:rPr>
          <w:rFonts w:ascii="Arial" w:hAnsi="Arial" w:cs="Arial"/>
          <w:sz w:val="20"/>
          <w:szCs w:val="24"/>
        </w:rPr>
        <w:t>những phân tích</w:t>
      </w:r>
      <w:r w:rsidRPr="00310FB1">
        <w:rPr>
          <w:rFonts w:ascii="Arial" w:hAnsi="Arial" w:cs="Arial"/>
          <w:sz w:val="20"/>
          <w:szCs w:val="24"/>
        </w:rPr>
        <w:t xml:space="preserve"> chuyên sâu về </w:t>
      </w:r>
      <w:r w:rsidR="004827F5" w:rsidRPr="00310FB1">
        <w:rPr>
          <w:rFonts w:ascii="Arial" w:hAnsi="Arial" w:cs="Arial"/>
          <w:sz w:val="20"/>
          <w:szCs w:val="24"/>
        </w:rPr>
        <w:t xml:space="preserve">các tiêu chuẩn bảo mật trong lĩnh vực thanh toán thẻ (the Payment Card Industry Data Security Standard – PCI DSS do Visa công bố từ năm 2004) </w:t>
      </w:r>
      <w:r w:rsidRPr="00310FB1">
        <w:rPr>
          <w:rFonts w:ascii="Arial" w:hAnsi="Arial" w:cs="Arial"/>
          <w:sz w:val="20"/>
          <w:szCs w:val="24"/>
        </w:rPr>
        <w:t xml:space="preserve">cũng như </w:t>
      </w:r>
      <w:r w:rsidR="000B39DE" w:rsidRPr="00310FB1">
        <w:rPr>
          <w:rFonts w:ascii="Arial" w:hAnsi="Arial" w:cs="Arial"/>
          <w:sz w:val="20"/>
          <w:szCs w:val="24"/>
        </w:rPr>
        <w:t xml:space="preserve">đánh giá </w:t>
      </w:r>
      <w:r w:rsidR="004645FD" w:rsidRPr="00310FB1">
        <w:rPr>
          <w:rFonts w:ascii="Arial" w:hAnsi="Arial" w:cs="Arial"/>
          <w:sz w:val="20"/>
          <w:szCs w:val="24"/>
        </w:rPr>
        <w:t>tình hình triển khai</w:t>
      </w:r>
      <w:r w:rsidR="000B39DE" w:rsidRPr="00310FB1">
        <w:rPr>
          <w:rFonts w:ascii="Arial" w:hAnsi="Arial" w:cs="Arial"/>
          <w:sz w:val="20"/>
          <w:szCs w:val="24"/>
        </w:rPr>
        <w:t xml:space="preserve"> </w:t>
      </w:r>
      <w:r w:rsidR="004827F5" w:rsidRPr="00310FB1">
        <w:rPr>
          <w:rFonts w:ascii="Arial" w:hAnsi="Arial" w:cs="Arial"/>
          <w:sz w:val="20"/>
          <w:szCs w:val="24"/>
        </w:rPr>
        <w:t>áp dụng hàng năm.</w:t>
      </w:r>
    </w:p>
    <w:p w14:paraId="672C521D" w14:textId="76AD70E7" w:rsidR="003F1E4E" w:rsidRPr="00310FB1" w:rsidRDefault="003F1E4E" w:rsidP="00310FB1">
      <w:pPr>
        <w:jc w:val="both"/>
        <w:rPr>
          <w:rFonts w:ascii="Arial" w:hAnsi="Arial" w:cs="Arial"/>
          <w:sz w:val="20"/>
          <w:szCs w:val="24"/>
        </w:rPr>
      </w:pPr>
      <w:r w:rsidRPr="00310FB1">
        <w:rPr>
          <w:rFonts w:ascii="Arial" w:hAnsi="Arial" w:cs="Arial"/>
          <w:sz w:val="20"/>
          <w:szCs w:val="24"/>
        </w:rPr>
        <w:t>Trả</w:t>
      </w:r>
      <w:r w:rsidR="00325F5C" w:rsidRPr="00310FB1">
        <w:rPr>
          <w:rFonts w:ascii="Arial" w:hAnsi="Arial" w:cs="Arial"/>
          <w:sz w:val="20"/>
          <w:szCs w:val="24"/>
        </w:rPr>
        <w:t>i qua</w:t>
      </w:r>
      <w:r w:rsidRPr="00310FB1">
        <w:rPr>
          <w:rFonts w:ascii="Arial" w:hAnsi="Arial" w:cs="Arial"/>
          <w:sz w:val="20"/>
          <w:szCs w:val="24"/>
        </w:rPr>
        <w:t xml:space="preserve"> 9 năm từ </w:t>
      </w:r>
      <w:r w:rsidR="00DC11B8" w:rsidRPr="00310FB1">
        <w:rPr>
          <w:rFonts w:ascii="Arial" w:hAnsi="Arial" w:cs="Arial"/>
          <w:sz w:val="20"/>
          <w:szCs w:val="24"/>
        </w:rPr>
        <w:t xml:space="preserve">thời điểm </w:t>
      </w:r>
      <w:r w:rsidRPr="00310FB1">
        <w:rPr>
          <w:rFonts w:ascii="Arial" w:hAnsi="Arial" w:cs="Arial"/>
          <w:sz w:val="20"/>
          <w:szCs w:val="24"/>
        </w:rPr>
        <w:t xml:space="preserve">công bố Báo cáo đầu tiên, </w:t>
      </w:r>
      <w:r w:rsidR="004645FD" w:rsidRPr="00310FB1">
        <w:rPr>
          <w:rFonts w:ascii="Arial" w:hAnsi="Arial" w:cs="Arial"/>
          <w:sz w:val="20"/>
          <w:szCs w:val="24"/>
        </w:rPr>
        <w:t>năm 2019, Verizon</w:t>
      </w:r>
      <w:r w:rsidRPr="00310FB1">
        <w:rPr>
          <w:rFonts w:ascii="Arial" w:hAnsi="Arial" w:cs="Arial"/>
          <w:sz w:val="20"/>
          <w:szCs w:val="24"/>
        </w:rPr>
        <w:t xml:space="preserve"> tiếp tục </w:t>
      </w:r>
      <w:r w:rsidR="004645FD" w:rsidRPr="00310FB1">
        <w:rPr>
          <w:rFonts w:ascii="Arial" w:hAnsi="Arial" w:cs="Arial"/>
          <w:sz w:val="20"/>
          <w:szCs w:val="24"/>
        </w:rPr>
        <w:t>công bố đến độc giả những</w:t>
      </w:r>
      <w:r w:rsidRPr="00310FB1">
        <w:rPr>
          <w:rFonts w:ascii="Arial" w:hAnsi="Arial" w:cs="Arial"/>
          <w:sz w:val="20"/>
          <w:szCs w:val="24"/>
        </w:rPr>
        <w:t xml:space="preserve"> góc nhìn độc đáo </w:t>
      </w:r>
      <w:r w:rsidR="004645FD" w:rsidRPr="00310FB1">
        <w:rPr>
          <w:rFonts w:ascii="Arial" w:hAnsi="Arial" w:cs="Arial"/>
          <w:sz w:val="20"/>
          <w:szCs w:val="24"/>
        </w:rPr>
        <w:t>khi đánh giá</w:t>
      </w:r>
      <w:r w:rsidRPr="00310FB1">
        <w:rPr>
          <w:rFonts w:ascii="Arial" w:hAnsi="Arial" w:cs="Arial"/>
          <w:sz w:val="20"/>
          <w:szCs w:val="24"/>
        </w:rPr>
        <w:t xml:space="preserve"> tác động của chuẩ</w:t>
      </w:r>
      <w:r w:rsidR="004645FD" w:rsidRPr="00310FB1">
        <w:rPr>
          <w:rFonts w:ascii="Arial" w:hAnsi="Arial" w:cs="Arial"/>
          <w:sz w:val="20"/>
          <w:szCs w:val="24"/>
        </w:rPr>
        <w:t>n PCI DS</w:t>
      </w:r>
      <w:r w:rsidR="00585F75" w:rsidRPr="00310FB1">
        <w:rPr>
          <w:rFonts w:ascii="Arial" w:hAnsi="Arial" w:cs="Arial"/>
          <w:sz w:val="20"/>
          <w:szCs w:val="24"/>
        </w:rPr>
        <w:t>S</w:t>
      </w:r>
      <w:r w:rsidR="004645FD" w:rsidRPr="00310FB1">
        <w:rPr>
          <w:rFonts w:ascii="Arial" w:hAnsi="Arial" w:cs="Arial"/>
          <w:sz w:val="20"/>
          <w:szCs w:val="24"/>
        </w:rPr>
        <w:t xml:space="preserve"> </w:t>
      </w:r>
      <w:r w:rsidR="00105444" w:rsidRPr="00310FB1">
        <w:rPr>
          <w:rFonts w:ascii="Arial" w:hAnsi="Arial" w:cs="Arial"/>
          <w:sz w:val="20"/>
          <w:szCs w:val="24"/>
        </w:rPr>
        <w:t xml:space="preserve">trong dài hạn </w:t>
      </w:r>
      <w:r w:rsidR="004645FD" w:rsidRPr="00310FB1">
        <w:rPr>
          <w:rFonts w:ascii="Arial" w:hAnsi="Arial" w:cs="Arial"/>
          <w:sz w:val="20"/>
          <w:szCs w:val="24"/>
        </w:rPr>
        <w:t>cũng như</w:t>
      </w:r>
      <w:r w:rsidRPr="00310FB1">
        <w:rPr>
          <w:rFonts w:ascii="Arial" w:hAnsi="Arial" w:cs="Arial"/>
          <w:sz w:val="20"/>
          <w:szCs w:val="24"/>
        </w:rPr>
        <w:t xml:space="preserve"> </w:t>
      </w:r>
      <w:r w:rsidR="00AF5721" w:rsidRPr="00310FB1">
        <w:rPr>
          <w:rFonts w:ascii="Arial" w:hAnsi="Arial" w:cs="Arial"/>
          <w:sz w:val="20"/>
          <w:szCs w:val="24"/>
        </w:rPr>
        <w:t>phân tích</w:t>
      </w:r>
      <w:r w:rsidRPr="00310FB1">
        <w:rPr>
          <w:rFonts w:ascii="Arial" w:hAnsi="Arial" w:cs="Arial"/>
          <w:sz w:val="20"/>
          <w:szCs w:val="24"/>
        </w:rPr>
        <w:t xml:space="preserve"> </w:t>
      </w:r>
      <w:r w:rsidR="00585F75" w:rsidRPr="00310FB1">
        <w:rPr>
          <w:rFonts w:ascii="Arial" w:hAnsi="Arial" w:cs="Arial"/>
          <w:sz w:val="20"/>
          <w:szCs w:val="24"/>
        </w:rPr>
        <w:t>kết quả thực hiện ti</w:t>
      </w:r>
      <w:r w:rsidR="00105444" w:rsidRPr="00310FB1">
        <w:rPr>
          <w:rFonts w:ascii="Arial" w:hAnsi="Arial" w:cs="Arial"/>
          <w:sz w:val="20"/>
          <w:szCs w:val="24"/>
        </w:rPr>
        <w:t>êu</w:t>
      </w:r>
      <w:r w:rsidR="00585F75" w:rsidRPr="00310FB1">
        <w:rPr>
          <w:rFonts w:ascii="Arial" w:hAnsi="Arial" w:cs="Arial"/>
          <w:sz w:val="20"/>
          <w:szCs w:val="24"/>
        </w:rPr>
        <w:t xml:space="preserve"> chuẩn này </w:t>
      </w:r>
      <w:r w:rsidRPr="00310FB1">
        <w:rPr>
          <w:rFonts w:ascii="Arial" w:hAnsi="Arial" w:cs="Arial"/>
          <w:sz w:val="20"/>
          <w:szCs w:val="24"/>
        </w:rPr>
        <w:t>trên toàn cầu</w:t>
      </w:r>
      <w:r w:rsidR="00585F75" w:rsidRPr="00310FB1">
        <w:rPr>
          <w:rFonts w:ascii="Arial" w:hAnsi="Arial" w:cs="Arial"/>
          <w:sz w:val="20"/>
          <w:szCs w:val="24"/>
        </w:rPr>
        <w:t xml:space="preserve"> trong thập kỷ </w:t>
      </w:r>
      <w:r w:rsidR="00105444" w:rsidRPr="00310FB1">
        <w:rPr>
          <w:rFonts w:ascii="Arial" w:hAnsi="Arial" w:cs="Arial"/>
          <w:sz w:val="20"/>
          <w:szCs w:val="24"/>
        </w:rPr>
        <w:t xml:space="preserve">vừa </w:t>
      </w:r>
      <w:r w:rsidR="00585F75" w:rsidRPr="00310FB1">
        <w:rPr>
          <w:rFonts w:ascii="Arial" w:hAnsi="Arial" w:cs="Arial"/>
          <w:sz w:val="20"/>
          <w:szCs w:val="24"/>
        </w:rPr>
        <w:t>qua</w:t>
      </w:r>
      <w:r w:rsidRPr="00310FB1">
        <w:rPr>
          <w:rFonts w:ascii="Arial" w:hAnsi="Arial" w:cs="Arial"/>
          <w:sz w:val="20"/>
          <w:szCs w:val="24"/>
        </w:rPr>
        <w:t xml:space="preserve">. </w:t>
      </w:r>
      <w:r w:rsidR="003F7773" w:rsidRPr="00310FB1">
        <w:rPr>
          <w:rFonts w:ascii="Arial" w:hAnsi="Arial" w:cs="Arial"/>
          <w:sz w:val="20"/>
          <w:szCs w:val="24"/>
        </w:rPr>
        <w:t xml:space="preserve">Những kết quả phân tích của Verizon sẽ giúp nhìn nhận </w:t>
      </w:r>
      <w:r w:rsidR="00DC11B8" w:rsidRPr="00310FB1">
        <w:rPr>
          <w:rFonts w:ascii="Arial" w:hAnsi="Arial" w:cs="Arial"/>
          <w:sz w:val="20"/>
          <w:szCs w:val="24"/>
        </w:rPr>
        <w:t>bối cảnh</w:t>
      </w:r>
      <w:r w:rsidR="003F7773" w:rsidRPr="00310FB1">
        <w:rPr>
          <w:rFonts w:ascii="Arial" w:hAnsi="Arial" w:cs="Arial"/>
          <w:sz w:val="20"/>
          <w:szCs w:val="24"/>
        </w:rPr>
        <w:t xml:space="preserve"> an ninh, bảo mật trong thanh toán thẻ</w:t>
      </w:r>
      <w:r w:rsidR="00DC11B8" w:rsidRPr="00310FB1">
        <w:rPr>
          <w:rFonts w:ascii="Arial" w:hAnsi="Arial" w:cs="Arial"/>
          <w:sz w:val="20"/>
          <w:szCs w:val="24"/>
        </w:rPr>
        <w:t xml:space="preserve"> trên toàn cầu</w:t>
      </w:r>
      <w:r w:rsidR="003F7773" w:rsidRPr="00310FB1">
        <w:rPr>
          <w:rFonts w:ascii="Arial" w:hAnsi="Arial" w:cs="Arial"/>
          <w:sz w:val="20"/>
          <w:szCs w:val="24"/>
        </w:rPr>
        <w:t xml:space="preserve"> và rút</w:t>
      </w:r>
      <w:r w:rsidR="00DC11B8" w:rsidRPr="00310FB1">
        <w:rPr>
          <w:rFonts w:ascii="Arial" w:hAnsi="Arial" w:cs="Arial"/>
          <w:sz w:val="20"/>
          <w:szCs w:val="24"/>
        </w:rPr>
        <w:t xml:space="preserve"> </w:t>
      </w:r>
      <w:r w:rsidR="003F7773" w:rsidRPr="00310FB1">
        <w:rPr>
          <w:rFonts w:ascii="Arial" w:hAnsi="Arial" w:cs="Arial"/>
          <w:sz w:val="20"/>
          <w:szCs w:val="24"/>
        </w:rPr>
        <w:t xml:space="preserve">kinh nghiệm cho công tác đảm bảo an ninh, bảo mật trong thanh toán thẻ </w:t>
      </w:r>
      <w:r w:rsidR="00DC11B8" w:rsidRPr="00310FB1">
        <w:rPr>
          <w:rFonts w:ascii="Arial" w:hAnsi="Arial" w:cs="Arial"/>
          <w:sz w:val="20"/>
          <w:szCs w:val="24"/>
        </w:rPr>
        <w:t xml:space="preserve">tại </w:t>
      </w:r>
      <w:r w:rsidR="003F7773" w:rsidRPr="00310FB1">
        <w:rPr>
          <w:rFonts w:ascii="Arial" w:hAnsi="Arial" w:cs="Arial"/>
          <w:sz w:val="20"/>
          <w:szCs w:val="24"/>
        </w:rPr>
        <w:t>Việt Nam.</w:t>
      </w:r>
    </w:p>
    <w:p w14:paraId="22C8C4DF" w14:textId="5E6D23A2" w:rsidR="00263C57" w:rsidRPr="00310FB1" w:rsidRDefault="004B2002" w:rsidP="00310FB1">
      <w:pPr>
        <w:jc w:val="both"/>
        <w:rPr>
          <w:rFonts w:ascii="Arial" w:hAnsi="Arial" w:cs="Arial"/>
          <w:i/>
          <w:sz w:val="20"/>
          <w:szCs w:val="24"/>
        </w:rPr>
      </w:pPr>
      <w:r w:rsidRPr="00310FB1">
        <w:rPr>
          <w:rFonts w:ascii="Arial" w:hAnsi="Arial" w:cs="Arial"/>
          <w:i/>
          <w:sz w:val="20"/>
          <w:szCs w:val="24"/>
        </w:rPr>
        <w:t>An</w:t>
      </w:r>
      <w:r w:rsidR="00263C57" w:rsidRPr="00310FB1">
        <w:rPr>
          <w:rFonts w:ascii="Arial" w:hAnsi="Arial" w:cs="Arial"/>
          <w:i/>
          <w:sz w:val="20"/>
          <w:szCs w:val="24"/>
        </w:rPr>
        <w:t xml:space="preserve"> ninh, bảo mật trong thanh toán thẻ trên </w:t>
      </w:r>
      <w:r w:rsidRPr="00310FB1">
        <w:rPr>
          <w:rFonts w:ascii="Arial" w:hAnsi="Arial" w:cs="Arial"/>
          <w:i/>
          <w:sz w:val="20"/>
          <w:szCs w:val="24"/>
        </w:rPr>
        <w:t>thế giới</w:t>
      </w:r>
    </w:p>
    <w:p w14:paraId="32B6C88E" w14:textId="0E28472D" w:rsidR="00197770" w:rsidRPr="00310FB1" w:rsidRDefault="001118EC" w:rsidP="00310FB1">
      <w:pPr>
        <w:jc w:val="both"/>
        <w:rPr>
          <w:rFonts w:ascii="Arial" w:hAnsi="Arial" w:cs="Arial"/>
          <w:sz w:val="20"/>
          <w:szCs w:val="24"/>
        </w:rPr>
      </w:pPr>
      <w:r w:rsidRPr="00310FB1">
        <w:rPr>
          <w:rFonts w:ascii="Arial" w:hAnsi="Arial" w:cs="Arial"/>
          <w:sz w:val="20"/>
          <w:szCs w:val="24"/>
        </w:rPr>
        <w:t xml:space="preserve">Báo cáo của Verizon khảo sát </w:t>
      </w:r>
      <w:r w:rsidR="00B2466C" w:rsidRPr="00310FB1">
        <w:rPr>
          <w:rFonts w:ascii="Arial" w:hAnsi="Arial" w:cs="Arial"/>
          <w:sz w:val="20"/>
          <w:szCs w:val="24"/>
        </w:rPr>
        <w:t>việc</w:t>
      </w:r>
      <w:r w:rsidR="00951357" w:rsidRPr="00310FB1">
        <w:rPr>
          <w:rFonts w:ascii="Arial" w:hAnsi="Arial" w:cs="Arial"/>
          <w:sz w:val="20"/>
          <w:szCs w:val="24"/>
        </w:rPr>
        <w:t xml:space="preserve"> tuân thủ Tiêu chuẩn an ninh, bảo mật dữ liệu trong lĩnh vực thanh toán thẻ </w:t>
      </w:r>
      <w:r w:rsidR="003F7773" w:rsidRPr="00310FB1">
        <w:rPr>
          <w:rFonts w:ascii="Arial" w:hAnsi="Arial" w:cs="Arial"/>
          <w:sz w:val="20"/>
          <w:szCs w:val="24"/>
        </w:rPr>
        <w:t xml:space="preserve">năm 2019 </w:t>
      </w:r>
      <w:r w:rsidR="00951357" w:rsidRPr="00310FB1">
        <w:rPr>
          <w:rFonts w:ascii="Arial" w:hAnsi="Arial" w:cs="Arial"/>
          <w:sz w:val="20"/>
          <w:szCs w:val="24"/>
        </w:rPr>
        <w:t xml:space="preserve">của </w:t>
      </w:r>
      <w:r w:rsidR="006A3B20" w:rsidRPr="00310FB1">
        <w:rPr>
          <w:rFonts w:ascii="Arial" w:hAnsi="Arial" w:cs="Arial"/>
          <w:sz w:val="20"/>
          <w:szCs w:val="24"/>
        </w:rPr>
        <w:t>302</w:t>
      </w:r>
      <w:r w:rsidR="00951357" w:rsidRPr="00310FB1">
        <w:rPr>
          <w:rFonts w:ascii="Arial" w:hAnsi="Arial" w:cs="Arial"/>
          <w:sz w:val="20"/>
          <w:szCs w:val="24"/>
        </w:rPr>
        <w:t xml:space="preserve"> tổ chức</w:t>
      </w:r>
      <w:r w:rsidR="001E5405" w:rsidRPr="00310FB1">
        <w:rPr>
          <w:rFonts w:ascii="Arial" w:hAnsi="Arial" w:cs="Arial"/>
          <w:sz w:val="20"/>
          <w:szCs w:val="24"/>
        </w:rPr>
        <w:t xml:space="preserve"> </w:t>
      </w:r>
      <w:r w:rsidR="006A3B20" w:rsidRPr="00310FB1">
        <w:rPr>
          <w:rFonts w:ascii="Arial" w:hAnsi="Arial" w:cs="Arial"/>
          <w:sz w:val="20"/>
          <w:szCs w:val="24"/>
        </w:rPr>
        <w:t xml:space="preserve">tại 60 quốc gia trên thế giới, tập trung </w:t>
      </w:r>
      <w:r w:rsidR="001E5405" w:rsidRPr="00310FB1">
        <w:rPr>
          <w:rFonts w:ascii="Arial" w:hAnsi="Arial" w:cs="Arial"/>
          <w:sz w:val="20"/>
          <w:szCs w:val="24"/>
        </w:rPr>
        <w:t>trong 4 lĩnh vực,</w:t>
      </w:r>
      <w:r w:rsidR="004827F5" w:rsidRPr="00310FB1">
        <w:rPr>
          <w:rFonts w:ascii="Arial" w:hAnsi="Arial" w:cs="Arial"/>
          <w:sz w:val="20"/>
          <w:szCs w:val="24"/>
        </w:rPr>
        <w:t xml:space="preserve"> bao gồm</w:t>
      </w:r>
      <w:r w:rsidR="001E5405" w:rsidRPr="00310FB1">
        <w:rPr>
          <w:rFonts w:ascii="Arial" w:hAnsi="Arial" w:cs="Arial"/>
          <w:sz w:val="20"/>
          <w:szCs w:val="24"/>
        </w:rPr>
        <w:t xml:space="preserve"> </w:t>
      </w:r>
      <w:r w:rsidR="006A3B20" w:rsidRPr="00310FB1">
        <w:rPr>
          <w:rFonts w:ascii="Arial" w:hAnsi="Arial" w:cs="Arial"/>
          <w:sz w:val="20"/>
          <w:szCs w:val="24"/>
        </w:rPr>
        <w:t xml:space="preserve">60 tổ chức </w:t>
      </w:r>
      <w:r w:rsidR="001E5405" w:rsidRPr="00310FB1">
        <w:rPr>
          <w:rFonts w:ascii="Arial" w:hAnsi="Arial" w:cs="Arial"/>
          <w:sz w:val="20"/>
          <w:szCs w:val="24"/>
        </w:rPr>
        <w:t xml:space="preserve">bán lẻ, </w:t>
      </w:r>
      <w:r w:rsidR="006A3B20" w:rsidRPr="00310FB1">
        <w:rPr>
          <w:rFonts w:ascii="Arial" w:hAnsi="Arial" w:cs="Arial"/>
          <w:sz w:val="20"/>
          <w:szCs w:val="24"/>
        </w:rPr>
        <w:t xml:space="preserve">53 tổ chức </w:t>
      </w:r>
      <w:r w:rsidR="001E5405" w:rsidRPr="00310FB1">
        <w:rPr>
          <w:rFonts w:ascii="Arial" w:hAnsi="Arial" w:cs="Arial"/>
          <w:sz w:val="20"/>
          <w:szCs w:val="24"/>
        </w:rPr>
        <w:t xml:space="preserve">công nghệ thông tin, </w:t>
      </w:r>
      <w:r w:rsidR="006A3B20" w:rsidRPr="00310FB1">
        <w:rPr>
          <w:rFonts w:ascii="Arial" w:hAnsi="Arial" w:cs="Arial"/>
          <w:sz w:val="20"/>
          <w:szCs w:val="24"/>
        </w:rPr>
        <w:t xml:space="preserve">32 đơn vị </w:t>
      </w:r>
      <w:r w:rsidR="001E5405" w:rsidRPr="00310FB1">
        <w:rPr>
          <w:rFonts w:ascii="Arial" w:hAnsi="Arial" w:cs="Arial"/>
          <w:sz w:val="20"/>
          <w:szCs w:val="24"/>
        </w:rPr>
        <w:t xml:space="preserve">dịch vụ khách hàng và </w:t>
      </w:r>
      <w:r w:rsidR="006A3B20" w:rsidRPr="00310FB1">
        <w:rPr>
          <w:rFonts w:ascii="Arial" w:hAnsi="Arial" w:cs="Arial"/>
          <w:sz w:val="20"/>
          <w:szCs w:val="24"/>
        </w:rPr>
        <w:t xml:space="preserve">153 tổ chức </w:t>
      </w:r>
      <w:r w:rsidR="001E5405" w:rsidRPr="00310FB1">
        <w:rPr>
          <w:rFonts w:ascii="Arial" w:hAnsi="Arial" w:cs="Arial"/>
          <w:sz w:val="20"/>
          <w:szCs w:val="24"/>
        </w:rPr>
        <w:t>dịch vụ tài chính</w:t>
      </w:r>
      <w:r w:rsidR="006A3B20" w:rsidRPr="00310FB1">
        <w:rPr>
          <w:rFonts w:ascii="Arial" w:hAnsi="Arial" w:cs="Arial"/>
          <w:i/>
          <w:sz w:val="20"/>
          <w:szCs w:val="24"/>
        </w:rPr>
        <w:t>.</w:t>
      </w:r>
      <w:r w:rsidR="00263C57" w:rsidRPr="00310FB1">
        <w:rPr>
          <w:rFonts w:ascii="Arial" w:hAnsi="Arial" w:cs="Arial"/>
          <w:i/>
          <w:sz w:val="20"/>
          <w:szCs w:val="24"/>
        </w:rPr>
        <w:t xml:space="preserve"> </w:t>
      </w:r>
      <w:r w:rsidR="00227B5F" w:rsidRPr="00310FB1">
        <w:rPr>
          <w:rFonts w:ascii="Arial" w:hAnsi="Arial" w:cs="Arial"/>
          <w:sz w:val="20"/>
          <w:szCs w:val="24"/>
        </w:rPr>
        <w:t xml:space="preserve">Kết quả khảo sát </w:t>
      </w:r>
      <w:r w:rsidR="00F24D5F" w:rsidRPr="00310FB1">
        <w:rPr>
          <w:rFonts w:ascii="Arial" w:hAnsi="Arial" w:cs="Arial"/>
          <w:sz w:val="20"/>
          <w:szCs w:val="24"/>
        </w:rPr>
        <w:t xml:space="preserve">cho thấy </w:t>
      </w:r>
      <w:r w:rsidR="00F24D5F" w:rsidRPr="00310FB1">
        <w:rPr>
          <w:rFonts w:ascii="Arial" w:hAnsi="Arial" w:cs="Arial"/>
          <w:i/>
          <w:sz w:val="20"/>
          <w:szCs w:val="24"/>
        </w:rPr>
        <w:t>mức độ tuân thủ</w:t>
      </w:r>
      <w:r w:rsidR="00D00035" w:rsidRPr="00310FB1">
        <w:rPr>
          <w:rFonts w:ascii="Arial" w:hAnsi="Arial" w:cs="Arial"/>
          <w:i/>
          <w:sz w:val="20"/>
          <w:szCs w:val="24"/>
        </w:rPr>
        <w:t xml:space="preserve"> (compliance)</w:t>
      </w:r>
      <w:r w:rsidR="00F24D5F" w:rsidRPr="00310FB1">
        <w:rPr>
          <w:rFonts w:ascii="Arial" w:hAnsi="Arial" w:cs="Arial"/>
          <w:sz w:val="20"/>
          <w:szCs w:val="24"/>
        </w:rPr>
        <w:t xml:space="preserve"> đã có sự thay đổi theo chiều hướng </w:t>
      </w:r>
      <w:r w:rsidR="00F24D5F" w:rsidRPr="00310FB1">
        <w:rPr>
          <w:rFonts w:ascii="Arial" w:hAnsi="Arial" w:cs="Arial"/>
          <w:i/>
          <w:sz w:val="20"/>
          <w:szCs w:val="24"/>
        </w:rPr>
        <w:t>tiêu cực</w:t>
      </w:r>
      <w:r w:rsidR="00DF3610" w:rsidRPr="00310FB1">
        <w:rPr>
          <w:rFonts w:ascii="Arial" w:hAnsi="Arial" w:cs="Arial"/>
          <w:sz w:val="20"/>
          <w:szCs w:val="24"/>
        </w:rPr>
        <w:t xml:space="preserve"> trong thời gian gần đây</w:t>
      </w:r>
      <w:r w:rsidR="00951357" w:rsidRPr="00310FB1">
        <w:rPr>
          <w:rFonts w:ascii="Arial" w:hAnsi="Arial" w:cs="Arial"/>
          <w:sz w:val="20"/>
          <w:szCs w:val="24"/>
        </w:rPr>
        <w:t>. N</w:t>
      </w:r>
      <w:r w:rsidR="00227B5F" w:rsidRPr="00310FB1">
        <w:rPr>
          <w:rFonts w:ascii="Arial" w:hAnsi="Arial" w:cs="Arial"/>
          <w:sz w:val="20"/>
          <w:szCs w:val="24"/>
        </w:rPr>
        <w:t>ăm 2012</w:t>
      </w:r>
      <w:r w:rsidR="00F24D5F" w:rsidRPr="00310FB1">
        <w:rPr>
          <w:rFonts w:ascii="Arial" w:hAnsi="Arial" w:cs="Arial"/>
          <w:sz w:val="20"/>
          <w:szCs w:val="24"/>
        </w:rPr>
        <w:t xml:space="preserve"> </w:t>
      </w:r>
      <w:r w:rsidR="00227B5F" w:rsidRPr="00310FB1">
        <w:rPr>
          <w:rFonts w:ascii="Arial" w:hAnsi="Arial" w:cs="Arial"/>
          <w:sz w:val="20"/>
          <w:szCs w:val="24"/>
        </w:rPr>
        <w:t>có 11,1</w:t>
      </w:r>
      <w:r w:rsidR="00DF3610" w:rsidRPr="00310FB1">
        <w:rPr>
          <w:rFonts w:ascii="Arial" w:hAnsi="Arial" w:cs="Arial"/>
          <w:sz w:val="20"/>
          <w:szCs w:val="24"/>
        </w:rPr>
        <w:t xml:space="preserve">% tổ chức được khảo sát </w:t>
      </w:r>
      <w:r w:rsidR="00F24D5F" w:rsidRPr="00310FB1">
        <w:rPr>
          <w:rFonts w:ascii="Arial" w:hAnsi="Arial" w:cs="Arial"/>
          <w:sz w:val="20"/>
          <w:szCs w:val="24"/>
        </w:rPr>
        <w:t>đáp ứ</w:t>
      </w:r>
      <w:r w:rsidR="00DF3610" w:rsidRPr="00310FB1">
        <w:rPr>
          <w:rFonts w:ascii="Arial" w:hAnsi="Arial" w:cs="Arial"/>
          <w:sz w:val="20"/>
          <w:szCs w:val="24"/>
        </w:rPr>
        <w:t xml:space="preserve">ng đầy đủ </w:t>
      </w:r>
      <w:r w:rsidR="00227B5F" w:rsidRPr="00310FB1">
        <w:rPr>
          <w:rFonts w:ascii="Arial" w:hAnsi="Arial" w:cs="Arial"/>
          <w:sz w:val="20"/>
          <w:szCs w:val="24"/>
        </w:rPr>
        <w:t xml:space="preserve">các </w:t>
      </w:r>
      <w:r w:rsidR="00DF3610" w:rsidRPr="00310FB1">
        <w:rPr>
          <w:rFonts w:ascii="Arial" w:hAnsi="Arial" w:cs="Arial"/>
          <w:sz w:val="20"/>
          <w:szCs w:val="24"/>
        </w:rPr>
        <w:t>t</w:t>
      </w:r>
      <w:r w:rsidR="00F24D5F" w:rsidRPr="00310FB1">
        <w:rPr>
          <w:rFonts w:ascii="Arial" w:hAnsi="Arial" w:cs="Arial"/>
          <w:sz w:val="20"/>
          <w:szCs w:val="24"/>
        </w:rPr>
        <w:t xml:space="preserve">iêu chuẩn </w:t>
      </w:r>
      <w:r w:rsidR="005E10E0" w:rsidRPr="00310FB1">
        <w:rPr>
          <w:rFonts w:ascii="Arial" w:hAnsi="Arial" w:cs="Arial"/>
          <w:sz w:val="20"/>
          <w:szCs w:val="24"/>
        </w:rPr>
        <w:t xml:space="preserve">và </w:t>
      </w:r>
      <w:r w:rsidR="00227B5F" w:rsidRPr="00310FB1">
        <w:rPr>
          <w:rFonts w:ascii="Arial" w:hAnsi="Arial" w:cs="Arial"/>
          <w:sz w:val="20"/>
          <w:szCs w:val="24"/>
        </w:rPr>
        <w:t xml:space="preserve">tỷ lệ này </w:t>
      </w:r>
      <w:r w:rsidR="005E10E0" w:rsidRPr="00310FB1">
        <w:rPr>
          <w:rFonts w:ascii="Arial" w:hAnsi="Arial" w:cs="Arial"/>
          <w:sz w:val="20"/>
          <w:szCs w:val="24"/>
        </w:rPr>
        <w:t xml:space="preserve">đạt mức cao nhất vào năm 2016 </w:t>
      </w:r>
      <w:r w:rsidR="00DF3610" w:rsidRPr="00310FB1">
        <w:rPr>
          <w:rFonts w:ascii="Arial" w:hAnsi="Arial" w:cs="Arial"/>
          <w:sz w:val="20"/>
          <w:szCs w:val="24"/>
        </w:rPr>
        <w:t>với</w:t>
      </w:r>
      <w:r w:rsidR="005E10E0" w:rsidRPr="00310FB1">
        <w:rPr>
          <w:rFonts w:ascii="Arial" w:hAnsi="Arial" w:cs="Arial"/>
          <w:sz w:val="20"/>
          <w:szCs w:val="24"/>
        </w:rPr>
        <w:t xml:space="preserve"> 55,4% </w:t>
      </w:r>
      <w:r w:rsidR="00DF3610" w:rsidRPr="00310FB1">
        <w:rPr>
          <w:rFonts w:ascii="Arial" w:hAnsi="Arial" w:cs="Arial"/>
          <w:sz w:val="20"/>
          <w:szCs w:val="24"/>
        </w:rPr>
        <w:t xml:space="preserve">tổ chức </w:t>
      </w:r>
      <w:r w:rsidR="005E10E0" w:rsidRPr="00310FB1">
        <w:rPr>
          <w:rFonts w:ascii="Arial" w:hAnsi="Arial" w:cs="Arial"/>
          <w:sz w:val="20"/>
          <w:szCs w:val="24"/>
        </w:rPr>
        <w:t>thì đế</w:t>
      </w:r>
      <w:r w:rsidR="00227B5F" w:rsidRPr="00310FB1">
        <w:rPr>
          <w:rFonts w:ascii="Arial" w:hAnsi="Arial" w:cs="Arial"/>
          <w:sz w:val="20"/>
          <w:szCs w:val="24"/>
        </w:rPr>
        <w:t>n năm 2018</w:t>
      </w:r>
      <w:r w:rsidR="005E10E0" w:rsidRPr="00310FB1">
        <w:rPr>
          <w:rFonts w:ascii="Arial" w:hAnsi="Arial" w:cs="Arial"/>
          <w:sz w:val="20"/>
          <w:szCs w:val="24"/>
        </w:rPr>
        <w:t xml:space="preserve">, con số này rơi xuống còn 36,7%. Điều này cho thấy, việc đáp ứng sự tuân thủ </w:t>
      </w:r>
      <w:r w:rsidR="00197770" w:rsidRPr="00310FB1">
        <w:rPr>
          <w:rFonts w:ascii="Arial" w:hAnsi="Arial" w:cs="Arial"/>
          <w:sz w:val="20"/>
          <w:szCs w:val="24"/>
        </w:rPr>
        <w:t xml:space="preserve">quy định về an ninh, bảo mật trong thanh toán thẻ sau 10 năm vẫn còn là thách thức đối với nhiều </w:t>
      </w:r>
      <w:r w:rsidR="00227B5F" w:rsidRPr="00310FB1">
        <w:rPr>
          <w:rFonts w:ascii="Arial" w:hAnsi="Arial" w:cs="Arial"/>
          <w:sz w:val="20"/>
          <w:szCs w:val="24"/>
        </w:rPr>
        <w:t>đơn vị</w:t>
      </w:r>
      <w:r w:rsidR="00197770" w:rsidRPr="00310FB1">
        <w:rPr>
          <w:rFonts w:ascii="Arial" w:hAnsi="Arial" w:cs="Arial"/>
          <w:sz w:val="20"/>
          <w:szCs w:val="24"/>
        </w:rPr>
        <w:t xml:space="preserve">. </w:t>
      </w:r>
      <w:r w:rsidR="00DF3610" w:rsidRPr="00310FB1">
        <w:rPr>
          <w:rFonts w:ascii="Arial" w:hAnsi="Arial" w:cs="Arial"/>
          <w:sz w:val="20"/>
          <w:szCs w:val="24"/>
        </w:rPr>
        <w:t>Xét theo khu vực, Châu Á – Thái Bình Dương (APAC) vượt qua châu Mỹ, châu Âu, khu vực Trung Đông và châu Phi (EMEA)</w:t>
      </w:r>
      <w:r w:rsidR="00227B5F" w:rsidRPr="00310FB1">
        <w:rPr>
          <w:rFonts w:ascii="Arial" w:hAnsi="Arial" w:cs="Arial"/>
          <w:sz w:val="20"/>
          <w:szCs w:val="24"/>
        </w:rPr>
        <w:t xml:space="preserve"> về mức độ tuân thủ các tiêu chuẩn an ninh, bảo mật</w:t>
      </w:r>
      <w:r w:rsidR="00DF3610" w:rsidRPr="00310FB1">
        <w:rPr>
          <w:rFonts w:ascii="Arial" w:hAnsi="Arial" w:cs="Arial"/>
          <w:sz w:val="20"/>
          <w:szCs w:val="24"/>
        </w:rPr>
        <w:t xml:space="preserve">. Xét theo lĩnh vực, ngành dịch vụ tài chính và </w:t>
      </w:r>
      <w:r w:rsidR="00951357" w:rsidRPr="00310FB1">
        <w:rPr>
          <w:rFonts w:ascii="Arial" w:hAnsi="Arial" w:cs="Arial"/>
          <w:sz w:val="20"/>
          <w:szCs w:val="24"/>
        </w:rPr>
        <w:t xml:space="preserve">công nghệ thông tin (IT) đạt kết quả tốt hơn </w:t>
      </w:r>
      <w:r w:rsidR="004827F5" w:rsidRPr="00310FB1">
        <w:rPr>
          <w:rFonts w:ascii="Arial" w:hAnsi="Arial" w:cs="Arial"/>
          <w:sz w:val="20"/>
          <w:szCs w:val="24"/>
        </w:rPr>
        <w:t xml:space="preserve">về mức độ tuân thủ </w:t>
      </w:r>
      <w:r w:rsidR="00951357" w:rsidRPr="00310FB1">
        <w:rPr>
          <w:rFonts w:ascii="Arial" w:hAnsi="Arial" w:cs="Arial"/>
          <w:sz w:val="20"/>
          <w:szCs w:val="24"/>
        </w:rPr>
        <w:t xml:space="preserve">so với lĩnh vực bán lẻ và </w:t>
      </w:r>
      <w:r w:rsidR="001E5405" w:rsidRPr="00310FB1">
        <w:rPr>
          <w:rFonts w:ascii="Arial" w:hAnsi="Arial" w:cs="Arial"/>
          <w:sz w:val="20"/>
          <w:szCs w:val="24"/>
        </w:rPr>
        <w:t>ngành dịch vụ khách hàng</w:t>
      </w:r>
      <w:r w:rsidR="00951357" w:rsidRPr="00310FB1">
        <w:rPr>
          <w:rFonts w:ascii="Arial" w:hAnsi="Arial" w:cs="Arial"/>
          <w:sz w:val="20"/>
          <w:szCs w:val="24"/>
        </w:rPr>
        <w:t xml:space="preserve">. </w:t>
      </w:r>
    </w:p>
    <w:p w14:paraId="2938C921" w14:textId="4108378D" w:rsidR="00EB36F1" w:rsidRPr="00310FB1" w:rsidRDefault="00263C57" w:rsidP="00310FB1">
      <w:pPr>
        <w:jc w:val="center"/>
        <w:rPr>
          <w:rFonts w:ascii="Arial" w:hAnsi="Arial" w:cs="Arial"/>
          <w:szCs w:val="26"/>
        </w:rPr>
      </w:pPr>
      <w:r w:rsidRPr="00310FB1">
        <w:rPr>
          <w:rFonts w:ascii="Arial" w:hAnsi="Arial" w:cs="Arial"/>
          <w:noProof/>
          <w:sz w:val="18"/>
        </w:rPr>
        <w:drawing>
          <wp:inline distT="0" distB="0" distL="0" distR="0" wp14:anchorId="454DE1F0" wp14:editId="0F5B733A">
            <wp:extent cx="5943600" cy="23812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5984E4" w14:textId="4CE188D7" w:rsidR="00785444" w:rsidRPr="00310FB1" w:rsidRDefault="00951357" w:rsidP="00310FB1">
      <w:pPr>
        <w:jc w:val="both"/>
        <w:rPr>
          <w:rFonts w:ascii="Arial" w:hAnsi="Arial" w:cs="Arial"/>
          <w:sz w:val="20"/>
          <w:szCs w:val="24"/>
        </w:rPr>
      </w:pPr>
      <w:r w:rsidRPr="00310FB1">
        <w:rPr>
          <w:rFonts w:ascii="Arial" w:hAnsi="Arial" w:cs="Arial"/>
          <w:sz w:val="20"/>
          <w:szCs w:val="24"/>
        </w:rPr>
        <w:t>Về sự cố bảo mật thông tin, Báo cáo 2019 của Verizon cho thấ</w:t>
      </w:r>
      <w:r w:rsidR="00227B5F" w:rsidRPr="00310FB1">
        <w:rPr>
          <w:rFonts w:ascii="Arial" w:hAnsi="Arial" w:cs="Arial"/>
          <w:sz w:val="20"/>
          <w:szCs w:val="24"/>
        </w:rPr>
        <w:t>y các</w:t>
      </w:r>
      <w:r w:rsidRPr="00310FB1">
        <w:rPr>
          <w:rFonts w:ascii="Arial" w:hAnsi="Arial" w:cs="Arial"/>
          <w:sz w:val="20"/>
          <w:szCs w:val="24"/>
        </w:rPr>
        <w:t xml:space="preserve"> tổ chức </w:t>
      </w:r>
      <w:r w:rsidR="00482CF2" w:rsidRPr="00310FB1">
        <w:rPr>
          <w:rFonts w:ascii="Arial" w:hAnsi="Arial" w:cs="Arial"/>
          <w:sz w:val="20"/>
          <w:szCs w:val="24"/>
        </w:rPr>
        <w:t>gặp</w:t>
      </w:r>
      <w:r w:rsidRPr="00310FB1">
        <w:rPr>
          <w:rFonts w:ascii="Arial" w:hAnsi="Arial" w:cs="Arial"/>
          <w:sz w:val="20"/>
          <w:szCs w:val="24"/>
        </w:rPr>
        <w:t xml:space="preserve"> sự cố rò rỉ thông tin thườ</w:t>
      </w:r>
      <w:r w:rsidR="001118EC" w:rsidRPr="00310FB1">
        <w:rPr>
          <w:rFonts w:ascii="Arial" w:hAnsi="Arial" w:cs="Arial"/>
          <w:sz w:val="20"/>
          <w:szCs w:val="24"/>
        </w:rPr>
        <w:t>ng</w:t>
      </w:r>
      <w:r w:rsidRPr="00310FB1">
        <w:rPr>
          <w:rFonts w:ascii="Arial" w:hAnsi="Arial" w:cs="Arial"/>
          <w:sz w:val="20"/>
          <w:szCs w:val="24"/>
        </w:rPr>
        <w:t xml:space="preserve"> </w:t>
      </w:r>
      <w:r w:rsidR="00AF632A" w:rsidRPr="00310FB1">
        <w:rPr>
          <w:rFonts w:ascii="Arial" w:hAnsi="Arial" w:cs="Arial"/>
          <w:sz w:val="20"/>
          <w:szCs w:val="24"/>
        </w:rPr>
        <w:t xml:space="preserve">không đáp ứng đủ các tiêu chuẩn </w:t>
      </w:r>
      <w:r w:rsidR="001118EC" w:rsidRPr="00310FB1">
        <w:rPr>
          <w:rFonts w:ascii="Arial" w:hAnsi="Arial" w:cs="Arial"/>
          <w:sz w:val="20"/>
          <w:szCs w:val="24"/>
        </w:rPr>
        <w:t xml:space="preserve">do </w:t>
      </w:r>
      <w:r w:rsidR="00AF632A" w:rsidRPr="00310FB1">
        <w:rPr>
          <w:rFonts w:ascii="Arial" w:hAnsi="Arial" w:cs="Arial"/>
          <w:sz w:val="20"/>
          <w:szCs w:val="24"/>
        </w:rPr>
        <w:t>PCI DSS đặ</w:t>
      </w:r>
      <w:r w:rsidR="00227B5F" w:rsidRPr="00310FB1">
        <w:rPr>
          <w:rFonts w:ascii="Arial" w:hAnsi="Arial" w:cs="Arial"/>
          <w:sz w:val="20"/>
          <w:szCs w:val="24"/>
        </w:rPr>
        <w:t>t ra, trong đó c</w:t>
      </w:r>
      <w:r w:rsidR="00FF3E04" w:rsidRPr="00310FB1">
        <w:rPr>
          <w:rFonts w:ascii="Arial" w:hAnsi="Arial" w:cs="Arial"/>
          <w:sz w:val="20"/>
          <w:szCs w:val="24"/>
        </w:rPr>
        <w:t>ác tổ chức bán lẻ đạt tỷ lệ thấp nhất trong việc đáp ứng yêu cầu ứng phó sự cố</w:t>
      </w:r>
      <w:r w:rsidR="00227B5F" w:rsidRPr="00310FB1">
        <w:rPr>
          <w:rFonts w:ascii="Arial" w:hAnsi="Arial" w:cs="Arial"/>
          <w:sz w:val="20"/>
          <w:szCs w:val="24"/>
        </w:rPr>
        <w:t xml:space="preserve"> bảo mật thông tin. Kh</w:t>
      </w:r>
      <w:r w:rsidR="00FF3E04" w:rsidRPr="00310FB1">
        <w:rPr>
          <w:rFonts w:ascii="Arial" w:hAnsi="Arial" w:cs="Arial"/>
          <w:sz w:val="20"/>
          <w:szCs w:val="24"/>
        </w:rPr>
        <w:t xml:space="preserve">u vực dịch vụ tài chính </w:t>
      </w:r>
      <w:r w:rsidR="00227B5F" w:rsidRPr="00310FB1">
        <w:rPr>
          <w:rFonts w:ascii="Arial" w:hAnsi="Arial" w:cs="Arial"/>
          <w:sz w:val="20"/>
          <w:szCs w:val="24"/>
        </w:rPr>
        <w:t xml:space="preserve">mặc dù được đánh giá cao hơn các ngành, lĩnh vực được khảo sát nhưng vẫn có khoảng </w:t>
      </w:r>
      <w:r w:rsidR="00FF3E04" w:rsidRPr="00310FB1">
        <w:rPr>
          <w:rFonts w:ascii="Arial" w:hAnsi="Arial" w:cs="Arial"/>
          <w:sz w:val="20"/>
          <w:szCs w:val="24"/>
        </w:rPr>
        <w:t>7% tổ chức còn lỗ hổng trong việc ứng phó với sự cố rò rỉ</w:t>
      </w:r>
      <w:r w:rsidR="001E5405" w:rsidRPr="00310FB1">
        <w:rPr>
          <w:rFonts w:ascii="Arial" w:hAnsi="Arial" w:cs="Arial"/>
          <w:sz w:val="20"/>
          <w:szCs w:val="24"/>
        </w:rPr>
        <w:t xml:space="preserve"> thông tin. Có thể thấy việc xây dựng và duy trì một hệ thống </w:t>
      </w:r>
      <w:r w:rsidR="00F65270" w:rsidRPr="00310FB1">
        <w:rPr>
          <w:rFonts w:ascii="Arial" w:hAnsi="Arial" w:cs="Arial"/>
          <w:sz w:val="20"/>
          <w:szCs w:val="24"/>
        </w:rPr>
        <w:t>thanh toán thẻ</w:t>
      </w:r>
      <w:r w:rsidR="001E5405" w:rsidRPr="00310FB1">
        <w:rPr>
          <w:rFonts w:ascii="Arial" w:hAnsi="Arial" w:cs="Arial"/>
          <w:sz w:val="20"/>
          <w:szCs w:val="24"/>
        </w:rPr>
        <w:t xml:space="preserve"> an toàn và bảo mật là điều cần thiế</w:t>
      </w:r>
      <w:r w:rsidR="00227B5F" w:rsidRPr="00310FB1">
        <w:rPr>
          <w:rFonts w:ascii="Arial" w:hAnsi="Arial" w:cs="Arial"/>
          <w:sz w:val="20"/>
          <w:szCs w:val="24"/>
        </w:rPr>
        <w:t>t, đây không phải là yếu tố mang tính “</w:t>
      </w:r>
      <w:r w:rsidR="001E5405" w:rsidRPr="00310FB1">
        <w:rPr>
          <w:rFonts w:ascii="Arial" w:hAnsi="Arial" w:cs="Arial"/>
          <w:sz w:val="20"/>
          <w:szCs w:val="24"/>
        </w:rPr>
        <w:t>góp phần</w:t>
      </w:r>
      <w:r w:rsidR="00227B5F" w:rsidRPr="00310FB1">
        <w:rPr>
          <w:rFonts w:ascii="Arial" w:hAnsi="Arial" w:cs="Arial"/>
          <w:sz w:val="20"/>
          <w:szCs w:val="24"/>
        </w:rPr>
        <w:t xml:space="preserve">” bởi </w:t>
      </w:r>
      <w:r w:rsidR="00EB36F1" w:rsidRPr="00310FB1">
        <w:rPr>
          <w:rFonts w:ascii="Arial" w:hAnsi="Arial" w:cs="Arial"/>
          <w:sz w:val="20"/>
          <w:szCs w:val="24"/>
        </w:rPr>
        <w:t>sự cố rò rỉ dữ liệu</w:t>
      </w:r>
      <w:r w:rsidR="001E5405" w:rsidRPr="00310FB1">
        <w:rPr>
          <w:rFonts w:ascii="Arial" w:hAnsi="Arial" w:cs="Arial"/>
          <w:sz w:val="20"/>
          <w:szCs w:val="24"/>
        </w:rPr>
        <w:t xml:space="preserve"> </w:t>
      </w:r>
      <w:r w:rsidR="00227B5F" w:rsidRPr="00310FB1">
        <w:rPr>
          <w:rFonts w:ascii="Arial" w:hAnsi="Arial" w:cs="Arial"/>
          <w:sz w:val="20"/>
          <w:szCs w:val="24"/>
        </w:rPr>
        <w:t xml:space="preserve">(nếu xảy ra) sẽ là rủi ro rất lớn đối với tổ chức và </w:t>
      </w:r>
      <w:r w:rsidR="00EB36F1" w:rsidRPr="00310FB1">
        <w:rPr>
          <w:rFonts w:ascii="Arial" w:hAnsi="Arial" w:cs="Arial"/>
          <w:sz w:val="20"/>
          <w:szCs w:val="24"/>
        </w:rPr>
        <w:t xml:space="preserve">ảnh </w:t>
      </w:r>
      <w:r w:rsidR="001E5405" w:rsidRPr="00310FB1">
        <w:rPr>
          <w:rFonts w:ascii="Arial" w:hAnsi="Arial" w:cs="Arial"/>
          <w:sz w:val="20"/>
          <w:szCs w:val="24"/>
        </w:rPr>
        <w:t>hưởng tới uy tín của tổ chức đó</w:t>
      </w:r>
      <w:r w:rsidR="00EB36F1" w:rsidRPr="00310FB1">
        <w:rPr>
          <w:rFonts w:ascii="Arial" w:hAnsi="Arial" w:cs="Arial"/>
          <w:sz w:val="20"/>
          <w:szCs w:val="24"/>
        </w:rPr>
        <w:t xml:space="preserve">. </w:t>
      </w:r>
    </w:p>
    <w:p w14:paraId="154C11EC" w14:textId="5801B3E4" w:rsidR="00832F6B" w:rsidRPr="00310FB1" w:rsidRDefault="004D1FD4" w:rsidP="00310FB1">
      <w:pPr>
        <w:jc w:val="both"/>
        <w:rPr>
          <w:rFonts w:ascii="Arial" w:hAnsi="Arial" w:cs="Arial"/>
          <w:sz w:val="20"/>
          <w:szCs w:val="24"/>
        </w:rPr>
      </w:pPr>
      <w:r w:rsidRPr="00310FB1">
        <w:rPr>
          <w:rFonts w:ascii="Arial" w:hAnsi="Arial" w:cs="Arial"/>
          <w:sz w:val="20"/>
          <w:szCs w:val="24"/>
        </w:rPr>
        <w:t>B</w:t>
      </w:r>
      <w:r w:rsidR="006A3B20" w:rsidRPr="00310FB1">
        <w:rPr>
          <w:rFonts w:ascii="Arial" w:hAnsi="Arial" w:cs="Arial"/>
          <w:sz w:val="20"/>
          <w:szCs w:val="24"/>
        </w:rPr>
        <w:t xml:space="preserve">áo cáo </w:t>
      </w:r>
      <w:r w:rsidRPr="00310FB1">
        <w:rPr>
          <w:rFonts w:ascii="Arial" w:hAnsi="Arial" w:cs="Arial"/>
          <w:sz w:val="20"/>
          <w:szCs w:val="24"/>
        </w:rPr>
        <w:t xml:space="preserve">2019 của Verizon </w:t>
      </w:r>
      <w:r w:rsidR="00227B5F" w:rsidRPr="00310FB1">
        <w:rPr>
          <w:rFonts w:ascii="Arial" w:hAnsi="Arial" w:cs="Arial"/>
          <w:sz w:val="20"/>
          <w:szCs w:val="24"/>
        </w:rPr>
        <w:t>dành một phần lớn</w:t>
      </w:r>
      <w:r w:rsidR="00C333CD" w:rsidRPr="00310FB1">
        <w:rPr>
          <w:rFonts w:ascii="Arial" w:hAnsi="Arial" w:cs="Arial"/>
          <w:sz w:val="20"/>
          <w:szCs w:val="24"/>
        </w:rPr>
        <w:t xml:space="preserve"> nội dung</w:t>
      </w:r>
      <w:r w:rsidR="00227B5F" w:rsidRPr="00310FB1">
        <w:rPr>
          <w:rFonts w:ascii="Arial" w:hAnsi="Arial" w:cs="Arial"/>
          <w:sz w:val="20"/>
          <w:szCs w:val="24"/>
        </w:rPr>
        <w:t xml:space="preserve"> </w:t>
      </w:r>
      <w:r w:rsidRPr="00310FB1">
        <w:rPr>
          <w:rFonts w:ascii="Arial" w:hAnsi="Arial" w:cs="Arial"/>
          <w:sz w:val="20"/>
          <w:szCs w:val="24"/>
        </w:rPr>
        <w:t>tập trung phân tích về an ninh, bảo mật trong thanh toán qua điện thoại di động bởi đây là</w:t>
      </w:r>
      <w:r w:rsidR="006A3B20" w:rsidRPr="00310FB1">
        <w:rPr>
          <w:rFonts w:ascii="Arial" w:hAnsi="Arial" w:cs="Arial"/>
          <w:sz w:val="20"/>
          <w:szCs w:val="24"/>
        </w:rPr>
        <w:t xml:space="preserve"> lĩnh vực được quan tâm</w:t>
      </w:r>
      <w:r w:rsidR="00C333CD" w:rsidRPr="00310FB1">
        <w:rPr>
          <w:rFonts w:ascii="Arial" w:hAnsi="Arial" w:cs="Arial"/>
          <w:sz w:val="20"/>
          <w:szCs w:val="24"/>
        </w:rPr>
        <w:t xml:space="preserve"> trên</w:t>
      </w:r>
      <w:r w:rsidR="006A3B20" w:rsidRPr="00310FB1">
        <w:rPr>
          <w:rFonts w:ascii="Arial" w:hAnsi="Arial" w:cs="Arial"/>
          <w:sz w:val="20"/>
          <w:szCs w:val="24"/>
        </w:rPr>
        <w:t xml:space="preserve"> toàn cầu</w:t>
      </w:r>
      <w:r w:rsidRPr="00310FB1">
        <w:rPr>
          <w:rFonts w:ascii="Arial" w:hAnsi="Arial" w:cs="Arial"/>
          <w:sz w:val="20"/>
          <w:szCs w:val="24"/>
        </w:rPr>
        <w:t>. Trong những năm qua, c</w:t>
      </w:r>
      <w:r w:rsidR="00832F6B" w:rsidRPr="00310FB1">
        <w:rPr>
          <w:rFonts w:ascii="Arial" w:hAnsi="Arial" w:cs="Arial"/>
          <w:sz w:val="20"/>
          <w:szCs w:val="24"/>
        </w:rPr>
        <w:t xml:space="preserve">ùng với sự </w:t>
      </w:r>
      <w:r w:rsidRPr="00310FB1">
        <w:rPr>
          <w:rFonts w:ascii="Arial" w:hAnsi="Arial" w:cs="Arial"/>
          <w:sz w:val="20"/>
          <w:szCs w:val="24"/>
        </w:rPr>
        <w:t xml:space="preserve">gia </w:t>
      </w:r>
      <w:r w:rsidR="00832F6B" w:rsidRPr="00310FB1">
        <w:rPr>
          <w:rFonts w:ascii="Arial" w:hAnsi="Arial" w:cs="Arial"/>
          <w:sz w:val="20"/>
          <w:szCs w:val="24"/>
        </w:rPr>
        <w:t xml:space="preserve">tăng </w:t>
      </w:r>
      <w:r w:rsidRPr="00310FB1">
        <w:rPr>
          <w:rFonts w:ascii="Arial" w:hAnsi="Arial" w:cs="Arial"/>
          <w:sz w:val="20"/>
          <w:szCs w:val="24"/>
        </w:rPr>
        <w:t xml:space="preserve">tỷ lệ người sử dụng điện thoại di động </w:t>
      </w:r>
      <w:r w:rsidR="00832F6B" w:rsidRPr="00310FB1">
        <w:rPr>
          <w:rFonts w:ascii="Arial" w:hAnsi="Arial" w:cs="Arial"/>
          <w:sz w:val="20"/>
          <w:szCs w:val="24"/>
        </w:rPr>
        <w:t>là sự tăng lên củ</w:t>
      </w:r>
      <w:r w:rsidR="00F65270" w:rsidRPr="00310FB1">
        <w:rPr>
          <w:rFonts w:ascii="Arial" w:hAnsi="Arial" w:cs="Arial"/>
          <w:sz w:val="20"/>
          <w:szCs w:val="24"/>
        </w:rPr>
        <w:t xml:space="preserve">a lượng </w:t>
      </w:r>
      <w:r w:rsidR="00832F6B" w:rsidRPr="00310FB1">
        <w:rPr>
          <w:rFonts w:ascii="Arial" w:hAnsi="Arial" w:cs="Arial"/>
          <w:sz w:val="20"/>
          <w:szCs w:val="24"/>
        </w:rPr>
        <w:t xml:space="preserve">thông tin </w:t>
      </w:r>
      <w:r w:rsidRPr="00310FB1">
        <w:rPr>
          <w:rFonts w:ascii="Arial" w:hAnsi="Arial" w:cs="Arial"/>
          <w:sz w:val="20"/>
          <w:szCs w:val="24"/>
        </w:rPr>
        <w:t>truyền qua</w:t>
      </w:r>
      <w:r w:rsidR="00832F6B" w:rsidRPr="00310FB1">
        <w:rPr>
          <w:rFonts w:ascii="Arial" w:hAnsi="Arial" w:cs="Arial"/>
          <w:sz w:val="20"/>
          <w:szCs w:val="24"/>
        </w:rPr>
        <w:t xml:space="preserve"> di động, </w:t>
      </w:r>
      <w:r w:rsidR="00D42A3A" w:rsidRPr="00310FB1">
        <w:rPr>
          <w:rFonts w:ascii="Arial" w:hAnsi="Arial" w:cs="Arial"/>
          <w:sz w:val="20"/>
          <w:szCs w:val="24"/>
        </w:rPr>
        <w:t xml:space="preserve">sự phát triển của </w:t>
      </w:r>
      <w:r w:rsidR="00832F6B" w:rsidRPr="00310FB1">
        <w:rPr>
          <w:rFonts w:ascii="Arial" w:hAnsi="Arial" w:cs="Arial"/>
          <w:sz w:val="20"/>
          <w:szCs w:val="24"/>
        </w:rPr>
        <w:t>thương mại điện tử qua di độ</w:t>
      </w:r>
      <w:r w:rsidR="00D42A3A" w:rsidRPr="00310FB1">
        <w:rPr>
          <w:rFonts w:ascii="Arial" w:hAnsi="Arial" w:cs="Arial"/>
          <w:sz w:val="20"/>
          <w:szCs w:val="24"/>
        </w:rPr>
        <w:t xml:space="preserve">ng hay </w:t>
      </w:r>
      <w:r w:rsidR="00151ADE" w:rsidRPr="00310FB1">
        <w:rPr>
          <w:rFonts w:ascii="Arial" w:hAnsi="Arial" w:cs="Arial"/>
          <w:sz w:val="20"/>
          <w:szCs w:val="24"/>
        </w:rPr>
        <w:t xml:space="preserve">sự tăng trưởng mạnh mẽ của hoạt động </w:t>
      </w:r>
      <w:r w:rsidR="00832F6B" w:rsidRPr="00310FB1">
        <w:rPr>
          <w:rFonts w:ascii="Arial" w:hAnsi="Arial" w:cs="Arial"/>
          <w:sz w:val="20"/>
          <w:szCs w:val="24"/>
        </w:rPr>
        <w:t>thanh toán qua di độ</w:t>
      </w:r>
      <w:r w:rsidR="00D42A3A" w:rsidRPr="00310FB1">
        <w:rPr>
          <w:rFonts w:ascii="Arial" w:hAnsi="Arial" w:cs="Arial"/>
          <w:sz w:val="20"/>
          <w:szCs w:val="24"/>
        </w:rPr>
        <w:t xml:space="preserve">ng. </w:t>
      </w:r>
      <w:r w:rsidR="007F7364" w:rsidRPr="00310FB1">
        <w:rPr>
          <w:rFonts w:ascii="Arial" w:hAnsi="Arial" w:cs="Arial"/>
          <w:sz w:val="20"/>
          <w:szCs w:val="24"/>
        </w:rPr>
        <w:t xml:space="preserve">Nếu không có </w:t>
      </w:r>
      <w:r w:rsidR="00C333CD" w:rsidRPr="00310FB1">
        <w:rPr>
          <w:rFonts w:ascii="Arial" w:hAnsi="Arial" w:cs="Arial"/>
          <w:sz w:val="20"/>
          <w:szCs w:val="24"/>
        </w:rPr>
        <w:t xml:space="preserve">biện pháp </w:t>
      </w:r>
      <w:r w:rsidR="007F7364" w:rsidRPr="00310FB1">
        <w:rPr>
          <w:rFonts w:ascii="Arial" w:hAnsi="Arial" w:cs="Arial"/>
          <w:sz w:val="20"/>
          <w:szCs w:val="24"/>
        </w:rPr>
        <w:t>bảo vệ thích hợp</w:t>
      </w:r>
      <w:r w:rsidR="00D42A3A" w:rsidRPr="00310FB1">
        <w:rPr>
          <w:rFonts w:ascii="Arial" w:hAnsi="Arial" w:cs="Arial"/>
          <w:sz w:val="20"/>
          <w:szCs w:val="24"/>
        </w:rPr>
        <w:t xml:space="preserve">, </w:t>
      </w:r>
      <w:r w:rsidR="007F7364" w:rsidRPr="00310FB1">
        <w:rPr>
          <w:rFonts w:ascii="Arial" w:hAnsi="Arial" w:cs="Arial"/>
          <w:sz w:val="20"/>
          <w:szCs w:val="24"/>
        </w:rPr>
        <w:t xml:space="preserve">điện thoại di động sẽ </w:t>
      </w:r>
      <w:r w:rsidR="00D42A3A" w:rsidRPr="00310FB1">
        <w:rPr>
          <w:rFonts w:ascii="Arial" w:hAnsi="Arial" w:cs="Arial"/>
          <w:sz w:val="20"/>
          <w:szCs w:val="24"/>
        </w:rPr>
        <w:t>trở thành một mục tiêu mới cho tội phạm mạ</w:t>
      </w:r>
      <w:r w:rsidR="008E2A77" w:rsidRPr="00310FB1">
        <w:rPr>
          <w:rFonts w:ascii="Arial" w:hAnsi="Arial" w:cs="Arial"/>
          <w:sz w:val="20"/>
          <w:szCs w:val="24"/>
        </w:rPr>
        <w:t>ng</w:t>
      </w:r>
      <w:r w:rsidR="00C333CD" w:rsidRPr="00310FB1">
        <w:rPr>
          <w:rFonts w:ascii="Arial" w:hAnsi="Arial" w:cs="Arial"/>
          <w:sz w:val="20"/>
          <w:szCs w:val="24"/>
        </w:rPr>
        <w:t xml:space="preserve"> (cyber crime)</w:t>
      </w:r>
      <w:r w:rsidR="007F7364" w:rsidRPr="00310FB1">
        <w:rPr>
          <w:rFonts w:ascii="Arial" w:hAnsi="Arial" w:cs="Arial"/>
          <w:sz w:val="20"/>
          <w:szCs w:val="24"/>
        </w:rPr>
        <w:t xml:space="preserve">. </w:t>
      </w:r>
      <w:r w:rsidR="002D54C4" w:rsidRPr="00310FB1">
        <w:rPr>
          <w:rFonts w:ascii="Arial" w:hAnsi="Arial" w:cs="Arial"/>
          <w:sz w:val="20"/>
          <w:szCs w:val="24"/>
        </w:rPr>
        <w:t xml:space="preserve">Nhận thức </w:t>
      </w:r>
      <w:r w:rsidR="008E2A77" w:rsidRPr="00310FB1">
        <w:rPr>
          <w:rFonts w:ascii="Arial" w:hAnsi="Arial" w:cs="Arial"/>
          <w:sz w:val="20"/>
          <w:szCs w:val="24"/>
        </w:rPr>
        <w:t xml:space="preserve">được </w:t>
      </w:r>
      <w:r w:rsidR="002D54C4" w:rsidRPr="00310FB1">
        <w:rPr>
          <w:rFonts w:ascii="Arial" w:hAnsi="Arial" w:cs="Arial"/>
          <w:sz w:val="20"/>
          <w:szCs w:val="24"/>
        </w:rPr>
        <w:t xml:space="preserve">tình hình này, trong 2 năm qua, Verizon đã tiến hành khảo sát độc lập hơn 600 </w:t>
      </w:r>
      <w:r w:rsidR="00F65270" w:rsidRPr="00310FB1">
        <w:rPr>
          <w:rFonts w:ascii="Arial" w:hAnsi="Arial" w:cs="Arial"/>
          <w:sz w:val="20"/>
          <w:szCs w:val="24"/>
        </w:rPr>
        <w:t>người</w:t>
      </w:r>
      <w:r w:rsidR="002D54C4" w:rsidRPr="00310FB1">
        <w:rPr>
          <w:rFonts w:ascii="Arial" w:hAnsi="Arial" w:cs="Arial"/>
          <w:sz w:val="20"/>
          <w:szCs w:val="24"/>
        </w:rPr>
        <w:t xml:space="preserve"> liên quan đến sử dụng di động, và </w:t>
      </w:r>
      <w:r w:rsidR="00C333CD" w:rsidRPr="00310FB1">
        <w:rPr>
          <w:rFonts w:ascii="Arial" w:hAnsi="Arial" w:cs="Arial"/>
          <w:sz w:val="20"/>
          <w:szCs w:val="24"/>
        </w:rPr>
        <w:t>kết quả là</w:t>
      </w:r>
      <w:r w:rsidR="002D54C4" w:rsidRPr="00310FB1">
        <w:rPr>
          <w:rFonts w:ascii="Arial" w:hAnsi="Arial" w:cs="Arial"/>
          <w:sz w:val="20"/>
          <w:szCs w:val="24"/>
        </w:rPr>
        <w:t xml:space="preserve"> chỉ có 33% </w:t>
      </w:r>
      <w:r w:rsidR="00A44F39" w:rsidRPr="00310FB1">
        <w:rPr>
          <w:rFonts w:ascii="Arial" w:hAnsi="Arial" w:cs="Arial"/>
          <w:sz w:val="20"/>
          <w:szCs w:val="24"/>
        </w:rPr>
        <w:t>người được hỏi có quan tâm đến vấn đề bảo mật cho di độ</w:t>
      </w:r>
      <w:r w:rsidR="00151ADE" w:rsidRPr="00310FB1">
        <w:rPr>
          <w:rFonts w:ascii="Arial" w:hAnsi="Arial" w:cs="Arial"/>
          <w:sz w:val="20"/>
          <w:szCs w:val="24"/>
        </w:rPr>
        <w:t xml:space="preserve">ng. Con số này có tăng lên 5% so với kết quả khảo sát năm 2018 nhưng cho thấy yêu cầu an ninh, bảo mật </w:t>
      </w:r>
      <w:r w:rsidR="00F65270" w:rsidRPr="00310FB1">
        <w:rPr>
          <w:rFonts w:ascii="Arial" w:hAnsi="Arial" w:cs="Arial"/>
          <w:sz w:val="20"/>
          <w:szCs w:val="24"/>
        </w:rPr>
        <w:t xml:space="preserve">cho thiết bị </w:t>
      </w:r>
      <w:r w:rsidR="00151ADE" w:rsidRPr="00310FB1">
        <w:rPr>
          <w:rFonts w:ascii="Arial" w:hAnsi="Arial" w:cs="Arial"/>
          <w:sz w:val="20"/>
          <w:szCs w:val="24"/>
        </w:rPr>
        <w:t>di động</w:t>
      </w:r>
      <w:r w:rsidR="00C333CD" w:rsidRPr="00310FB1">
        <w:rPr>
          <w:rFonts w:ascii="Arial" w:hAnsi="Arial" w:cs="Arial"/>
          <w:sz w:val="20"/>
          <w:szCs w:val="24"/>
        </w:rPr>
        <w:t xml:space="preserve"> vẫn</w:t>
      </w:r>
      <w:r w:rsidR="00151ADE" w:rsidRPr="00310FB1">
        <w:rPr>
          <w:rFonts w:ascii="Arial" w:hAnsi="Arial" w:cs="Arial"/>
          <w:sz w:val="20"/>
          <w:szCs w:val="24"/>
        </w:rPr>
        <w:t xml:space="preserve"> chưa được </w:t>
      </w:r>
      <w:r w:rsidR="00672DC1" w:rsidRPr="00310FB1">
        <w:rPr>
          <w:rFonts w:ascii="Arial" w:hAnsi="Arial" w:cs="Arial"/>
          <w:sz w:val="20"/>
          <w:szCs w:val="24"/>
        </w:rPr>
        <w:t xml:space="preserve">người dùng </w:t>
      </w:r>
      <w:r w:rsidR="00151ADE" w:rsidRPr="00310FB1">
        <w:rPr>
          <w:rFonts w:ascii="Arial" w:hAnsi="Arial" w:cs="Arial"/>
          <w:sz w:val="20"/>
          <w:szCs w:val="24"/>
        </w:rPr>
        <w:t xml:space="preserve">quan tâm đúng mức. </w:t>
      </w:r>
    </w:p>
    <w:p w14:paraId="22585537" w14:textId="5CC19AB9" w:rsidR="00222FD2" w:rsidRPr="00310FB1" w:rsidRDefault="00FB60D1" w:rsidP="00310FB1">
      <w:pPr>
        <w:jc w:val="both"/>
        <w:rPr>
          <w:rFonts w:ascii="Arial" w:hAnsi="Arial" w:cs="Arial"/>
          <w:sz w:val="20"/>
          <w:szCs w:val="24"/>
        </w:rPr>
      </w:pPr>
      <w:r w:rsidRPr="00310FB1">
        <w:rPr>
          <w:rFonts w:ascii="Arial" w:hAnsi="Arial" w:cs="Arial"/>
          <w:sz w:val="20"/>
          <w:szCs w:val="24"/>
        </w:rPr>
        <w:lastRenderedPageBreak/>
        <w:t xml:space="preserve">Theo khảo sát của </w:t>
      </w:r>
      <w:r w:rsidRPr="00310FB1">
        <w:rPr>
          <w:rFonts w:ascii="Arial" w:hAnsi="Arial" w:cs="Arial"/>
          <w:sz w:val="20"/>
          <w:szCs w:val="24"/>
          <w:lang w:val="vi-VN"/>
        </w:rPr>
        <w:t>Forrester, công ty nghiên cứu thị trường của Hoa Kỳ</w:t>
      </w:r>
      <w:r w:rsidRPr="00310FB1">
        <w:rPr>
          <w:rFonts w:ascii="Arial" w:hAnsi="Arial" w:cs="Arial"/>
          <w:sz w:val="20"/>
          <w:szCs w:val="24"/>
        </w:rPr>
        <w:t>,</w:t>
      </w:r>
      <w:r w:rsidRPr="00310FB1">
        <w:rPr>
          <w:rFonts w:ascii="Arial" w:hAnsi="Arial" w:cs="Arial"/>
          <w:sz w:val="20"/>
          <w:szCs w:val="24"/>
          <w:lang w:val="vi-VN"/>
        </w:rPr>
        <w:t xml:space="preserve"> </w:t>
      </w:r>
      <w:r w:rsidRPr="00310FB1">
        <w:rPr>
          <w:rFonts w:ascii="Arial" w:hAnsi="Arial" w:cs="Arial"/>
          <w:sz w:val="20"/>
          <w:szCs w:val="24"/>
        </w:rPr>
        <w:t xml:space="preserve">đối với 416 người làm trong lĩnh vực </w:t>
      </w:r>
      <w:r w:rsidRPr="00310FB1">
        <w:rPr>
          <w:rFonts w:ascii="Arial" w:hAnsi="Arial" w:cs="Arial"/>
          <w:sz w:val="20"/>
          <w:szCs w:val="24"/>
          <w:lang w:val="vi-VN"/>
        </w:rPr>
        <w:t>dịch vụ tài chính năm 2018</w:t>
      </w:r>
      <w:r w:rsidRPr="00310FB1">
        <w:rPr>
          <w:rFonts w:ascii="Arial" w:hAnsi="Arial" w:cs="Arial"/>
          <w:sz w:val="20"/>
          <w:szCs w:val="24"/>
        </w:rPr>
        <w:t xml:space="preserve">, </w:t>
      </w:r>
      <w:r w:rsidRPr="00310FB1">
        <w:rPr>
          <w:rFonts w:ascii="Arial" w:hAnsi="Arial" w:cs="Arial"/>
          <w:sz w:val="20"/>
          <w:szCs w:val="24"/>
          <w:lang w:val="vi-VN"/>
        </w:rPr>
        <w:t xml:space="preserve">khoảng 69% điện thoại </w:t>
      </w:r>
      <w:r w:rsidRPr="00310FB1">
        <w:rPr>
          <w:rFonts w:ascii="Arial" w:hAnsi="Arial" w:cs="Arial"/>
          <w:sz w:val="20"/>
          <w:szCs w:val="24"/>
        </w:rPr>
        <w:t>di động vừa được sử dụng cho công việc, vừa được sử dụng cho mục đích cá nhân</w:t>
      </w:r>
      <w:r w:rsidRPr="00310FB1">
        <w:rPr>
          <w:rFonts w:ascii="Arial" w:hAnsi="Arial" w:cs="Arial"/>
          <w:sz w:val="20"/>
          <w:szCs w:val="24"/>
          <w:lang w:val="vi-VN"/>
        </w:rPr>
        <w:t xml:space="preserve">. </w:t>
      </w:r>
      <w:r w:rsidRPr="00310FB1">
        <w:rPr>
          <w:rFonts w:ascii="Arial" w:hAnsi="Arial" w:cs="Arial"/>
          <w:sz w:val="20"/>
          <w:szCs w:val="24"/>
        </w:rPr>
        <w:t>Tình trạng này</w:t>
      </w:r>
      <w:r w:rsidRPr="00310FB1">
        <w:rPr>
          <w:rFonts w:ascii="Arial" w:hAnsi="Arial" w:cs="Arial"/>
          <w:sz w:val="20"/>
          <w:szCs w:val="24"/>
          <w:lang w:val="vi-VN"/>
        </w:rPr>
        <w:t xml:space="preserve"> khiến các thiết bị </w:t>
      </w:r>
      <w:r w:rsidRPr="00310FB1">
        <w:rPr>
          <w:rFonts w:ascii="Arial" w:hAnsi="Arial" w:cs="Arial"/>
          <w:sz w:val="20"/>
          <w:szCs w:val="24"/>
        </w:rPr>
        <w:t xml:space="preserve">di động </w:t>
      </w:r>
      <w:r w:rsidRPr="00310FB1">
        <w:rPr>
          <w:rFonts w:ascii="Arial" w:hAnsi="Arial" w:cs="Arial"/>
          <w:sz w:val="20"/>
          <w:szCs w:val="24"/>
          <w:lang w:val="vi-VN"/>
        </w:rPr>
        <w:t xml:space="preserve">dễ bị </w:t>
      </w:r>
      <w:r w:rsidRPr="00310FB1">
        <w:rPr>
          <w:rFonts w:ascii="Arial" w:hAnsi="Arial" w:cs="Arial"/>
          <w:sz w:val="20"/>
          <w:szCs w:val="24"/>
        </w:rPr>
        <w:t xml:space="preserve">nhiễm các </w:t>
      </w:r>
      <w:r w:rsidRPr="00310FB1">
        <w:rPr>
          <w:rFonts w:ascii="Arial" w:hAnsi="Arial" w:cs="Arial"/>
          <w:sz w:val="20"/>
          <w:szCs w:val="24"/>
          <w:lang w:val="vi-VN"/>
        </w:rPr>
        <w:t xml:space="preserve">phần mềm độc hại </w:t>
      </w:r>
      <w:r w:rsidRPr="00310FB1">
        <w:rPr>
          <w:rFonts w:ascii="Arial" w:hAnsi="Arial" w:cs="Arial"/>
          <w:sz w:val="20"/>
          <w:szCs w:val="24"/>
        </w:rPr>
        <w:t xml:space="preserve">hoặc </w:t>
      </w:r>
      <w:r w:rsidRPr="00310FB1">
        <w:rPr>
          <w:rFonts w:ascii="Arial" w:hAnsi="Arial" w:cs="Arial"/>
          <w:sz w:val="20"/>
          <w:szCs w:val="24"/>
          <w:lang w:val="vi-VN"/>
        </w:rPr>
        <w:t>có thể</w:t>
      </w:r>
      <w:r w:rsidRPr="00310FB1">
        <w:rPr>
          <w:rFonts w:ascii="Arial" w:hAnsi="Arial" w:cs="Arial"/>
          <w:sz w:val="20"/>
          <w:szCs w:val="24"/>
        </w:rPr>
        <w:t xml:space="preserve"> cho phép</w:t>
      </w:r>
      <w:r w:rsidRPr="00310FB1">
        <w:rPr>
          <w:rFonts w:ascii="Arial" w:hAnsi="Arial" w:cs="Arial"/>
          <w:sz w:val="20"/>
          <w:szCs w:val="24"/>
          <w:lang w:val="vi-VN"/>
        </w:rPr>
        <w:t xml:space="preserve"> kẻ tấn công quyền truy cập,</w:t>
      </w:r>
      <w:r w:rsidRPr="00310FB1">
        <w:rPr>
          <w:rFonts w:ascii="Arial" w:hAnsi="Arial" w:cs="Arial"/>
          <w:sz w:val="20"/>
          <w:szCs w:val="24"/>
        </w:rPr>
        <w:t xml:space="preserve"> làm</w:t>
      </w:r>
      <w:r w:rsidRPr="00310FB1">
        <w:rPr>
          <w:rFonts w:ascii="Arial" w:hAnsi="Arial" w:cs="Arial"/>
          <w:sz w:val="20"/>
          <w:szCs w:val="24"/>
          <w:lang w:val="vi-VN"/>
        </w:rPr>
        <w:t xml:space="preserve"> </w:t>
      </w:r>
      <w:r w:rsidRPr="00310FB1">
        <w:rPr>
          <w:rFonts w:ascii="Arial" w:hAnsi="Arial" w:cs="Arial"/>
          <w:sz w:val="20"/>
          <w:szCs w:val="24"/>
        </w:rPr>
        <w:t>lộ lọt tài liệu</w:t>
      </w:r>
      <w:r w:rsidRPr="00310FB1">
        <w:rPr>
          <w:rFonts w:ascii="Arial" w:hAnsi="Arial" w:cs="Arial"/>
          <w:sz w:val="20"/>
          <w:szCs w:val="24"/>
          <w:lang w:val="vi-VN"/>
        </w:rPr>
        <w:t xml:space="preserve"> </w:t>
      </w:r>
      <w:r w:rsidR="00420823" w:rsidRPr="00310FB1">
        <w:rPr>
          <w:rFonts w:ascii="Arial" w:hAnsi="Arial" w:cs="Arial"/>
          <w:sz w:val="20"/>
          <w:szCs w:val="24"/>
        </w:rPr>
        <w:t>công việc</w:t>
      </w:r>
      <w:r w:rsidRPr="00310FB1">
        <w:rPr>
          <w:rFonts w:ascii="Arial" w:hAnsi="Arial" w:cs="Arial"/>
          <w:sz w:val="20"/>
          <w:szCs w:val="24"/>
        </w:rPr>
        <w:t xml:space="preserve"> </w:t>
      </w:r>
      <w:r w:rsidR="00F65270" w:rsidRPr="00310FB1">
        <w:rPr>
          <w:rFonts w:ascii="Arial" w:hAnsi="Arial" w:cs="Arial"/>
          <w:sz w:val="20"/>
          <w:szCs w:val="24"/>
          <w:lang w:val="vi-VN"/>
        </w:rPr>
        <w:t>hoặc</w:t>
      </w:r>
      <w:r w:rsidRPr="00310FB1">
        <w:rPr>
          <w:rFonts w:ascii="Arial" w:hAnsi="Arial" w:cs="Arial"/>
          <w:sz w:val="20"/>
          <w:szCs w:val="24"/>
          <w:lang w:val="vi-VN"/>
        </w:rPr>
        <w:t xml:space="preserve"> dữ liệu nhạy cảm</w:t>
      </w:r>
      <w:r w:rsidRPr="00310FB1">
        <w:rPr>
          <w:rFonts w:ascii="Arial" w:hAnsi="Arial" w:cs="Arial"/>
          <w:sz w:val="20"/>
          <w:szCs w:val="24"/>
        </w:rPr>
        <w:t>..</w:t>
      </w:r>
      <w:r w:rsidRPr="00310FB1">
        <w:rPr>
          <w:rFonts w:ascii="Arial" w:hAnsi="Arial" w:cs="Arial"/>
          <w:sz w:val="20"/>
          <w:szCs w:val="24"/>
          <w:lang w:val="vi-VN"/>
        </w:rPr>
        <w:t xml:space="preserve">. </w:t>
      </w:r>
      <w:r w:rsidR="00420823" w:rsidRPr="00310FB1">
        <w:rPr>
          <w:rFonts w:ascii="Arial" w:hAnsi="Arial" w:cs="Arial"/>
          <w:sz w:val="20"/>
          <w:szCs w:val="24"/>
        </w:rPr>
        <w:t>Bên cạnh đó</w:t>
      </w:r>
      <w:r w:rsidR="008E2A77" w:rsidRPr="00310FB1">
        <w:rPr>
          <w:rFonts w:ascii="Arial" w:hAnsi="Arial" w:cs="Arial"/>
          <w:sz w:val="20"/>
          <w:szCs w:val="24"/>
        </w:rPr>
        <w:t>, s</w:t>
      </w:r>
      <w:r w:rsidR="008E2A77" w:rsidRPr="00310FB1">
        <w:rPr>
          <w:rFonts w:ascii="Arial" w:hAnsi="Arial" w:cs="Arial"/>
          <w:sz w:val="20"/>
          <w:szCs w:val="24"/>
          <w:lang w:val="vi-VN"/>
        </w:rPr>
        <w:t xml:space="preserve">ự </w:t>
      </w:r>
      <w:r w:rsidR="00F65270" w:rsidRPr="00310FB1">
        <w:rPr>
          <w:rFonts w:ascii="Arial" w:hAnsi="Arial" w:cs="Arial"/>
          <w:sz w:val="20"/>
          <w:szCs w:val="24"/>
        </w:rPr>
        <w:t>phát triển</w:t>
      </w:r>
      <w:r w:rsidR="008E2A77" w:rsidRPr="00310FB1">
        <w:rPr>
          <w:rFonts w:ascii="Arial" w:hAnsi="Arial" w:cs="Arial"/>
          <w:sz w:val="20"/>
          <w:szCs w:val="24"/>
          <w:lang w:val="vi-VN"/>
        </w:rPr>
        <w:t xml:space="preserve"> của hoạt động thanh toán </w:t>
      </w:r>
      <w:r w:rsidR="008E2A77" w:rsidRPr="00310FB1">
        <w:rPr>
          <w:rFonts w:ascii="Arial" w:hAnsi="Arial" w:cs="Arial"/>
          <w:sz w:val="20"/>
          <w:szCs w:val="24"/>
        </w:rPr>
        <w:t xml:space="preserve">qua </w:t>
      </w:r>
      <w:r w:rsidR="008E2A77" w:rsidRPr="00310FB1">
        <w:rPr>
          <w:rFonts w:ascii="Arial" w:hAnsi="Arial" w:cs="Arial"/>
          <w:sz w:val="20"/>
          <w:szCs w:val="24"/>
          <w:lang w:val="vi-VN"/>
        </w:rPr>
        <w:t xml:space="preserve">di động </w:t>
      </w:r>
      <w:r w:rsidR="008E2A77" w:rsidRPr="00310FB1">
        <w:rPr>
          <w:rFonts w:ascii="Arial" w:hAnsi="Arial" w:cs="Arial"/>
          <w:sz w:val="20"/>
          <w:szCs w:val="24"/>
        </w:rPr>
        <w:t xml:space="preserve">cũng </w:t>
      </w:r>
      <w:r w:rsidR="00F65270" w:rsidRPr="00310FB1">
        <w:rPr>
          <w:rFonts w:ascii="Arial" w:hAnsi="Arial" w:cs="Arial"/>
          <w:sz w:val="20"/>
          <w:szCs w:val="24"/>
        </w:rPr>
        <w:t>làm gia tăng những</w:t>
      </w:r>
      <w:r w:rsidR="008E2A77" w:rsidRPr="00310FB1">
        <w:rPr>
          <w:rFonts w:ascii="Arial" w:hAnsi="Arial" w:cs="Arial"/>
          <w:sz w:val="20"/>
          <w:szCs w:val="24"/>
        </w:rPr>
        <w:t xml:space="preserve"> </w:t>
      </w:r>
      <w:r w:rsidR="008E2A77" w:rsidRPr="00310FB1">
        <w:rPr>
          <w:rFonts w:ascii="Arial" w:hAnsi="Arial" w:cs="Arial"/>
          <w:sz w:val="20"/>
          <w:szCs w:val="24"/>
          <w:lang w:val="vi-VN"/>
        </w:rPr>
        <w:t xml:space="preserve">mối quan </w:t>
      </w:r>
      <w:r w:rsidR="00836C1D" w:rsidRPr="00310FB1">
        <w:rPr>
          <w:rFonts w:ascii="Arial" w:hAnsi="Arial" w:cs="Arial"/>
          <w:sz w:val="20"/>
          <w:szCs w:val="24"/>
        </w:rPr>
        <w:t>ngại</w:t>
      </w:r>
      <w:r w:rsidR="00836C1D" w:rsidRPr="00310FB1">
        <w:rPr>
          <w:rFonts w:ascii="Arial" w:hAnsi="Arial" w:cs="Arial"/>
          <w:sz w:val="20"/>
          <w:szCs w:val="24"/>
          <w:lang w:val="vi-VN"/>
        </w:rPr>
        <w:t xml:space="preserve"> </w:t>
      </w:r>
      <w:r w:rsidR="008E2A77" w:rsidRPr="00310FB1">
        <w:rPr>
          <w:rFonts w:ascii="Arial" w:hAnsi="Arial" w:cs="Arial"/>
          <w:sz w:val="20"/>
          <w:szCs w:val="24"/>
          <w:lang w:val="vi-VN"/>
        </w:rPr>
        <w:t>về bảo mậ</w:t>
      </w:r>
      <w:r w:rsidR="00F65270" w:rsidRPr="00310FB1">
        <w:rPr>
          <w:rFonts w:ascii="Arial" w:hAnsi="Arial" w:cs="Arial"/>
          <w:sz w:val="20"/>
          <w:szCs w:val="24"/>
          <w:lang w:val="vi-VN"/>
        </w:rPr>
        <w:t xml:space="preserve">t </w:t>
      </w:r>
      <w:r w:rsidR="00F65270" w:rsidRPr="00310FB1">
        <w:rPr>
          <w:rFonts w:ascii="Arial" w:hAnsi="Arial" w:cs="Arial"/>
          <w:sz w:val="20"/>
          <w:szCs w:val="24"/>
        </w:rPr>
        <w:t>cho</w:t>
      </w:r>
      <w:r w:rsidR="00F65270" w:rsidRPr="00310FB1">
        <w:rPr>
          <w:rFonts w:ascii="Arial" w:hAnsi="Arial" w:cs="Arial"/>
          <w:sz w:val="20"/>
          <w:szCs w:val="24"/>
          <w:lang w:val="vi-VN"/>
        </w:rPr>
        <w:t xml:space="preserve"> di động.</w:t>
      </w:r>
      <w:r w:rsidR="00742241" w:rsidRPr="00310FB1">
        <w:rPr>
          <w:rFonts w:ascii="Arial" w:hAnsi="Arial" w:cs="Arial"/>
          <w:sz w:val="20"/>
          <w:szCs w:val="24"/>
        </w:rPr>
        <w:t xml:space="preserve"> </w:t>
      </w:r>
    </w:p>
    <w:p w14:paraId="29C63FB5" w14:textId="0D7CC192" w:rsidR="00FB60D1" w:rsidRPr="00310FB1" w:rsidRDefault="00420823" w:rsidP="00310FB1">
      <w:pPr>
        <w:jc w:val="both"/>
        <w:rPr>
          <w:rFonts w:ascii="Arial" w:hAnsi="Arial" w:cs="Arial"/>
          <w:sz w:val="20"/>
          <w:szCs w:val="24"/>
          <w:lang w:val="vi-VN"/>
        </w:rPr>
      </w:pPr>
      <w:r w:rsidRPr="00310FB1">
        <w:rPr>
          <w:rFonts w:ascii="Arial" w:hAnsi="Arial" w:cs="Arial"/>
          <w:sz w:val="20"/>
          <w:szCs w:val="24"/>
        </w:rPr>
        <w:t xml:space="preserve">Trên các số liệu phân tích, Verizon đã giới thiệu một chương trình </w:t>
      </w:r>
      <w:r w:rsidRPr="00310FB1">
        <w:rPr>
          <w:rFonts w:ascii="Arial" w:hAnsi="Arial" w:cs="Arial"/>
          <w:sz w:val="20"/>
          <w:szCs w:val="24"/>
          <w:lang w:val="vi-VN"/>
        </w:rPr>
        <w:t xml:space="preserve">yêu cầu xây dựng chu trình khép kín cho hoạt động bảo mật, bao gồm </w:t>
      </w:r>
      <w:r w:rsidR="00742241" w:rsidRPr="00310FB1">
        <w:rPr>
          <w:rFonts w:ascii="Arial" w:hAnsi="Arial" w:cs="Arial"/>
          <w:sz w:val="20"/>
          <w:szCs w:val="24"/>
        </w:rPr>
        <w:t xml:space="preserve">đủ 4 bước: </w:t>
      </w:r>
      <w:r w:rsidRPr="00310FB1">
        <w:rPr>
          <w:rFonts w:ascii="Arial" w:hAnsi="Arial" w:cs="Arial"/>
          <w:sz w:val="20"/>
          <w:szCs w:val="24"/>
          <w:lang w:val="vi-VN"/>
        </w:rPr>
        <w:t>đánh giá, bảo vệ, phát hiện và phản hồi. Cách tiếp cận này</w:t>
      </w:r>
      <w:r w:rsidRPr="00310FB1">
        <w:rPr>
          <w:rFonts w:ascii="Arial" w:hAnsi="Arial" w:cs="Arial"/>
          <w:sz w:val="20"/>
          <w:szCs w:val="24"/>
        </w:rPr>
        <w:t xml:space="preserve"> </w:t>
      </w:r>
      <w:r w:rsidRPr="00310FB1">
        <w:rPr>
          <w:rFonts w:ascii="Arial" w:hAnsi="Arial" w:cs="Arial"/>
          <w:sz w:val="20"/>
          <w:szCs w:val="24"/>
          <w:lang w:val="vi-VN"/>
        </w:rPr>
        <w:t xml:space="preserve">thường được </w:t>
      </w:r>
      <w:r w:rsidRPr="00310FB1">
        <w:rPr>
          <w:rFonts w:ascii="Arial" w:hAnsi="Arial" w:cs="Arial"/>
          <w:sz w:val="20"/>
          <w:szCs w:val="24"/>
        </w:rPr>
        <w:t>áp dụng cho</w:t>
      </w:r>
      <w:r w:rsidRPr="00310FB1">
        <w:rPr>
          <w:rFonts w:ascii="Arial" w:hAnsi="Arial" w:cs="Arial"/>
          <w:sz w:val="20"/>
          <w:szCs w:val="24"/>
          <w:lang w:val="vi-VN"/>
        </w:rPr>
        <w:t xml:space="preserve"> hệ thống </w:t>
      </w:r>
      <w:r w:rsidRPr="00310FB1">
        <w:rPr>
          <w:rFonts w:ascii="Arial" w:hAnsi="Arial" w:cs="Arial"/>
          <w:sz w:val="20"/>
          <w:szCs w:val="24"/>
        </w:rPr>
        <w:t>công nghệ thông tin và Verizon tin rằng đã đến lúc thiết bị di động cũng cần áp dụng chu trình này.</w:t>
      </w:r>
      <w:r w:rsidR="00742241" w:rsidRPr="00310FB1">
        <w:rPr>
          <w:rFonts w:ascii="Arial" w:hAnsi="Arial" w:cs="Arial"/>
          <w:sz w:val="20"/>
          <w:szCs w:val="24"/>
        </w:rPr>
        <w:t xml:space="preserve"> </w:t>
      </w:r>
      <w:r w:rsidRPr="00310FB1">
        <w:rPr>
          <w:rFonts w:ascii="Arial" w:hAnsi="Arial" w:cs="Arial"/>
          <w:sz w:val="20"/>
          <w:szCs w:val="24"/>
        </w:rPr>
        <w:t xml:space="preserve">Bên cạnh đó, </w:t>
      </w:r>
      <w:r w:rsidR="00FB60D1" w:rsidRPr="00310FB1">
        <w:rPr>
          <w:rFonts w:ascii="Arial" w:hAnsi="Arial" w:cs="Arial"/>
          <w:sz w:val="20"/>
          <w:szCs w:val="24"/>
        </w:rPr>
        <w:t xml:space="preserve">Verizon </w:t>
      </w:r>
      <w:r w:rsidRPr="00310FB1">
        <w:rPr>
          <w:rFonts w:ascii="Arial" w:hAnsi="Arial" w:cs="Arial"/>
          <w:sz w:val="20"/>
          <w:szCs w:val="24"/>
        </w:rPr>
        <w:t>đề xuất</w:t>
      </w:r>
      <w:r w:rsidR="00FB60D1" w:rsidRPr="00310FB1">
        <w:rPr>
          <w:rFonts w:ascii="Arial" w:hAnsi="Arial" w:cs="Arial"/>
          <w:sz w:val="20"/>
          <w:szCs w:val="24"/>
        </w:rPr>
        <w:t xml:space="preserve"> 9 yêu cầu để</w:t>
      </w:r>
      <w:r w:rsidR="004030FC" w:rsidRPr="00310FB1">
        <w:rPr>
          <w:rFonts w:ascii="Arial" w:hAnsi="Arial" w:cs="Arial"/>
          <w:sz w:val="20"/>
          <w:szCs w:val="24"/>
        </w:rPr>
        <w:t xml:space="preserve"> các tổ chức thanh toán thẻ</w:t>
      </w:r>
      <w:r w:rsidR="00FB60D1" w:rsidRPr="00310FB1">
        <w:rPr>
          <w:rFonts w:ascii="Arial" w:hAnsi="Arial" w:cs="Arial"/>
          <w:sz w:val="20"/>
          <w:szCs w:val="24"/>
        </w:rPr>
        <w:t xml:space="preserve"> </w:t>
      </w:r>
      <w:r w:rsidR="004030FC" w:rsidRPr="00310FB1">
        <w:rPr>
          <w:rFonts w:ascii="Arial" w:hAnsi="Arial" w:cs="Arial"/>
          <w:sz w:val="20"/>
          <w:szCs w:val="24"/>
        </w:rPr>
        <w:t xml:space="preserve">và các đơn vị liên quan đến thanh toán thẻ </w:t>
      </w:r>
      <w:r w:rsidRPr="00310FB1">
        <w:rPr>
          <w:rFonts w:ascii="Arial" w:hAnsi="Arial" w:cs="Arial"/>
          <w:sz w:val="20"/>
          <w:szCs w:val="24"/>
        </w:rPr>
        <w:t>có thể sử dụng v</w:t>
      </w:r>
      <w:r w:rsidR="004030FC" w:rsidRPr="00310FB1">
        <w:rPr>
          <w:rFonts w:ascii="Arial" w:hAnsi="Arial" w:cs="Arial"/>
          <w:sz w:val="20"/>
          <w:szCs w:val="24"/>
        </w:rPr>
        <w:t>à thiết lập</w:t>
      </w:r>
      <w:r w:rsidR="00FB60D1" w:rsidRPr="00310FB1">
        <w:rPr>
          <w:rFonts w:ascii="Arial" w:hAnsi="Arial" w:cs="Arial"/>
          <w:sz w:val="20"/>
          <w:szCs w:val="24"/>
        </w:rPr>
        <w:t xml:space="preserve"> cơ chế bảo mật </w:t>
      </w:r>
      <w:r w:rsidR="00DE25EF" w:rsidRPr="00310FB1">
        <w:rPr>
          <w:rFonts w:ascii="Arial" w:hAnsi="Arial" w:cs="Arial"/>
          <w:sz w:val="20"/>
          <w:szCs w:val="24"/>
        </w:rPr>
        <w:t>cho điện thoại di động cũng như để cảnh báo người dùng</w:t>
      </w:r>
      <w:r w:rsidR="00FB60D1" w:rsidRPr="00310FB1">
        <w:rPr>
          <w:rFonts w:ascii="Arial" w:hAnsi="Arial" w:cs="Arial"/>
          <w:sz w:val="20"/>
          <w:szCs w:val="24"/>
        </w:rPr>
        <w:t xml:space="preserve">, bao gồm: (1) </w:t>
      </w:r>
      <w:r w:rsidR="00FB60D1" w:rsidRPr="00310FB1">
        <w:rPr>
          <w:rFonts w:ascii="Arial" w:hAnsi="Arial" w:cs="Arial"/>
          <w:sz w:val="20"/>
          <w:szCs w:val="24"/>
          <w:lang w:val="vi-VN"/>
        </w:rPr>
        <w:t xml:space="preserve">Thiết lập và duy trì môi trường kiểm soát để </w:t>
      </w:r>
      <w:r w:rsidR="00142006" w:rsidRPr="00310FB1">
        <w:rPr>
          <w:rFonts w:ascii="Arial" w:hAnsi="Arial" w:cs="Arial"/>
          <w:sz w:val="20"/>
          <w:szCs w:val="24"/>
        </w:rPr>
        <w:t>có thể</w:t>
      </w:r>
      <w:r w:rsidR="00FB60D1" w:rsidRPr="00310FB1">
        <w:rPr>
          <w:rFonts w:ascii="Arial" w:hAnsi="Arial" w:cs="Arial"/>
          <w:sz w:val="20"/>
          <w:szCs w:val="24"/>
        </w:rPr>
        <w:t xml:space="preserve"> </w:t>
      </w:r>
      <w:r w:rsidR="00142006" w:rsidRPr="00310FB1">
        <w:rPr>
          <w:rFonts w:ascii="Arial" w:hAnsi="Arial" w:cs="Arial"/>
          <w:sz w:val="20"/>
          <w:szCs w:val="24"/>
        </w:rPr>
        <w:t>kiểm soát</w:t>
      </w:r>
      <w:r w:rsidR="00FB60D1" w:rsidRPr="00310FB1">
        <w:rPr>
          <w:rFonts w:ascii="Arial" w:hAnsi="Arial" w:cs="Arial"/>
          <w:sz w:val="20"/>
          <w:szCs w:val="24"/>
          <w:lang w:val="vi-VN"/>
        </w:rPr>
        <w:t xml:space="preserve"> </w:t>
      </w:r>
      <w:r w:rsidR="00FB60D1" w:rsidRPr="00310FB1">
        <w:rPr>
          <w:rFonts w:ascii="Arial" w:hAnsi="Arial" w:cs="Arial"/>
          <w:sz w:val="20"/>
          <w:szCs w:val="24"/>
        </w:rPr>
        <w:t xml:space="preserve">các </w:t>
      </w:r>
      <w:r w:rsidR="00FB60D1" w:rsidRPr="00310FB1">
        <w:rPr>
          <w:rFonts w:ascii="Arial" w:hAnsi="Arial" w:cs="Arial"/>
          <w:sz w:val="20"/>
          <w:szCs w:val="24"/>
          <w:lang w:val="vi-VN"/>
        </w:rPr>
        <w:t>rủi ro bảo mật liên quan đến</w:t>
      </w:r>
      <w:r w:rsidR="00142006" w:rsidRPr="00310FB1">
        <w:rPr>
          <w:rFonts w:ascii="Arial" w:hAnsi="Arial" w:cs="Arial"/>
          <w:sz w:val="20"/>
          <w:szCs w:val="24"/>
        </w:rPr>
        <w:t xml:space="preserve"> </w:t>
      </w:r>
      <w:r w:rsidR="00F0029B" w:rsidRPr="00310FB1">
        <w:rPr>
          <w:rFonts w:ascii="Arial" w:hAnsi="Arial" w:cs="Arial"/>
          <w:sz w:val="20"/>
          <w:szCs w:val="24"/>
        </w:rPr>
        <w:t xml:space="preserve">các </w:t>
      </w:r>
      <w:r w:rsidR="00142006" w:rsidRPr="00310FB1">
        <w:rPr>
          <w:rFonts w:ascii="Arial" w:hAnsi="Arial" w:cs="Arial"/>
          <w:sz w:val="20"/>
          <w:szCs w:val="24"/>
        </w:rPr>
        <w:t>thiết bị</w:t>
      </w:r>
      <w:r w:rsidR="00F0029B" w:rsidRPr="00310FB1">
        <w:rPr>
          <w:rFonts w:ascii="Arial" w:hAnsi="Arial" w:cs="Arial"/>
          <w:sz w:val="20"/>
          <w:szCs w:val="24"/>
        </w:rPr>
        <w:t xml:space="preserve"> di động</w:t>
      </w:r>
      <w:r w:rsidR="00142006" w:rsidRPr="00310FB1">
        <w:rPr>
          <w:rFonts w:ascii="Arial" w:hAnsi="Arial" w:cs="Arial"/>
          <w:sz w:val="20"/>
          <w:szCs w:val="24"/>
        </w:rPr>
        <w:t>, (2) T</w:t>
      </w:r>
      <w:r w:rsidR="00FB60D1" w:rsidRPr="00310FB1">
        <w:rPr>
          <w:rFonts w:ascii="Arial" w:hAnsi="Arial" w:cs="Arial"/>
          <w:sz w:val="20"/>
          <w:szCs w:val="24"/>
          <w:lang w:val="vi-VN"/>
        </w:rPr>
        <w:t xml:space="preserve">hiết bị di động </w:t>
      </w:r>
      <w:r w:rsidR="00142006" w:rsidRPr="00310FB1">
        <w:rPr>
          <w:rFonts w:ascii="Arial" w:hAnsi="Arial" w:cs="Arial"/>
          <w:sz w:val="20"/>
          <w:szCs w:val="24"/>
        </w:rPr>
        <w:t xml:space="preserve">cần rõ ràng về thông tin cấu hình để </w:t>
      </w:r>
      <w:r w:rsidR="00FB60D1" w:rsidRPr="00310FB1">
        <w:rPr>
          <w:rFonts w:ascii="Arial" w:hAnsi="Arial" w:cs="Arial"/>
          <w:sz w:val="20"/>
          <w:szCs w:val="24"/>
          <w:lang w:val="vi-VN"/>
        </w:rPr>
        <w:t>kiểm soát các ứng dụng có thể được cài đặt</w:t>
      </w:r>
      <w:r w:rsidR="00142006" w:rsidRPr="00310FB1">
        <w:rPr>
          <w:rFonts w:ascii="Arial" w:hAnsi="Arial" w:cs="Arial"/>
          <w:sz w:val="20"/>
          <w:szCs w:val="24"/>
        </w:rPr>
        <w:t xml:space="preserve">, (3) </w:t>
      </w:r>
      <w:r w:rsidR="00FB60D1" w:rsidRPr="00310FB1">
        <w:rPr>
          <w:rFonts w:ascii="Arial" w:hAnsi="Arial" w:cs="Arial"/>
          <w:sz w:val="20"/>
          <w:szCs w:val="24"/>
          <w:lang w:val="vi-VN"/>
        </w:rPr>
        <w:t xml:space="preserve">Bảo mật thiết bị di động đòi hỏi sự </w:t>
      </w:r>
      <w:r w:rsidR="00DE25EF" w:rsidRPr="00310FB1">
        <w:rPr>
          <w:rFonts w:ascii="Arial" w:hAnsi="Arial" w:cs="Arial"/>
          <w:sz w:val="20"/>
          <w:szCs w:val="24"/>
        </w:rPr>
        <w:t>theo dõi</w:t>
      </w:r>
      <w:r w:rsidR="00FB60D1" w:rsidRPr="00310FB1">
        <w:rPr>
          <w:rFonts w:ascii="Arial" w:hAnsi="Arial" w:cs="Arial"/>
          <w:sz w:val="20"/>
          <w:szCs w:val="24"/>
          <w:lang w:val="vi-VN"/>
        </w:rPr>
        <w:t xml:space="preserve"> liên tục</w:t>
      </w:r>
      <w:r w:rsidR="00142006" w:rsidRPr="00310FB1">
        <w:rPr>
          <w:rFonts w:ascii="Arial" w:hAnsi="Arial" w:cs="Arial"/>
          <w:sz w:val="20"/>
          <w:szCs w:val="24"/>
        </w:rPr>
        <w:t xml:space="preserve"> để có thể</w:t>
      </w:r>
      <w:r w:rsidR="00F0029B" w:rsidRPr="00310FB1">
        <w:rPr>
          <w:rFonts w:ascii="Arial" w:hAnsi="Arial" w:cs="Arial"/>
          <w:sz w:val="20"/>
          <w:szCs w:val="24"/>
        </w:rPr>
        <w:t xml:space="preserve"> </w:t>
      </w:r>
      <w:r w:rsidR="00FB60D1" w:rsidRPr="00310FB1">
        <w:rPr>
          <w:rFonts w:ascii="Arial" w:hAnsi="Arial" w:cs="Arial"/>
          <w:sz w:val="20"/>
          <w:szCs w:val="24"/>
          <w:lang w:val="vi-VN"/>
        </w:rPr>
        <w:t>đánh giá</w:t>
      </w:r>
      <w:r w:rsidR="00F0029B" w:rsidRPr="00310FB1">
        <w:rPr>
          <w:rFonts w:ascii="Arial" w:hAnsi="Arial" w:cs="Arial"/>
          <w:sz w:val="20"/>
          <w:szCs w:val="24"/>
        </w:rPr>
        <w:t xml:space="preserve"> </w:t>
      </w:r>
      <w:r w:rsidR="00742241" w:rsidRPr="00310FB1">
        <w:rPr>
          <w:rFonts w:ascii="Arial" w:hAnsi="Arial" w:cs="Arial"/>
          <w:sz w:val="20"/>
          <w:szCs w:val="24"/>
        </w:rPr>
        <w:t xml:space="preserve">thường xuyên </w:t>
      </w:r>
      <w:r w:rsidR="00F0029B" w:rsidRPr="00310FB1">
        <w:rPr>
          <w:rFonts w:ascii="Arial" w:hAnsi="Arial" w:cs="Arial"/>
          <w:sz w:val="20"/>
          <w:szCs w:val="24"/>
        </w:rPr>
        <w:t>và đánh giá lại</w:t>
      </w:r>
      <w:r w:rsidR="00FB60D1" w:rsidRPr="00310FB1">
        <w:rPr>
          <w:rFonts w:ascii="Arial" w:hAnsi="Arial" w:cs="Arial"/>
          <w:sz w:val="20"/>
          <w:szCs w:val="24"/>
          <w:lang w:val="vi-VN"/>
        </w:rPr>
        <w:t xml:space="preserve"> các biện pháp </w:t>
      </w:r>
      <w:r w:rsidR="00DE25EF" w:rsidRPr="00310FB1">
        <w:rPr>
          <w:rFonts w:ascii="Arial" w:hAnsi="Arial" w:cs="Arial"/>
          <w:sz w:val="20"/>
          <w:szCs w:val="24"/>
        </w:rPr>
        <w:t>bảo mật</w:t>
      </w:r>
      <w:r w:rsidR="00FB60D1" w:rsidRPr="00310FB1">
        <w:rPr>
          <w:rFonts w:ascii="Arial" w:hAnsi="Arial" w:cs="Arial"/>
          <w:sz w:val="20"/>
          <w:szCs w:val="24"/>
          <w:lang w:val="vi-VN"/>
        </w:rPr>
        <w:t xml:space="preserve"> </w:t>
      </w:r>
      <w:r w:rsidR="00142006" w:rsidRPr="00310FB1">
        <w:rPr>
          <w:rFonts w:ascii="Arial" w:hAnsi="Arial" w:cs="Arial"/>
          <w:sz w:val="20"/>
          <w:szCs w:val="24"/>
        </w:rPr>
        <w:t xml:space="preserve">đối với dữ liệu và quyền truy cập thiết bị, (4) </w:t>
      </w:r>
      <w:r w:rsidRPr="00310FB1">
        <w:rPr>
          <w:rFonts w:ascii="Arial" w:hAnsi="Arial" w:cs="Arial"/>
          <w:sz w:val="20"/>
          <w:szCs w:val="24"/>
        </w:rPr>
        <w:t>Cần d</w:t>
      </w:r>
      <w:r w:rsidR="00142006" w:rsidRPr="00310FB1">
        <w:rPr>
          <w:rFonts w:ascii="Arial" w:hAnsi="Arial" w:cs="Arial"/>
          <w:sz w:val="20"/>
          <w:szCs w:val="24"/>
        </w:rPr>
        <w:t>uy trì nhiều lớp bảo vệ để đảm bảo dữ liệu di động không bị gián đoạn, không bị thay đổ</w:t>
      </w:r>
      <w:r w:rsidR="00DE25EF" w:rsidRPr="00310FB1">
        <w:rPr>
          <w:rFonts w:ascii="Arial" w:hAnsi="Arial" w:cs="Arial"/>
          <w:sz w:val="20"/>
          <w:szCs w:val="24"/>
        </w:rPr>
        <w:t>i</w:t>
      </w:r>
      <w:r w:rsidR="00F0029B" w:rsidRPr="00310FB1">
        <w:rPr>
          <w:rFonts w:ascii="Arial" w:hAnsi="Arial" w:cs="Arial"/>
          <w:sz w:val="20"/>
          <w:szCs w:val="24"/>
        </w:rPr>
        <w:t xml:space="preserve"> hoặc bị tấn công</w:t>
      </w:r>
      <w:r w:rsidR="00142006" w:rsidRPr="00310FB1">
        <w:rPr>
          <w:rFonts w:ascii="Arial" w:hAnsi="Arial" w:cs="Arial"/>
          <w:sz w:val="20"/>
          <w:szCs w:val="24"/>
        </w:rPr>
        <w:t>, (5) Cần</w:t>
      </w:r>
      <w:r w:rsidR="00FB60D1" w:rsidRPr="00310FB1">
        <w:rPr>
          <w:rFonts w:ascii="Arial" w:hAnsi="Arial" w:cs="Arial"/>
          <w:sz w:val="20"/>
          <w:szCs w:val="24"/>
          <w:lang w:val="vi-VN"/>
        </w:rPr>
        <w:t xml:space="preserve"> duy trì khả năng phát hiện và phản hồi </w:t>
      </w:r>
      <w:r w:rsidR="00DE25EF" w:rsidRPr="00310FB1">
        <w:rPr>
          <w:rFonts w:ascii="Arial" w:hAnsi="Arial" w:cs="Arial"/>
          <w:sz w:val="20"/>
          <w:szCs w:val="24"/>
        </w:rPr>
        <w:t>kịp thời</w:t>
      </w:r>
      <w:r w:rsidR="00142006" w:rsidRPr="00310FB1">
        <w:rPr>
          <w:rFonts w:ascii="Arial" w:hAnsi="Arial" w:cs="Arial"/>
          <w:sz w:val="20"/>
          <w:szCs w:val="24"/>
          <w:lang w:val="vi-VN"/>
        </w:rPr>
        <w:t xml:space="preserve"> c</w:t>
      </w:r>
      <w:r w:rsidR="00142006" w:rsidRPr="00310FB1">
        <w:rPr>
          <w:rFonts w:ascii="Arial" w:hAnsi="Arial" w:cs="Arial"/>
          <w:sz w:val="20"/>
          <w:szCs w:val="24"/>
        </w:rPr>
        <w:t>ủa</w:t>
      </w:r>
      <w:r w:rsidR="00FB60D1" w:rsidRPr="00310FB1">
        <w:rPr>
          <w:rFonts w:ascii="Arial" w:hAnsi="Arial" w:cs="Arial"/>
          <w:sz w:val="20"/>
          <w:szCs w:val="24"/>
          <w:lang w:val="vi-VN"/>
        </w:rPr>
        <w:t xml:space="preserve"> thiết bị di động k</w:t>
      </w:r>
      <w:r w:rsidR="00142006" w:rsidRPr="00310FB1">
        <w:rPr>
          <w:rFonts w:ascii="Arial" w:hAnsi="Arial" w:cs="Arial"/>
          <w:sz w:val="20"/>
          <w:szCs w:val="24"/>
        </w:rPr>
        <w:t xml:space="preserve">hi phát hiện </w:t>
      </w:r>
      <w:r w:rsidR="00FB60D1" w:rsidRPr="00310FB1">
        <w:rPr>
          <w:rFonts w:ascii="Arial" w:hAnsi="Arial" w:cs="Arial"/>
          <w:sz w:val="20"/>
          <w:szCs w:val="24"/>
          <w:lang w:val="vi-VN"/>
        </w:rPr>
        <w:t xml:space="preserve">thông số </w:t>
      </w:r>
      <w:r w:rsidR="00142006" w:rsidRPr="00310FB1">
        <w:rPr>
          <w:rFonts w:ascii="Arial" w:hAnsi="Arial" w:cs="Arial"/>
          <w:sz w:val="20"/>
          <w:szCs w:val="24"/>
        </w:rPr>
        <w:t xml:space="preserve">không phù hợp với </w:t>
      </w:r>
      <w:r w:rsidR="00FB60D1" w:rsidRPr="00310FB1">
        <w:rPr>
          <w:rFonts w:ascii="Arial" w:hAnsi="Arial" w:cs="Arial"/>
          <w:sz w:val="20"/>
          <w:szCs w:val="24"/>
          <w:lang w:val="vi-VN"/>
        </w:rPr>
        <w:t>thiết kế</w:t>
      </w:r>
      <w:r w:rsidR="00F03723" w:rsidRPr="00310FB1">
        <w:rPr>
          <w:rFonts w:ascii="Arial" w:hAnsi="Arial" w:cs="Arial"/>
          <w:sz w:val="20"/>
          <w:szCs w:val="24"/>
        </w:rPr>
        <w:t xml:space="preserve"> kỹ thuật</w:t>
      </w:r>
      <w:r w:rsidR="00142006" w:rsidRPr="00310FB1">
        <w:rPr>
          <w:rFonts w:ascii="Arial" w:hAnsi="Arial" w:cs="Arial"/>
          <w:sz w:val="20"/>
          <w:szCs w:val="24"/>
          <w:lang w:val="vi-VN"/>
        </w:rPr>
        <w:t xml:space="preserve">, (6) </w:t>
      </w:r>
      <w:r w:rsidR="00FB60D1" w:rsidRPr="00310FB1">
        <w:rPr>
          <w:rFonts w:ascii="Arial" w:hAnsi="Arial" w:cs="Arial"/>
          <w:sz w:val="20"/>
          <w:szCs w:val="24"/>
          <w:lang w:val="vi-VN"/>
        </w:rPr>
        <w:t>Các thiết bị di động thường có tuổi thọ ngắn hơn các thiết bị để</w:t>
      </w:r>
      <w:r w:rsidR="00AB4213" w:rsidRPr="00310FB1">
        <w:rPr>
          <w:rFonts w:ascii="Arial" w:hAnsi="Arial" w:cs="Arial"/>
          <w:sz w:val="20"/>
          <w:szCs w:val="24"/>
          <w:lang w:val="vi-VN"/>
        </w:rPr>
        <w:t xml:space="preserve"> bàn nên cần quản lý và kiểm soát </w:t>
      </w:r>
      <w:r w:rsidR="00AB4213" w:rsidRPr="00310FB1">
        <w:rPr>
          <w:rFonts w:ascii="Arial" w:hAnsi="Arial" w:cs="Arial"/>
          <w:sz w:val="20"/>
          <w:szCs w:val="24"/>
        </w:rPr>
        <w:t xml:space="preserve">những </w:t>
      </w:r>
      <w:r w:rsidR="00FB60D1" w:rsidRPr="00310FB1">
        <w:rPr>
          <w:rFonts w:ascii="Arial" w:hAnsi="Arial" w:cs="Arial"/>
          <w:sz w:val="20"/>
          <w:szCs w:val="24"/>
          <w:lang w:val="vi-VN"/>
        </w:rPr>
        <w:t xml:space="preserve">thay đổi </w:t>
      </w:r>
      <w:r w:rsidR="00AB4213" w:rsidRPr="00310FB1">
        <w:rPr>
          <w:rFonts w:ascii="Arial" w:hAnsi="Arial" w:cs="Arial"/>
          <w:sz w:val="20"/>
          <w:szCs w:val="24"/>
        </w:rPr>
        <w:t xml:space="preserve">của </w:t>
      </w:r>
      <w:r w:rsidR="00FB60D1" w:rsidRPr="00310FB1">
        <w:rPr>
          <w:rFonts w:ascii="Arial" w:hAnsi="Arial" w:cs="Arial"/>
          <w:sz w:val="20"/>
          <w:szCs w:val="24"/>
          <w:lang w:val="vi-VN"/>
        </w:rPr>
        <w:t>phần cứng và ứng dụ</w:t>
      </w:r>
      <w:r w:rsidR="00AB4213" w:rsidRPr="00310FB1">
        <w:rPr>
          <w:rFonts w:ascii="Arial" w:hAnsi="Arial" w:cs="Arial"/>
          <w:sz w:val="20"/>
          <w:szCs w:val="24"/>
          <w:lang w:val="vi-VN"/>
        </w:rPr>
        <w:t xml:space="preserve">ng </w:t>
      </w:r>
      <w:r w:rsidR="00AB4213" w:rsidRPr="00310FB1">
        <w:rPr>
          <w:rFonts w:ascii="Arial" w:hAnsi="Arial" w:cs="Arial"/>
          <w:sz w:val="20"/>
          <w:szCs w:val="24"/>
        </w:rPr>
        <w:t xml:space="preserve">để </w:t>
      </w:r>
      <w:r w:rsidR="00FB60D1" w:rsidRPr="00310FB1">
        <w:rPr>
          <w:rFonts w:ascii="Arial" w:hAnsi="Arial" w:cs="Arial"/>
          <w:sz w:val="20"/>
          <w:szCs w:val="24"/>
          <w:lang w:val="vi-VN"/>
        </w:rPr>
        <w:t xml:space="preserve">xác định </w:t>
      </w:r>
      <w:r w:rsidR="00AB4213" w:rsidRPr="00310FB1">
        <w:rPr>
          <w:rFonts w:ascii="Arial" w:hAnsi="Arial" w:cs="Arial"/>
          <w:sz w:val="20"/>
          <w:szCs w:val="24"/>
        </w:rPr>
        <w:t xml:space="preserve">kịp thời </w:t>
      </w:r>
      <w:r w:rsidR="00AB4213" w:rsidRPr="00310FB1">
        <w:rPr>
          <w:rFonts w:ascii="Arial" w:hAnsi="Arial" w:cs="Arial"/>
          <w:sz w:val="20"/>
          <w:szCs w:val="24"/>
          <w:lang w:val="vi-VN"/>
        </w:rPr>
        <w:t xml:space="preserve">các </w:t>
      </w:r>
      <w:r w:rsidR="004030FC" w:rsidRPr="00310FB1">
        <w:rPr>
          <w:rFonts w:ascii="Arial" w:hAnsi="Arial" w:cs="Arial"/>
          <w:sz w:val="20"/>
          <w:szCs w:val="24"/>
        </w:rPr>
        <w:t>bộ phận/phần mềm</w:t>
      </w:r>
      <w:r w:rsidR="00AB4213" w:rsidRPr="00310FB1">
        <w:rPr>
          <w:rFonts w:ascii="Arial" w:hAnsi="Arial" w:cs="Arial"/>
          <w:sz w:val="20"/>
          <w:szCs w:val="24"/>
          <w:lang w:val="vi-VN"/>
        </w:rPr>
        <w:t xml:space="preserve"> cần </w:t>
      </w:r>
      <w:r w:rsidR="00AB4213" w:rsidRPr="00310FB1">
        <w:rPr>
          <w:rFonts w:ascii="Arial" w:hAnsi="Arial" w:cs="Arial"/>
          <w:sz w:val="20"/>
          <w:szCs w:val="24"/>
        </w:rPr>
        <w:t>thay đổi</w:t>
      </w:r>
      <w:r w:rsidR="00AB4213" w:rsidRPr="00310FB1">
        <w:rPr>
          <w:rFonts w:ascii="Arial" w:hAnsi="Arial" w:cs="Arial"/>
          <w:sz w:val="20"/>
          <w:szCs w:val="24"/>
          <w:lang w:val="vi-VN"/>
        </w:rPr>
        <w:t xml:space="preserve">, (7) Cần theo dõi và đo lường </w:t>
      </w:r>
      <w:r w:rsidR="00FB60D1" w:rsidRPr="00310FB1">
        <w:rPr>
          <w:rFonts w:ascii="Arial" w:hAnsi="Arial" w:cs="Arial"/>
          <w:sz w:val="20"/>
          <w:szCs w:val="24"/>
          <w:lang w:val="vi-VN"/>
        </w:rPr>
        <w:t>hiệu suất bảo vệ dữ liệu trên toàn bộ thiết bị di động</w:t>
      </w:r>
      <w:r w:rsidR="00AB4213" w:rsidRPr="00310FB1">
        <w:rPr>
          <w:rFonts w:ascii="Arial" w:hAnsi="Arial" w:cs="Arial"/>
          <w:sz w:val="20"/>
          <w:szCs w:val="24"/>
        </w:rPr>
        <w:t xml:space="preserve"> để có </w:t>
      </w:r>
      <w:r w:rsidR="004030FC" w:rsidRPr="00310FB1">
        <w:rPr>
          <w:rFonts w:ascii="Arial" w:hAnsi="Arial" w:cs="Arial"/>
          <w:sz w:val="20"/>
          <w:szCs w:val="24"/>
        </w:rPr>
        <w:t>cảnh báo</w:t>
      </w:r>
      <w:r w:rsidR="00AB4213" w:rsidRPr="00310FB1">
        <w:rPr>
          <w:rFonts w:ascii="Arial" w:hAnsi="Arial" w:cs="Arial"/>
          <w:sz w:val="20"/>
          <w:szCs w:val="24"/>
        </w:rPr>
        <w:t xml:space="preserve"> kịp thời</w:t>
      </w:r>
      <w:r w:rsidR="00F0029B" w:rsidRPr="00310FB1">
        <w:rPr>
          <w:rFonts w:ascii="Arial" w:hAnsi="Arial" w:cs="Arial"/>
          <w:sz w:val="20"/>
          <w:szCs w:val="24"/>
        </w:rPr>
        <w:t xml:space="preserve"> (theo quy trình 4 bước gồm: phát triển, triển khai, theo dõi và đánh giá)</w:t>
      </w:r>
      <w:r w:rsidR="00AB4213" w:rsidRPr="00310FB1">
        <w:rPr>
          <w:rFonts w:ascii="Arial" w:hAnsi="Arial" w:cs="Arial"/>
          <w:sz w:val="20"/>
          <w:szCs w:val="24"/>
        </w:rPr>
        <w:t>, (8) C</w:t>
      </w:r>
      <w:r w:rsidR="00FB60D1" w:rsidRPr="00310FB1">
        <w:rPr>
          <w:rFonts w:ascii="Arial" w:hAnsi="Arial" w:cs="Arial"/>
          <w:sz w:val="20"/>
          <w:szCs w:val="24"/>
          <w:lang w:val="vi-VN"/>
        </w:rPr>
        <w:t xml:space="preserve">ần thiết </w:t>
      </w:r>
      <w:r w:rsidR="004030FC" w:rsidRPr="00310FB1">
        <w:rPr>
          <w:rFonts w:ascii="Arial" w:hAnsi="Arial" w:cs="Arial"/>
          <w:sz w:val="20"/>
          <w:szCs w:val="24"/>
        </w:rPr>
        <w:t>có chiến lược/kế hoạch</w:t>
      </w:r>
      <w:r w:rsidR="00FB60D1" w:rsidRPr="00310FB1">
        <w:rPr>
          <w:rFonts w:ascii="Arial" w:hAnsi="Arial" w:cs="Arial"/>
          <w:sz w:val="20"/>
          <w:szCs w:val="24"/>
          <w:lang w:val="vi-VN"/>
        </w:rPr>
        <w:t xml:space="preserve"> bảo mật di động và lộ trình </w:t>
      </w:r>
      <w:r w:rsidR="004030FC" w:rsidRPr="00310FB1">
        <w:rPr>
          <w:rFonts w:ascii="Arial" w:hAnsi="Arial" w:cs="Arial"/>
          <w:sz w:val="20"/>
          <w:szCs w:val="24"/>
        </w:rPr>
        <w:t>triển khai phù hợp,</w:t>
      </w:r>
      <w:r w:rsidR="00836C1D" w:rsidRPr="00310FB1">
        <w:rPr>
          <w:rFonts w:ascii="Arial" w:hAnsi="Arial" w:cs="Arial"/>
          <w:sz w:val="20"/>
          <w:szCs w:val="24"/>
        </w:rPr>
        <w:t xml:space="preserve"> và</w:t>
      </w:r>
      <w:r w:rsidR="004030FC" w:rsidRPr="00310FB1">
        <w:rPr>
          <w:rFonts w:ascii="Arial" w:hAnsi="Arial" w:cs="Arial"/>
          <w:sz w:val="20"/>
          <w:szCs w:val="24"/>
        </w:rPr>
        <w:t xml:space="preserve"> (9) </w:t>
      </w:r>
      <w:r w:rsidR="00F03723" w:rsidRPr="00310FB1">
        <w:rPr>
          <w:rFonts w:ascii="Arial" w:hAnsi="Arial" w:cs="Arial"/>
          <w:sz w:val="20"/>
          <w:szCs w:val="24"/>
        </w:rPr>
        <w:t>P</w:t>
      </w:r>
      <w:r w:rsidR="00FB60D1" w:rsidRPr="00310FB1">
        <w:rPr>
          <w:rFonts w:ascii="Arial" w:hAnsi="Arial" w:cs="Arial"/>
          <w:sz w:val="20"/>
          <w:szCs w:val="24"/>
          <w:lang w:val="vi-VN"/>
        </w:rPr>
        <w:t xml:space="preserve">hát triển </w:t>
      </w:r>
      <w:r w:rsidR="004030FC" w:rsidRPr="00310FB1">
        <w:rPr>
          <w:rFonts w:ascii="Arial" w:hAnsi="Arial" w:cs="Arial"/>
          <w:sz w:val="20"/>
          <w:szCs w:val="24"/>
        </w:rPr>
        <w:t>đội ngũ nhân lực</w:t>
      </w:r>
      <w:r w:rsidR="00FB60D1" w:rsidRPr="00310FB1">
        <w:rPr>
          <w:rFonts w:ascii="Arial" w:hAnsi="Arial" w:cs="Arial"/>
          <w:sz w:val="20"/>
          <w:szCs w:val="24"/>
          <w:lang w:val="vi-VN"/>
        </w:rPr>
        <w:t xml:space="preserve"> nội bộ để </w:t>
      </w:r>
      <w:r w:rsidR="004030FC" w:rsidRPr="00310FB1">
        <w:rPr>
          <w:rFonts w:ascii="Arial" w:hAnsi="Arial" w:cs="Arial"/>
          <w:sz w:val="20"/>
          <w:szCs w:val="24"/>
        </w:rPr>
        <w:t xml:space="preserve">có thể </w:t>
      </w:r>
      <w:r w:rsidR="00FB60D1" w:rsidRPr="00310FB1">
        <w:rPr>
          <w:rFonts w:ascii="Arial" w:hAnsi="Arial" w:cs="Arial"/>
          <w:sz w:val="20"/>
          <w:szCs w:val="24"/>
          <w:lang w:val="vi-VN"/>
        </w:rPr>
        <w:t xml:space="preserve">bảo vệ dữ liệu thanh toán </w:t>
      </w:r>
      <w:r w:rsidR="004030FC" w:rsidRPr="00310FB1">
        <w:rPr>
          <w:rFonts w:ascii="Arial" w:hAnsi="Arial" w:cs="Arial"/>
          <w:sz w:val="20"/>
          <w:szCs w:val="24"/>
        </w:rPr>
        <w:t>với mức độ cao hơn so với thông tin khác</w:t>
      </w:r>
      <w:r w:rsidR="00FB60D1" w:rsidRPr="00310FB1">
        <w:rPr>
          <w:rFonts w:ascii="Arial" w:hAnsi="Arial" w:cs="Arial"/>
          <w:sz w:val="20"/>
          <w:szCs w:val="24"/>
          <w:lang w:val="vi-VN"/>
        </w:rPr>
        <w:t>.</w:t>
      </w:r>
    </w:p>
    <w:p w14:paraId="2E902720" w14:textId="77777777" w:rsidR="00263C57" w:rsidRPr="00310FB1" w:rsidRDefault="00263C57" w:rsidP="00310FB1">
      <w:pPr>
        <w:jc w:val="both"/>
        <w:rPr>
          <w:rFonts w:ascii="Arial" w:hAnsi="Arial" w:cs="Arial"/>
          <w:i/>
          <w:color w:val="000000"/>
          <w:sz w:val="20"/>
          <w:szCs w:val="24"/>
        </w:rPr>
      </w:pPr>
      <w:r w:rsidRPr="00310FB1">
        <w:rPr>
          <w:rFonts w:ascii="Arial" w:hAnsi="Arial" w:cs="Arial"/>
          <w:i/>
          <w:color w:val="000000"/>
          <w:sz w:val="20"/>
          <w:szCs w:val="24"/>
        </w:rPr>
        <w:t>Thực tiễn triển khai tại Việt Nam</w:t>
      </w:r>
    </w:p>
    <w:p w14:paraId="27AD8A78" w14:textId="13470907" w:rsidR="00263C57" w:rsidRPr="00310FB1" w:rsidRDefault="00263C57" w:rsidP="00310FB1">
      <w:pPr>
        <w:jc w:val="both"/>
        <w:rPr>
          <w:rFonts w:ascii="Arial" w:hAnsi="Arial" w:cs="Arial"/>
          <w:color w:val="000000"/>
          <w:sz w:val="20"/>
          <w:szCs w:val="24"/>
        </w:rPr>
      </w:pPr>
      <w:r w:rsidRPr="00310FB1">
        <w:rPr>
          <w:rFonts w:ascii="Arial" w:hAnsi="Arial" w:cs="Arial"/>
          <w:color w:val="000000"/>
          <w:sz w:val="20"/>
          <w:szCs w:val="24"/>
        </w:rPr>
        <w:t>Nhận thức được vai trò và tầm quan trọng của an ninh, bảo mật trong hoạt động thanh toán điện tử, thanh toán thẻ nói riêng và hoạt động ngân hàng nói chung, trong những năm qua, Ngân hàng Nhà nước (NHNN) đã ban hành nhiều văn bản nhằm tăng cường an ninh, an toàn và bảo vệ thông tin dữ liệu, bảo vệ quyền lợi hợp pháp của khách hàng, như: Thông tư 36/2012/TT-NHNN ngày 28/12/2012 quy định an toàn hoạt động của máy giao dịch tự động; Thông tư 47/2014/TT-NHNN ngày 31/12/2014 quy định các yêu cầu kỹ thuật an toàn bảo mật trang thiết bị phục vụ thanh toán thẻ ngân hàng; Thông tư 35/2016/TT-NHNN ngày 29/12/2016 quy định về an toàn, bảo mật cho việc cấp dịch vụ ngân hàng trên Internet; Thông tư 18/2018/TT-NHNN ngày 21/8/2018 quy định về an toàn hệ thống CNTT trong hoạt động ngân hàng; Thông tư 20/2018/TT-NHNN ngày 30/8/2018 quy định về giám sát các hệ thống thanh toán,vv...  Đặc biệt, NHNN đã ban hành Quyết định công bố Bộ tiêu chuẩn cơ sở về thẻ chip nội địa (Quyết định 1928/QĐ-NHNN ngày 05/10/2018), được xây dựng theo hướng tương thích với chuẩn EMV hiện được nhiều tổ chức thẻ quốc tế khuyến nghị áp dụng nhằm đảm bảo an ninh, an toàn, bảo mật trong hoạt động thẻ ngân hàng, tạo thuận lợi cho việc gia tăng các tính năng, tiện ích cho chủ thẻ. Bên cạnh đó, NHNN cũng đang nghiên cứu ban hành lộ trình áp dụng các tiêu chuẩn quốc tế về an ninh, bảo mật như ISO 27001 cho hệ thống CNTT, chuẩn PCI DSS cho hệ thống thanh toán thẻ, các công nghệ bảo mật đa nhân tố mới thay thế các công nghệ bảo mật cũ lạc hậu không an toàn…</w:t>
      </w:r>
    </w:p>
    <w:p w14:paraId="47A5E0F5" w14:textId="77777777" w:rsidR="00263C57" w:rsidRPr="00310FB1" w:rsidRDefault="00263C57" w:rsidP="00310FB1">
      <w:pPr>
        <w:jc w:val="both"/>
        <w:rPr>
          <w:rFonts w:ascii="Arial" w:hAnsi="Arial" w:cs="Arial"/>
          <w:color w:val="000000" w:themeColor="text1"/>
          <w:sz w:val="20"/>
          <w:szCs w:val="24"/>
        </w:rPr>
      </w:pPr>
      <w:r w:rsidRPr="00310FB1">
        <w:rPr>
          <w:rFonts w:ascii="Arial" w:hAnsi="Arial" w:cs="Arial"/>
          <w:color w:val="000000"/>
          <w:sz w:val="20"/>
          <w:szCs w:val="24"/>
        </w:rPr>
        <w:t xml:space="preserve">Cùng với đó, NHNN đã tập trung triển khai một số giải pháp như: </w:t>
      </w:r>
      <w:r w:rsidRPr="00310FB1">
        <w:rPr>
          <w:rFonts w:ascii="Arial" w:hAnsi="Arial" w:cs="Arial"/>
          <w:spacing w:val="-4"/>
          <w:sz w:val="20"/>
          <w:szCs w:val="24"/>
          <w:lang w:val="nl-NL"/>
        </w:rPr>
        <w:t>Giám sát các hệ thống thanh toán đảm bảo hoạt động an toàn, hiệu quả; tăng cường công tác đảm bảo an ninh, an toàn trong thanh toán điện tử; áp dụng các tiêu chuẩn an toàn bảo mật thanh toán theo chuẩn quốc tế (PCI-DSS, Tiêu chuẩn thẻ chip nội địa...);</w:t>
      </w:r>
      <w:r w:rsidRPr="00310FB1">
        <w:rPr>
          <w:rFonts w:ascii="Arial" w:hAnsi="Arial" w:cs="Arial"/>
          <w:sz w:val="20"/>
          <w:szCs w:val="24"/>
          <w:lang w:val="nl-NL"/>
        </w:rPr>
        <w:t xml:space="preserve"> giám sát hoạt động các tổ chức cung ứng dịch vụ trung gian thanh toán đảm bảo hoạt động đúng quy định; tăng cường thanh tra, kiểm tra về an toàn, bảo mật trong thanh toán điện tử và thanh toán thẻ để đánh giá, phát hiện, cảnh báo sớm các rủi ro, xử lý các vi phạm pháp luật trong thanh toán điện tử, thanh toán thẻ; thường xuyên phối hợp với các cơ quan chức năng trong việc trao đổi thông tin, phòng, chống tội phạm trong hoạt động thanh toán thẻ, thanh toán điện tử và thông báo các phương thức, thủ đoạn mới của tội phạm trong thanh toán. </w:t>
      </w:r>
      <w:r w:rsidRPr="00310FB1">
        <w:rPr>
          <w:rFonts w:ascii="Arial" w:hAnsi="Arial" w:cs="Arial"/>
          <w:color w:val="000000" w:themeColor="text1"/>
          <w:sz w:val="20"/>
          <w:szCs w:val="24"/>
        </w:rPr>
        <w:t>Ngoài ra, NHNN cũng thường xuyên theo dõi, chỉ đạo, tăng cường kiểm tra, giám sát hoạt động thanh toán thẻ, ATM/POS và hoạt động cung ứng dịch vụ trung gian thanh toán; phát hiện, đề xuất xử lý kịp thời các vấn đề, rủi ro phát sinh, đặc biệt là tình hình dư luận được phản ánh qua các phương tiện thông tin đại chúng, góp phần đảm bảo hoạt động thanh toán thẻ, ATM/POS và hoạt động cung ứng dịch vụ trung gian thanh toán an toàn, hiệu quả, tuân thủ các quy định pháp luật cũng như góp phần giảm thiểu các sự cố gây bức xúc trong dư luận.</w:t>
      </w:r>
    </w:p>
    <w:p w14:paraId="2AA65643" w14:textId="77777777" w:rsidR="00310FB1" w:rsidRDefault="00325F5C" w:rsidP="00310FB1">
      <w:pPr>
        <w:jc w:val="both"/>
        <w:rPr>
          <w:rFonts w:ascii="Arial" w:hAnsi="Arial" w:cs="Arial"/>
          <w:color w:val="000000" w:themeColor="text1"/>
          <w:sz w:val="20"/>
          <w:szCs w:val="24"/>
        </w:rPr>
      </w:pPr>
      <w:r w:rsidRPr="00310FB1">
        <w:rPr>
          <w:rFonts w:ascii="Arial" w:hAnsi="Arial" w:cs="Arial"/>
          <w:sz w:val="20"/>
          <w:szCs w:val="24"/>
        </w:rPr>
        <w:t xml:space="preserve">Tuy nhiên, việc đảm bảo an ninh, bảo mật trong thanh toán thẻ cũng cần sự tham gia của các bên liên quan đến thanh toán thẻ, không chỉ là ngân hàng mà còn là </w:t>
      </w:r>
      <w:r w:rsidR="004B2002" w:rsidRPr="00310FB1">
        <w:rPr>
          <w:rFonts w:ascii="Arial" w:hAnsi="Arial" w:cs="Arial"/>
          <w:sz w:val="20"/>
          <w:szCs w:val="24"/>
        </w:rPr>
        <w:t xml:space="preserve">các tổ chức cung ứng dịch vụ </w:t>
      </w:r>
      <w:r w:rsidRPr="00310FB1">
        <w:rPr>
          <w:rFonts w:ascii="Arial" w:hAnsi="Arial" w:cs="Arial"/>
          <w:sz w:val="20"/>
          <w:szCs w:val="24"/>
        </w:rPr>
        <w:t xml:space="preserve">trung gian thanh toán, đơn vị </w:t>
      </w:r>
      <w:r w:rsidR="004B2002" w:rsidRPr="00310FB1">
        <w:rPr>
          <w:rFonts w:ascii="Arial" w:hAnsi="Arial" w:cs="Arial"/>
          <w:sz w:val="20"/>
          <w:szCs w:val="24"/>
        </w:rPr>
        <w:t>chấp nhận thanh toán</w:t>
      </w:r>
      <w:r w:rsidRPr="00310FB1">
        <w:rPr>
          <w:rFonts w:ascii="Arial" w:hAnsi="Arial" w:cs="Arial"/>
          <w:sz w:val="20"/>
          <w:szCs w:val="24"/>
        </w:rPr>
        <w:t>, người dùng … để tạo dựng một chu trình bảo mật khép kín đáp ứng 9 yêu cầu trên đây. C</w:t>
      </w:r>
      <w:r w:rsidR="008A20B9" w:rsidRPr="00310FB1">
        <w:rPr>
          <w:rFonts w:ascii="Arial" w:hAnsi="Arial" w:cs="Arial"/>
          <w:color w:val="000000" w:themeColor="text1"/>
          <w:sz w:val="20"/>
          <w:szCs w:val="24"/>
        </w:rPr>
        <w:t xml:space="preserve">ác phân tích, khuyến nghị tại </w:t>
      </w:r>
      <w:r w:rsidR="008A20B9" w:rsidRPr="00310FB1">
        <w:rPr>
          <w:rFonts w:ascii="Arial" w:hAnsi="Arial" w:cs="Arial"/>
          <w:color w:val="000000" w:themeColor="text1"/>
          <w:sz w:val="20"/>
          <w:szCs w:val="24"/>
        </w:rPr>
        <w:lastRenderedPageBreak/>
        <w:t xml:space="preserve">Báo cáo an ninh, bảo mật trong thanh toán thẻ 2019 của Verizon sẽ là những kinh nghiệm quý báu để chúng ta học tập, rút kinh nghiệm và hoàn thiện tốt hơn công tác an ninh, bảo mật trong </w:t>
      </w:r>
      <w:r w:rsidR="00742241" w:rsidRPr="00310FB1">
        <w:rPr>
          <w:rFonts w:ascii="Arial" w:hAnsi="Arial" w:cs="Arial"/>
          <w:color w:val="000000" w:themeColor="text1"/>
          <w:sz w:val="20"/>
          <w:szCs w:val="24"/>
        </w:rPr>
        <w:t>thanh</w:t>
      </w:r>
      <w:r w:rsidR="008A20B9" w:rsidRPr="00310FB1">
        <w:rPr>
          <w:rFonts w:ascii="Arial" w:hAnsi="Arial" w:cs="Arial"/>
          <w:color w:val="000000" w:themeColor="text1"/>
          <w:sz w:val="20"/>
          <w:szCs w:val="24"/>
        </w:rPr>
        <w:t xml:space="preserve"> toán thẻ tại Việ</w:t>
      </w:r>
      <w:r w:rsidR="00F26FBD" w:rsidRPr="00310FB1">
        <w:rPr>
          <w:rFonts w:ascii="Arial" w:hAnsi="Arial" w:cs="Arial"/>
          <w:color w:val="000000" w:themeColor="text1"/>
          <w:sz w:val="20"/>
          <w:szCs w:val="24"/>
        </w:rPr>
        <w:t>t Nam</w:t>
      </w:r>
      <w:r w:rsidR="00F62EE6" w:rsidRPr="00310FB1">
        <w:rPr>
          <w:rFonts w:ascii="Arial" w:hAnsi="Arial" w:cs="Arial"/>
          <w:color w:val="000000" w:themeColor="text1"/>
          <w:sz w:val="20"/>
          <w:szCs w:val="24"/>
        </w:rPr>
        <w:t>.</w:t>
      </w:r>
      <w:r w:rsidR="008323CD" w:rsidRPr="00310FB1">
        <w:rPr>
          <w:rFonts w:ascii="Arial" w:hAnsi="Arial" w:cs="Arial"/>
          <w:color w:val="000000" w:themeColor="text1"/>
          <w:sz w:val="20"/>
          <w:szCs w:val="24"/>
        </w:rPr>
        <w:t>/.</w:t>
      </w:r>
    </w:p>
    <w:p w14:paraId="7A3956A8" w14:textId="4A481418" w:rsidR="007E1E5D" w:rsidRPr="00310FB1" w:rsidRDefault="007E1E5D" w:rsidP="00310FB1">
      <w:pPr>
        <w:jc w:val="both"/>
        <w:rPr>
          <w:rFonts w:ascii="Arial" w:hAnsi="Arial" w:cs="Arial"/>
          <w:color w:val="000000" w:themeColor="text1"/>
          <w:sz w:val="20"/>
          <w:szCs w:val="24"/>
        </w:rPr>
      </w:pPr>
      <w:r w:rsidRPr="00310FB1">
        <w:rPr>
          <w:rFonts w:ascii="Arial" w:hAnsi="Arial" w:cs="Arial"/>
          <w:color w:val="000000" w:themeColor="text1"/>
          <w:sz w:val="20"/>
          <w:szCs w:val="24"/>
        </w:rPr>
        <w:t>VA-MĐ</w:t>
      </w:r>
    </w:p>
    <w:p w14:paraId="39742F3E" w14:textId="786D98EA" w:rsidR="007E1E5D" w:rsidRPr="00310FB1" w:rsidRDefault="007E1E5D" w:rsidP="00310FB1">
      <w:pPr>
        <w:jc w:val="both"/>
        <w:rPr>
          <w:rFonts w:ascii="Arial" w:hAnsi="Arial" w:cs="Arial"/>
          <w:i/>
          <w:color w:val="000000" w:themeColor="text1"/>
          <w:sz w:val="20"/>
          <w:szCs w:val="24"/>
        </w:rPr>
      </w:pPr>
      <w:r w:rsidRPr="00310FB1">
        <w:rPr>
          <w:rFonts w:ascii="Arial" w:hAnsi="Arial" w:cs="Arial"/>
          <w:i/>
          <w:color w:val="000000" w:themeColor="text1"/>
          <w:sz w:val="20"/>
          <w:szCs w:val="24"/>
        </w:rPr>
        <w:t>(Tổng hợp từ Báo cáo “2019 Payment Security Report” của Verizon)</w:t>
      </w:r>
    </w:p>
    <w:p w14:paraId="04BE682A" w14:textId="77777777" w:rsidR="007E1E5D" w:rsidRPr="00310FB1" w:rsidRDefault="007E1E5D" w:rsidP="00310FB1">
      <w:pPr>
        <w:jc w:val="both"/>
        <w:rPr>
          <w:rFonts w:ascii="Arial" w:hAnsi="Arial" w:cs="Arial"/>
          <w:sz w:val="20"/>
          <w:szCs w:val="24"/>
          <w:lang w:val="nl-NL"/>
        </w:rPr>
      </w:pPr>
    </w:p>
    <w:sectPr w:rsidR="007E1E5D" w:rsidRPr="00310FB1" w:rsidSect="00310F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F2F8B" w14:textId="77777777" w:rsidR="007401B1" w:rsidRDefault="007401B1" w:rsidP="008323CD">
      <w:pPr>
        <w:spacing w:after="0" w:line="240" w:lineRule="auto"/>
      </w:pPr>
      <w:r>
        <w:separator/>
      </w:r>
    </w:p>
  </w:endnote>
  <w:endnote w:type="continuationSeparator" w:id="0">
    <w:p w14:paraId="1A10832C" w14:textId="77777777" w:rsidR="007401B1" w:rsidRDefault="007401B1" w:rsidP="0083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5C7C0" w14:textId="77777777" w:rsidR="007401B1" w:rsidRDefault="007401B1" w:rsidP="008323CD">
      <w:pPr>
        <w:spacing w:after="0" w:line="240" w:lineRule="auto"/>
      </w:pPr>
      <w:r>
        <w:separator/>
      </w:r>
    </w:p>
  </w:footnote>
  <w:footnote w:type="continuationSeparator" w:id="0">
    <w:p w14:paraId="66A62C10" w14:textId="77777777" w:rsidR="007401B1" w:rsidRDefault="007401B1" w:rsidP="00832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731A4"/>
    <w:multiLevelType w:val="hybridMultilevel"/>
    <w:tmpl w:val="F456252A"/>
    <w:lvl w:ilvl="0" w:tplc="208609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C92BE8"/>
    <w:multiLevelType w:val="hybridMultilevel"/>
    <w:tmpl w:val="EB7EF7A4"/>
    <w:lvl w:ilvl="0" w:tplc="1460E6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4E"/>
    <w:rsid w:val="00032695"/>
    <w:rsid w:val="00041452"/>
    <w:rsid w:val="00086057"/>
    <w:rsid w:val="000B39DE"/>
    <w:rsid w:val="00105444"/>
    <w:rsid w:val="001118EC"/>
    <w:rsid w:val="00142006"/>
    <w:rsid w:val="00151ADE"/>
    <w:rsid w:val="00197770"/>
    <w:rsid w:val="001B5CA6"/>
    <w:rsid w:val="001D4F65"/>
    <w:rsid w:val="001E5405"/>
    <w:rsid w:val="001E69D8"/>
    <w:rsid w:val="00202B84"/>
    <w:rsid w:val="00222FD2"/>
    <w:rsid w:val="00227B5F"/>
    <w:rsid w:val="002354EA"/>
    <w:rsid w:val="00263C57"/>
    <w:rsid w:val="00267625"/>
    <w:rsid w:val="0029378B"/>
    <w:rsid w:val="002D54C4"/>
    <w:rsid w:val="00306FD2"/>
    <w:rsid w:val="00310047"/>
    <w:rsid w:val="00310FB1"/>
    <w:rsid w:val="00325F5C"/>
    <w:rsid w:val="003301D6"/>
    <w:rsid w:val="00394643"/>
    <w:rsid w:val="003D17CD"/>
    <w:rsid w:val="003D778B"/>
    <w:rsid w:val="003F1E4E"/>
    <w:rsid w:val="003F502A"/>
    <w:rsid w:val="003F7773"/>
    <w:rsid w:val="004030FC"/>
    <w:rsid w:val="004167AD"/>
    <w:rsid w:val="00420823"/>
    <w:rsid w:val="004458DC"/>
    <w:rsid w:val="00457A9D"/>
    <w:rsid w:val="004645FD"/>
    <w:rsid w:val="004827F5"/>
    <w:rsid w:val="00482CF2"/>
    <w:rsid w:val="00493BEA"/>
    <w:rsid w:val="004A6992"/>
    <w:rsid w:val="004B2002"/>
    <w:rsid w:val="004C5C41"/>
    <w:rsid w:val="004D1FD4"/>
    <w:rsid w:val="004F2039"/>
    <w:rsid w:val="005167B9"/>
    <w:rsid w:val="0058569A"/>
    <w:rsid w:val="00585F75"/>
    <w:rsid w:val="005E10E0"/>
    <w:rsid w:val="00610F9F"/>
    <w:rsid w:val="0062584E"/>
    <w:rsid w:val="00672DC1"/>
    <w:rsid w:val="006955CD"/>
    <w:rsid w:val="006A3B20"/>
    <w:rsid w:val="006D0183"/>
    <w:rsid w:val="00702EC9"/>
    <w:rsid w:val="0073538E"/>
    <w:rsid w:val="007401B1"/>
    <w:rsid w:val="00742241"/>
    <w:rsid w:val="007662FB"/>
    <w:rsid w:val="00766EBE"/>
    <w:rsid w:val="007818FA"/>
    <w:rsid w:val="00785444"/>
    <w:rsid w:val="007A2F06"/>
    <w:rsid w:val="007E1E5D"/>
    <w:rsid w:val="007E3E02"/>
    <w:rsid w:val="007F7364"/>
    <w:rsid w:val="00803287"/>
    <w:rsid w:val="00815243"/>
    <w:rsid w:val="008323CD"/>
    <w:rsid w:val="00832F6B"/>
    <w:rsid w:val="00836C1D"/>
    <w:rsid w:val="00843372"/>
    <w:rsid w:val="00845187"/>
    <w:rsid w:val="00853C24"/>
    <w:rsid w:val="00855336"/>
    <w:rsid w:val="00857CB5"/>
    <w:rsid w:val="008A136D"/>
    <w:rsid w:val="008A20B9"/>
    <w:rsid w:val="008E2A77"/>
    <w:rsid w:val="008E4091"/>
    <w:rsid w:val="009047DD"/>
    <w:rsid w:val="00951357"/>
    <w:rsid w:val="009654F4"/>
    <w:rsid w:val="00981D2F"/>
    <w:rsid w:val="009A7A36"/>
    <w:rsid w:val="009F2031"/>
    <w:rsid w:val="00A02901"/>
    <w:rsid w:val="00A03CF9"/>
    <w:rsid w:val="00A0541F"/>
    <w:rsid w:val="00A14C53"/>
    <w:rsid w:val="00A1590F"/>
    <w:rsid w:val="00A44F39"/>
    <w:rsid w:val="00A61A3A"/>
    <w:rsid w:val="00A83F81"/>
    <w:rsid w:val="00AB4213"/>
    <w:rsid w:val="00AF5721"/>
    <w:rsid w:val="00AF632A"/>
    <w:rsid w:val="00B126A3"/>
    <w:rsid w:val="00B2466C"/>
    <w:rsid w:val="00B53162"/>
    <w:rsid w:val="00C050C0"/>
    <w:rsid w:val="00C2124D"/>
    <w:rsid w:val="00C333CD"/>
    <w:rsid w:val="00C430D4"/>
    <w:rsid w:val="00C835FC"/>
    <w:rsid w:val="00CA1FFC"/>
    <w:rsid w:val="00CE22F2"/>
    <w:rsid w:val="00CE2847"/>
    <w:rsid w:val="00CF5DF7"/>
    <w:rsid w:val="00D00035"/>
    <w:rsid w:val="00D42A3A"/>
    <w:rsid w:val="00D46463"/>
    <w:rsid w:val="00D70BE8"/>
    <w:rsid w:val="00D8628C"/>
    <w:rsid w:val="00D97ADF"/>
    <w:rsid w:val="00DA4D75"/>
    <w:rsid w:val="00DB5A34"/>
    <w:rsid w:val="00DC11B8"/>
    <w:rsid w:val="00DE25EF"/>
    <w:rsid w:val="00DF3610"/>
    <w:rsid w:val="00E44E50"/>
    <w:rsid w:val="00E5472E"/>
    <w:rsid w:val="00EB36F1"/>
    <w:rsid w:val="00EB3BBC"/>
    <w:rsid w:val="00ED1903"/>
    <w:rsid w:val="00ED1BFE"/>
    <w:rsid w:val="00F0029B"/>
    <w:rsid w:val="00F03723"/>
    <w:rsid w:val="00F24D5F"/>
    <w:rsid w:val="00F26FBD"/>
    <w:rsid w:val="00F32B5A"/>
    <w:rsid w:val="00F62EE6"/>
    <w:rsid w:val="00F65270"/>
    <w:rsid w:val="00FB4A7C"/>
    <w:rsid w:val="00FB60D1"/>
    <w:rsid w:val="00FD0948"/>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F3B2"/>
  <w15:chartTrackingRefBased/>
  <w15:docId w15:val="{09CFE92A-5F0B-4615-B809-8687B642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A3"/>
    <w:pPr>
      <w:ind w:left="720"/>
      <w:contextualSpacing/>
    </w:pPr>
  </w:style>
  <w:style w:type="paragraph" w:styleId="NormalWeb">
    <w:name w:val="Normal (Web)"/>
    <w:basedOn w:val="Normal"/>
    <w:uiPriority w:val="99"/>
    <w:unhideWhenUsed/>
    <w:rsid w:val="00857CB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32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23CD"/>
    <w:rPr>
      <w:sz w:val="20"/>
      <w:szCs w:val="20"/>
    </w:rPr>
  </w:style>
  <w:style w:type="character" w:styleId="FootnoteReference">
    <w:name w:val="footnote reference"/>
    <w:basedOn w:val="DefaultParagraphFont"/>
    <w:uiPriority w:val="99"/>
    <w:semiHidden/>
    <w:unhideWhenUsed/>
    <w:rsid w:val="008323CD"/>
    <w:rPr>
      <w:vertAlign w:val="superscript"/>
    </w:rPr>
  </w:style>
  <w:style w:type="paragraph" w:customStyle="1" w:styleId="Normal1">
    <w:name w:val="Normal1"/>
    <w:rsid w:val="00032695"/>
    <w:pPr>
      <w:spacing w:after="0" w:line="240" w:lineRule="auto"/>
      <w:jc w:val="both"/>
    </w:pPr>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A03CF9"/>
    <w:rPr>
      <w:color w:val="0000FF"/>
      <w:u w:val="single"/>
    </w:rPr>
  </w:style>
  <w:style w:type="character" w:styleId="CommentReference">
    <w:name w:val="annotation reference"/>
    <w:basedOn w:val="DefaultParagraphFont"/>
    <w:uiPriority w:val="99"/>
    <w:semiHidden/>
    <w:unhideWhenUsed/>
    <w:rsid w:val="003D17CD"/>
    <w:rPr>
      <w:sz w:val="16"/>
      <w:szCs w:val="16"/>
    </w:rPr>
  </w:style>
  <w:style w:type="paragraph" w:styleId="CommentText">
    <w:name w:val="annotation text"/>
    <w:basedOn w:val="Normal"/>
    <w:link w:val="CommentTextChar"/>
    <w:uiPriority w:val="99"/>
    <w:semiHidden/>
    <w:unhideWhenUsed/>
    <w:rsid w:val="003D17CD"/>
    <w:pPr>
      <w:spacing w:line="240" w:lineRule="auto"/>
    </w:pPr>
    <w:rPr>
      <w:sz w:val="20"/>
      <w:szCs w:val="20"/>
    </w:rPr>
  </w:style>
  <w:style w:type="character" w:customStyle="1" w:styleId="CommentTextChar">
    <w:name w:val="Comment Text Char"/>
    <w:basedOn w:val="DefaultParagraphFont"/>
    <w:link w:val="CommentText"/>
    <w:uiPriority w:val="99"/>
    <w:semiHidden/>
    <w:rsid w:val="003D17CD"/>
    <w:rPr>
      <w:sz w:val="20"/>
      <w:szCs w:val="20"/>
    </w:rPr>
  </w:style>
  <w:style w:type="paragraph" w:styleId="CommentSubject">
    <w:name w:val="annotation subject"/>
    <w:basedOn w:val="CommentText"/>
    <w:next w:val="CommentText"/>
    <w:link w:val="CommentSubjectChar"/>
    <w:uiPriority w:val="99"/>
    <w:semiHidden/>
    <w:unhideWhenUsed/>
    <w:rsid w:val="003D17CD"/>
    <w:rPr>
      <w:b/>
      <w:bCs/>
    </w:rPr>
  </w:style>
  <w:style w:type="character" w:customStyle="1" w:styleId="CommentSubjectChar">
    <w:name w:val="Comment Subject Char"/>
    <w:basedOn w:val="CommentTextChar"/>
    <w:link w:val="CommentSubject"/>
    <w:uiPriority w:val="99"/>
    <w:semiHidden/>
    <w:rsid w:val="003D17CD"/>
    <w:rPr>
      <w:b/>
      <w:bCs/>
      <w:sz w:val="20"/>
      <w:szCs w:val="20"/>
    </w:rPr>
  </w:style>
  <w:style w:type="paragraph" w:styleId="BalloonText">
    <w:name w:val="Balloon Text"/>
    <w:basedOn w:val="Normal"/>
    <w:link w:val="BalloonTextChar"/>
    <w:uiPriority w:val="99"/>
    <w:semiHidden/>
    <w:unhideWhenUsed/>
    <w:rsid w:val="003D1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139376">
      <w:bodyDiv w:val="1"/>
      <w:marLeft w:val="0"/>
      <w:marRight w:val="0"/>
      <w:marTop w:val="0"/>
      <w:marBottom w:val="0"/>
      <w:divBdr>
        <w:top w:val="none" w:sz="0" w:space="0" w:color="auto"/>
        <w:left w:val="none" w:sz="0" w:space="0" w:color="auto"/>
        <w:bottom w:val="none" w:sz="0" w:space="0" w:color="auto"/>
        <w:right w:val="none" w:sz="0" w:space="0" w:color="auto"/>
      </w:divBdr>
    </w:div>
    <w:div w:id="963464074">
      <w:bodyDiv w:val="1"/>
      <w:marLeft w:val="0"/>
      <w:marRight w:val="0"/>
      <w:marTop w:val="0"/>
      <w:marBottom w:val="0"/>
      <w:divBdr>
        <w:top w:val="none" w:sz="0" w:space="0" w:color="auto"/>
        <w:left w:val="none" w:sz="0" w:space="0" w:color="auto"/>
        <w:bottom w:val="none" w:sz="0" w:space="0" w:color="auto"/>
        <w:right w:val="none" w:sz="0" w:space="0" w:color="auto"/>
      </w:divBdr>
    </w:div>
    <w:div w:id="1664354598">
      <w:bodyDiv w:val="1"/>
      <w:marLeft w:val="0"/>
      <w:marRight w:val="0"/>
      <w:marTop w:val="0"/>
      <w:marBottom w:val="0"/>
      <w:divBdr>
        <w:top w:val="none" w:sz="0" w:space="0" w:color="auto"/>
        <w:left w:val="none" w:sz="0" w:space="0" w:color="auto"/>
        <w:bottom w:val="none" w:sz="0" w:space="0" w:color="auto"/>
        <w:right w:val="none" w:sz="0" w:space="0" w:color="auto"/>
      </w:divBdr>
    </w:div>
    <w:div w:id="1741561108">
      <w:bodyDiv w:val="1"/>
      <w:marLeft w:val="0"/>
      <w:marRight w:val="0"/>
      <w:marTop w:val="0"/>
      <w:marBottom w:val="0"/>
      <w:divBdr>
        <w:top w:val="none" w:sz="0" w:space="0" w:color="auto"/>
        <w:left w:val="none" w:sz="0" w:space="0" w:color="auto"/>
        <w:bottom w:val="none" w:sz="0" w:space="0" w:color="auto"/>
        <w:right w:val="none" w:sz="0" w:space="0" w:color="auto"/>
      </w:divBdr>
    </w:div>
    <w:div w:id="2040471629">
      <w:bodyDiv w:val="1"/>
      <w:marLeft w:val="0"/>
      <w:marRight w:val="0"/>
      <w:marTop w:val="0"/>
      <w:marBottom w:val="0"/>
      <w:divBdr>
        <w:top w:val="none" w:sz="0" w:space="0" w:color="auto"/>
        <w:left w:val="none" w:sz="0" w:space="0" w:color="auto"/>
        <w:bottom w:val="none" w:sz="0" w:space="0" w:color="auto"/>
        <w:right w:val="none" w:sz="0" w:space="0" w:color="auto"/>
      </w:divBdr>
    </w:div>
    <w:div w:id="20583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mn-lt"/>
                <a:ea typeface="+mn-ea"/>
                <a:cs typeface="+mn-cs"/>
              </a:defRPr>
            </a:pPr>
            <a:r>
              <a:rPr lang="en-US" sz="1300" b="1"/>
              <a:t>Mức</a:t>
            </a:r>
            <a:r>
              <a:rPr lang="en-US" sz="1300" b="1" baseline="0"/>
              <a:t> độ tuân thủ (%) các tiêu chuẩn an ninh, bảo mật dữ liệu</a:t>
            </a:r>
            <a:endParaRPr lang="en-US" sz="1300" b="1"/>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Sheet1!$A$4</c:f>
              <c:strCache>
                <c:ptCount val="1"/>
                <c:pt idx="0">
                  <c:v>Tuân thủ</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2012</c:v>
                </c:pt>
                <c:pt idx="1">
                  <c:v>2013</c:v>
                </c:pt>
                <c:pt idx="2">
                  <c:v>2014</c:v>
                </c:pt>
                <c:pt idx="3">
                  <c:v>2015</c:v>
                </c:pt>
                <c:pt idx="4">
                  <c:v>2016</c:v>
                </c:pt>
                <c:pt idx="5">
                  <c:v>2017</c:v>
                </c:pt>
                <c:pt idx="6">
                  <c:v>2018</c:v>
                </c:pt>
              </c:numCache>
            </c:numRef>
          </c:cat>
          <c:val>
            <c:numRef>
              <c:f>Sheet1!$B$4:$H$4</c:f>
              <c:numCache>
                <c:formatCode>0.0</c:formatCode>
                <c:ptCount val="7"/>
                <c:pt idx="0" formatCode="General">
                  <c:v>11.1</c:v>
                </c:pt>
                <c:pt idx="1">
                  <c:v>20</c:v>
                </c:pt>
                <c:pt idx="2" formatCode="General">
                  <c:v>37.1</c:v>
                </c:pt>
                <c:pt idx="3" formatCode="General">
                  <c:v>48.4</c:v>
                </c:pt>
                <c:pt idx="4" formatCode="General">
                  <c:v>55.4</c:v>
                </c:pt>
                <c:pt idx="5" formatCode="General">
                  <c:v>52.5</c:v>
                </c:pt>
                <c:pt idx="6" formatCode="General">
                  <c:v>36.700000000000003</c:v>
                </c:pt>
              </c:numCache>
            </c:numRef>
          </c:val>
        </c:ser>
        <c:ser>
          <c:idx val="1"/>
          <c:order val="1"/>
          <c:tx>
            <c:strRef>
              <c:f>Sheet1!$A$5</c:f>
              <c:strCache>
                <c:ptCount val="1"/>
                <c:pt idx="0">
                  <c:v>Chưa tuân thủ</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2012</c:v>
                </c:pt>
                <c:pt idx="1">
                  <c:v>2013</c:v>
                </c:pt>
                <c:pt idx="2">
                  <c:v>2014</c:v>
                </c:pt>
                <c:pt idx="3">
                  <c:v>2015</c:v>
                </c:pt>
                <c:pt idx="4">
                  <c:v>2016</c:v>
                </c:pt>
                <c:pt idx="5">
                  <c:v>2017</c:v>
                </c:pt>
                <c:pt idx="6">
                  <c:v>2018</c:v>
                </c:pt>
              </c:numCache>
            </c:numRef>
          </c:cat>
          <c:val>
            <c:numRef>
              <c:f>Sheet1!$B$5:$H$5</c:f>
              <c:numCache>
                <c:formatCode>0</c:formatCode>
                <c:ptCount val="7"/>
                <c:pt idx="0" formatCode="General">
                  <c:v>88.9</c:v>
                </c:pt>
                <c:pt idx="1">
                  <c:v>80</c:v>
                </c:pt>
                <c:pt idx="2" formatCode="General">
                  <c:v>62.9</c:v>
                </c:pt>
                <c:pt idx="3" formatCode="General">
                  <c:v>51.6</c:v>
                </c:pt>
                <c:pt idx="4" formatCode="General">
                  <c:v>44.6</c:v>
                </c:pt>
                <c:pt idx="5" formatCode="General">
                  <c:v>47.5</c:v>
                </c:pt>
                <c:pt idx="6" formatCode="General">
                  <c:v>63.3</c:v>
                </c:pt>
              </c:numCache>
            </c:numRef>
          </c:val>
        </c:ser>
        <c:dLbls>
          <c:showLegendKey val="0"/>
          <c:showVal val="0"/>
          <c:showCatName val="0"/>
          <c:showSerName val="0"/>
          <c:showPercent val="0"/>
          <c:showBubbleSize val="0"/>
        </c:dLbls>
        <c:gapWidth val="150"/>
        <c:overlap val="100"/>
        <c:axId val="313006824"/>
        <c:axId val="313007216"/>
      </c:barChart>
      <c:catAx>
        <c:axId val="313006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007216"/>
        <c:crosses val="autoZero"/>
        <c:auto val="1"/>
        <c:lblAlgn val="ctr"/>
        <c:lblOffset val="100"/>
        <c:noMultiLvlLbl val="0"/>
      </c:catAx>
      <c:valAx>
        <c:axId val="31300721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00682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8804F-A98C-4AC7-AD52-8F0C7836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Tran Van Anh (VTTh)</cp:lastModifiedBy>
  <cp:revision>13</cp:revision>
  <dcterms:created xsi:type="dcterms:W3CDTF">2019-12-11T07:58:00Z</dcterms:created>
  <dcterms:modified xsi:type="dcterms:W3CDTF">2019-12-12T09:08:00Z</dcterms:modified>
</cp:coreProperties>
</file>