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DB7" w:rsidRPr="00B1300E" w:rsidRDefault="00E30EC7" w:rsidP="00B1300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Theo IMF, các </w:t>
      </w:r>
      <w:r w:rsidR="00196DB7" w:rsidRPr="00B1300E">
        <w:rPr>
          <w:rFonts w:ascii="Arial" w:hAnsi="Arial" w:cs="Arial"/>
          <w:sz w:val="20"/>
          <w:szCs w:val="20"/>
        </w:rPr>
        <w:t xml:space="preserve">NHTW cần </w:t>
      </w:r>
      <w:r w:rsidR="00D73CAD">
        <w:rPr>
          <w:rFonts w:ascii="Arial" w:hAnsi="Arial" w:cs="Arial"/>
          <w:sz w:val="20"/>
          <w:szCs w:val="20"/>
        </w:rPr>
        <w:t xml:space="preserve">duy trì điều hành </w:t>
      </w:r>
      <w:r w:rsidR="009A6EA6">
        <w:rPr>
          <w:rFonts w:ascii="Arial" w:hAnsi="Arial" w:cs="Arial"/>
          <w:sz w:val="20"/>
          <w:szCs w:val="20"/>
        </w:rPr>
        <w:t>chính sách tiền tệ</w:t>
      </w:r>
      <w:r w:rsidR="00D73CAD">
        <w:rPr>
          <w:rFonts w:ascii="Arial" w:hAnsi="Arial" w:cs="Arial"/>
          <w:sz w:val="20"/>
          <w:szCs w:val="20"/>
        </w:rPr>
        <w:t xml:space="preserve"> theo hướng</w:t>
      </w:r>
      <w:r w:rsidR="00D73CAD" w:rsidRPr="00B1300E">
        <w:rPr>
          <w:rFonts w:ascii="Arial" w:hAnsi="Arial" w:cs="Arial"/>
          <w:sz w:val="20"/>
          <w:szCs w:val="20"/>
        </w:rPr>
        <w:t xml:space="preserve"> hỗ trợ dòng vốn tín dụng tới </w:t>
      </w:r>
      <w:r w:rsidR="00D73CAD">
        <w:rPr>
          <w:rFonts w:ascii="Arial" w:hAnsi="Arial" w:cs="Arial"/>
          <w:sz w:val="20"/>
          <w:szCs w:val="20"/>
        </w:rPr>
        <w:t xml:space="preserve">các </w:t>
      </w:r>
      <w:r w:rsidR="00D73CAD" w:rsidRPr="00B1300E">
        <w:rPr>
          <w:rFonts w:ascii="Arial" w:hAnsi="Arial" w:cs="Arial"/>
          <w:sz w:val="20"/>
          <w:szCs w:val="20"/>
        </w:rPr>
        <w:t>đối tượng doanh nghiệp và hộ gia đình</w:t>
      </w:r>
      <w:r w:rsidR="00196DB7" w:rsidRPr="00B1300E">
        <w:rPr>
          <w:rFonts w:ascii="Arial" w:hAnsi="Arial" w:cs="Arial"/>
          <w:sz w:val="20"/>
          <w:szCs w:val="20"/>
        </w:rPr>
        <w:t xml:space="preserve"> </w:t>
      </w:r>
      <w:r w:rsidR="00FD3329">
        <w:rPr>
          <w:rFonts w:ascii="Arial" w:hAnsi="Arial" w:cs="Arial"/>
          <w:sz w:val="20"/>
          <w:szCs w:val="20"/>
        </w:rPr>
        <w:t xml:space="preserve">trong </w:t>
      </w:r>
      <w:r w:rsidR="00D73CAD">
        <w:rPr>
          <w:rFonts w:ascii="Arial" w:hAnsi="Arial" w:cs="Arial"/>
          <w:sz w:val="20"/>
          <w:szCs w:val="20"/>
        </w:rPr>
        <w:t xml:space="preserve">khi </w:t>
      </w:r>
      <w:r w:rsidR="00AB3142">
        <w:rPr>
          <w:rFonts w:ascii="Arial" w:hAnsi="Arial" w:cs="Arial"/>
          <w:sz w:val="20"/>
          <w:szCs w:val="20"/>
        </w:rPr>
        <w:t xml:space="preserve">theo đuổi </w:t>
      </w:r>
      <w:r w:rsidR="00196DB7" w:rsidRPr="00B1300E">
        <w:rPr>
          <w:rFonts w:ascii="Arial" w:hAnsi="Arial" w:cs="Arial"/>
          <w:sz w:val="20"/>
          <w:szCs w:val="20"/>
        </w:rPr>
        <w:t xml:space="preserve">mục tiêu lạm phát </w:t>
      </w:r>
      <w:r w:rsidR="00AB3142">
        <w:rPr>
          <w:rFonts w:ascii="Arial" w:hAnsi="Arial" w:cs="Arial"/>
          <w:sz w:val="20"/>
          <w:szCs w:val="20"/>
        </w:rPr>
        <w:t xml:space="preserve">và </w:t>
      </w:r>
      <w:r w:rsidR="00B1300E" w:rsidRPr="00B1300E">
        <w:rPr>
          <w:rFonts w:ascii="Arial" w:hAnsi="Arial" w:cs="Arial"/>
          <w:sz w:val="20"/>
          <w:szCs w:val="20"/>
        </w:rPr>
        <w:t xml:space="preserve">thực hiện </w:t>
      </w:r>
      <w:r w:rsidR="00196DB7" w:rsidRPr="00B1300E">
        <w:rPr>
          <w:rFonts w:ascii="Arial" w:hAnsi="Arial" w:cs="Arial"/>
          <w:sz w:val="20"/>
          <w:szCs w:val="20"/>
        </w:rPr>
        <w:t xml:space="preserve">nhiệm vụ ổn định tài chính </w:t>
      </w:r>
      <w:r w:rsidR="00784562">
        <w:rPr>
          <w:rFonts w:ascii="Arial" w:hAnsi="Arial" w:cs="Arial"/>
          <w:sz w:val="20"/>
          <w:szCs w:val="20"/>
        </w:rPr>
        <w:t xml:space="preserve">thông qua </w:t>
      </w:r>
      <w:r w:rsidR="00196DB7" w:rsidRPr="00B1300E">
        <w:rPr>
          <w:rFonts w:ascii="Arial" w:hAnsi="Arial" w:cs="Arial"/>
          <w:sz w:val="20"/>
          <w:szCs w:val="20"/>
        </w:rPr>
        <w:t>các</w:t>
      </w:r>
      <w:r w:rsidR="00784562">
        <w:rPr>
          <w:rFonts w:ascii="Arial" w:hAnsi="Arial" w:cs="Arial"/>
          <w:sz w:val="20"/>
          <w:szCs w:val="20"/>
        </w:rPr>
        <w:t xml:space="preserve"> công cụ</w:t>
      </w:r>
      <w:r w:rsidR="00AB3142">
        <w:rPr>
          <w:rFonts w:ascii="Arial" w:hAnsi="Arial" w:cs="Arial"/>
          <w:sz w:val="20"/>
          <w:szCs w:val="20"/>
        </w:rPr>
        <w:t xml:space="preserve"> cần thiết, bao gồm cả</w:t>
      </w:r>
      <w:r w:rsidR="00784562">
        <w:rPr>
          <w:rFonts w:ascii="Arial" w:hAnsi="Arial" w:cs="Arial"/>
          <w:sz w:val="20"/>
          <w:szCs w:val="20"/>
        </w:rPr>
        <w:t xml:space="preserve"> </w:t>
      </w:r>
      <w:r w:rsidR="00196DB7" w:rsidRPr="00B1300E">
        <w:rPr>
          <w:rFonts w:ascii="Arial" w:hAnsi="Arial" w:cs="Arial"/>
          <w:sz w:val="20"/>
          <w:szCs w:val="20"/>
        </w:rPr>
        <w:t xml:space="preserve">truyền thống </w:t>
      </w:r>
      <w:r w:rsidR="00784562">
        <w:rPr>
          <w:rFonts w:ascii="Arial" w:hAnsi="Arial" w:cs="Arial"/>
          <w:sz w:val="20"/>
          <w:szCs w:val="20"/>
        </w:rPr>
        <w:t xml:space="preserve">và </w:t>
      </w:r>
      <w:r w:rsidR="00196DB7" w:rsidRPr="00B1300E">
        <w:rPr>
          <w:rFonts w:ascii="Arial" w:hAnsi="Arial" w:cs="Arial"/>
          <w:sz w:val="20"/>
          <w:szCs w:val="20"/>
        </w:rPr>
        <w:t>phi truyền thống</w:t>
      </w:r>
      <w:r w:rsidR="008624D1" w:rsidRPr="00B1300E">
        <w:rPr>
          <w:rFonts w:ascii="Arial" w:hAnsi="Arial" w:cs="Arial"/>
          <w:sz w:val="20"/>
          <w:szCs w:val="20"/>
        </w:rPr>
        <w:t xml:space="preserve">. Các NHTW cũng </w:t>
      </w:r>
      <w:r w:rsidR="00AB3142">
        <w:rPr>
          <w:rFonts w:ascii="Arial" w:hAnsi="Arial" w:cs="Arial"/>
          <w:sz w:val="20"/>
          <w:szCs w:val="20"/>
        </w:rPr>
        <w:t>cầ</w:t>
      </w:r>
      <w:r w:rsidR="00D73CAD">
        <w:rPr>
          <w:rFonts w:ascii="Arial" w:hAnsi="Arial" w:cs="Arial"/>
          <w:sz w:val="20"/>
          <w:szCs w:val="20"/>
        </w:rPr>
        <w:t>n</w:t>
      </w:r>
      <w:r w:rsidR="008624D1" w:rsidRPr="00B1300E">
        <w:rPr>
          <w:rFonts w:ascii="Arial" w:hAnsi="Arial" w:cs="Arial"/>
          <w:sz w:val="20"/>
          <w:szCs w:val="20"/>
        </w:rPr>
        <w:t xml:space="preserve"> </w:t>
      </w:r>
      <w:r w:rsidR="00D73CAD">
        <w:rPr>
          <w:rFonts w:ascii="Arial" w:hAnsi="Arial" w:cs="Arial"/>
          <w:sz w:val="20"/>
          <w:szCs w:val="20"/>
        </w:rPr>
        <w:t xml:space="preserve">tiếp tục </w:t>
      </w:r>
      <w:r w:rsidR="008624D1" w:rsidRPr="00B1300E">
        <w:rPr>
          <w:rFonts w:ascii="Arial" w:hAnsi="Arial" w:cs="Arial"/>
          <w:sz w:val="20"/>
          <w:szCs w:val="20"/>
        </w:rPr>
        <w:t xml:space="preserve">cung cấp thanh khoản để ngăn chặn sự </w:t>
      </w:r>
      <w:r w:rsidR="00D73CAD">
        <w:rPr>
          <w:rFonts w:ascii="Arial" w:hAnsi="Arial" w:cs="Arial"/>
          <w:sz w:val="20"/>
          <w:szCs w:val="20"/>
        </w:rPr>
        <w:t>giảm sút</w:t>
      </w:r>
      <w:r w:rsidR="00AB3142">
        <w:rPr>
          <w:rFonts w:ascii="Arial" w:hAnsi="Arial" w:cs="Arial"/>
          <w:sz w:val="20"/>
          <w:szCs w:val="20"/>
        </w:rPr>
        <w:t xml:space="preserve"> </w:t>
      </w:r>
      <w:r w:rsidR="00D73CAD">
        <w:rPr>
          <w:rFonts w:ascii="Arial" w:hAnsi="Arial" w:cs="Arial"/>
          <w:sz w:val="20"/>
          <w:szCs w:val="20"/>
        </w:rPr>
        <w:t xml:space="preserve">trong việc </w:t>
      </w:r>
      <w:r w:rsidR="008624D1" w:rsidRPr="00B1300E">
        <w:rPr>
          <w:rFonts w:ascii="Arial" w:hAnsi="Arial" w:cs="Arial"/>
          <w:sz w:val="20"/>
          <w:szCs w:val="20"/>
        </w:rPr>
        <w:t>cấp vốn</w:t>
      </w:r>
      <w:r w:rsidR="00784562">
        <w:rPr>
          <w:rFonts w:ascii="Arial" w:hAnsi="Arial" w:cs="Arial"/>
          <w:sz w:val="20"/>
          <w:szCs w:val="20"/>
        </w:rPr>
        <w:t xml:space="preserve"> và việc </w:t>
      </w:r>
      <w:r w:rsidR="008624D1" w:rsidRPr="00B1300E">
        <w:rPr>
          <w:rFonts w:ascii="Arial" w:hAnsi="Arial" w:cs="Arial"/>
          <w:sz w:val="20"/>
          <w:szCs w:val="20"/>
        </w:rPr>
        <w:t>vận hành các khoản tiền lớ</w:t>
      </w:r>
      <w:r w:rsidR="00123F85" w:rsidRPr="00B1300E">
        <w:rPr>
          <w:rFonts w:ascii="Arial" w:hAnsi="Arial" w:cs="Arial"/>
          <w:sz w:val="20"/>
          <w:szCs w:val="20"/>
        </w:rPr>
        <w:t xml:space="preserve">n, tỷ giá hối đoái, và các thị trường chứng khoán. Cùng lúc, các NHTW cần đánh giá thận trọng thị trường nào là </w:t>
      </w:r>
      <w:r w:rsidR="00AB3142">
        <w:rPr>
          <w:rFonts w:ascii="Arial" w:hAnsi="Arial" w:cs="Arial"/>
          <w:sz w:val="20"/>
          <w:szCs w:val="20"/>
        </w:rPr>
        <w:t xml:space="preserve">có vai trò </w:t>
      </w:r>
      <w:r w:rsidR="00784562">
        <w:rPr>
          <w:rFonts w:ascii="Arial" w:hAnsi="Arial" w:cs="Arial"/>
          <w:sz w:val="20"/>
          <w:szCs w:val="20"/>
        </w:rPr>
        <w:t>then chốt</w:t>
      </w:r>
      <w:r w:rsidR="00123F85" w:rsidRPr="00B1300E">
        <w:rPr>
          <w:rFonts w:ascii="Arial" w:hAnsi="Arial" w:cs="Arial"/>
          <w:sz w:val="20"/>
          <w:szCs w:val="20"/>
        </w:rPr>
        <w:t xml:space="preserve"> </w:t>
      </w:r>
      <w:r w:rsidR="00784562">
        <w:rPr>
          <w:rFonts w:ascii="Arial" w:hAnsi="Arial" w:cs="Arial"/>
          <w:sz w:val="20"/>
          <w:szCs w:val="20"/>
        </w:rPr>
        <w:t>với việc</w:t>
      </w:r>
      <w:r w:rsidR="00123F85" w:rsidRPr="00B1300E">
        <w:rPr>
          <w:rFonts w:ascii="Arial" w:hAnsi="Arial" w:cs="Arial"/>
          <w:sz w:val="20"/>
          <w:szCs w:val="20"/>
        </w:rPr>
        <w:t xml:space="preserve"> duy trì ổn định tài chính </w:t>
      </w:r>
      <w:r w:rsidR="00784562">
        <w:rPr>
          <w:rFonts w:ascii="Arial" w:hAnsi="Arial" w:cs="Arial"/>
          <w:sz w:val="20"/>
          <w:szCs w:val="20"/>
        </w:rPr>
        <w:t>và</w:t>
      </w:r>
      <w:r w:rsidR="00123F85" w:rsidRPr="00B1300E">
        <w:rPr>
          <w:rFonts w:ascii="Arial" w:hAnsi="Arial" w:cs="Arial"/>
          <w:sz w:val="20"/>
          <w:szCs w:val="20"/>
        </w:rPr>
        <w:t xml:space="preserve"> thiết kế các chương trình hỗ trợ </w:t>
      </w:r>
      <w:r w:rsidR="00AB3142">
        <w:rPr>
          <w:rFonts w:ascii="Arial" w:hAnsi="Arial" w:cs="Arial"/>
          <w:sz w:val="20"/>
          <w:szCs w:val="20"/>
        </w:rPr>
        <w:t>nhằm</w:t>
      </w:r>
      <w:r w:rsidR="00123F85" w:rsidRPr="00B1300E">
        <w:rPr>
          <w:rFonts w:ascii="Arial" w:hAnsi="Arial" w:cs="Arial"/>
          <w:sz w:val="20"/>
          <w:szCs w:val="20"/>
        </w:rPr>
        <w:t xml:space="preserve"> giảm thiểu rủi ro đạo đức </w:t>
      </w:r>
      <w:r w:rsidR="00AB3142">
        <w:rPr>
          <w:rFonts w:ascii="Arial" w:hAnsi="Arial" w:cs="Arial"/>
          <w:sz w:val="20"/>
          <w:szCs w:val="20"/>
        </w:rPr>
        <w:t>cũng như</w:t>
      </w:r>
      <w:r w:rsidR="00123F85" w:rsidRPr="00B1300E">
        <w:rPr>
          <w:rFonts w:ascii="Arial" w:hAnsi="Arial" w:cs="Arial"/>
          <w:sz w:val="20"/>
          <w:szCs w:val="20"/>
        </w:rPr>
        <w:t xml:space="preserve"> rủi ro cho chính </w:t>
      </w:r>
      <w:r w:rsidR="00D73CAD">
        <w:rPr>
          <w:rFonts w:ascii="Arial" w:hAnsi="Arial" w:cs="Arial"/>
          <w:sz w:val="20"/>
          <w:szCs w:val="20"/>
        </w:rPr>
        <w:t>họ</w:t>
      </w:r>
      <w:r w:rsidR="00784562">
        <w:rPr>
          <w:rFonts w:ascii="Arial" w:hAnsi="Arial" w:cs="Arial"/>
          <w:sz w:val="20"/>
          <w:szCs w:val="20"/>
        </w:rPr>
        <w:t>.</w:t>
      </w:r>
    </w:p>
    <w:p w:rsidR="00123F85" w:rsidRPr="00B1300E" w:rsidRDefault="00B1300E" w:rsidP="00B1300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B1300E">
        <w:rPr>
          <w:rFonts w:ascii="Arial" w:hAnsi="Arial" w:cs="Arial"/>
          <w:sz w:val="20"/>
          <w:szCs w:val="20"/>
        </w:rPr>
        <w:t>T</w:t>
      </w:r>
      <w:r w:rsidR="00123F85" w:rsidRPr="00B1300E">
        <w:rPr>
          <w:rFonts w:ascii="Arial" w:hAnsi="Arial" w:cs="Arial"/>
          <w:sz w:val="20"/>
          <w:szCs w:val="20"/>
        </w:rPr>
        <w:t>ại các nền kinh tế thị trường mới nổi và đang phát triển</w:t>
      </w:r>
      <w:r w:rsidRPr="00B1300E">
        <w:rPr>
          <w:rFonts w:ascii="Arial" w:hAnsi="Arial" w:cs="Arial"/>
          <w:sz w:val="20"/>
          <w:szCs w:val="20"/>
        </w:rPr>
        <w:t>,</w:t>
      </w:r>
      <w:r w:rsidR="00545214">
        <w:rPr>
          <w:rFonts w:ascii="Arial" w:hAnsi="Arial" w:cs="Arial"/>
          <w:sz w:val="20"/>
          <w:szCs w:val="20"/>
        </w:rPr>
        <w:t xml:space="preserve"> các nhà điều hành cần sử dụng</w:t>
      </w:r>
      <w:r w:rsidR="00123F85" w:rsidRPr="00B1300E">
        <w:rPr>
          <w:rFonts w:ascii="Arial" w:hAnsi="Arial" w:cs="Arial"/>
          <w:sz w:val="20"/>
          <w:szCs w:val="20"/>
        </w:rPr>
        <w:t xml:space="preserve"> </w:t>
      </w:r>
      <w:r w:rsidRPr="00B1300E">
        <w:rPr>
          <w:rFonts w:ascii="Arial" w:hAnsi="Arial" w:cs="Arial"/>
          <w:sz w:val="20"/>
          <w:szCs w:val="20"/>
        </w:rPr>
        <w:t>chính sách</w:t>
      </w:r>
      <w:r w:rsidR="00123F85" w:rsidRPr="00B1300E">
        <w:rPr>
          <w:rFonts w:ascii="Arial" w:hAnsi="Arial" w:cs="Arial"/>
          <w:sz w:val="20"/>
          <w:szCs w:val="20"/>
        </w:rPr>
        <w:t xml:space="preserve"> tỷ giá linh hoạt </w:t>
      </w:r>
      <w:r w:rsidRPr="00B1300E">
        <w:rPr>
          <w:rFonts w:ascii="Arial" w:hAnsi="Arial" w:cs="Arial"/>
          <w:sz w:val="20"/>
          <w:szCs w:val="20"/>
        </w:rPr>
        <w:t xml:space="preserve">giúp </w:t>
      </w:r>
      <w:r w:rsidR="00123F85" w:rsidRPr="00B1300E">
        <w:rPr>
          <w:rFonts w:ascii="Arial" w:hAnsi="Arial" w:cs="Arial"/>
          <w:sz w:val="20"/>
          <w:szCs w:val="20"/>
        </w:rPr>
        <w:t>hấp thụ các áp lự</w:t>
      </w:r>
      <w:r w:rsidR="00545214">
        <w:rPr>
          <w:rFonts w:ascii="Arial" w:hAnsi="Arial" w:cs="Arial"/>
          <w:sz w:val="20"/>
          <w:szCs w:val="20"/>
        </w:rPr>
        <w:t>c bên ngoài</w:t>
      </w:r>
      <w:r w:rsidR="00123F85" w:rsidRPr="00B1300E">
        <w:rPr>
          <w:rFonts w:ascii="Arial" w:hAnsi="Arial" w:cs="Arial"/>
          <w:sz w:val="20"/>
          <w:szCs w:val="20"/>
        </w:rPr>
        <w:t xml:space="preserve"> tại những nơi có thể. </w:t>
      </w:r>
      <w:r w:rsidRPr="00B1300E">
        <w:rPr>
          <w:rFonts w:ascii="Arial" w:hAnsi="Arial" w:cs="Arial"/>
          <w:sz w:val="20"/>
          <w:szCs w:val="20"/>
        </w:rPr>
        <w:t>Đối với</w:t>
      </w:r>
      <w:r w:rsidR="00123F85" w:rsidRPr="00B1300E">
        <w:rPr>
          <w:rFonts w:ascii="Arial" w:hAnsi="Arial" w:cs="Arial"/>
          <w:sz w:val="20"/>
          <w:szCs w:val="20"/>
        </w:rPr>
        <w:t xml:space="preserve"> các </w:t>
      </w:r>
      <w:r w:rsidRPr="00B1300E">
        <w:rPr>
          <w:rFonts w:ascii="Arial" w:hAnsi="Arial" w:cs="Arial"/>
          <w:sz w:val="20"/>
          <w:szCs w:val="20"/>
        </w:rPr>
        <w:t>nước</w:t>
      </w:r>
      <w:r w:rsidR="00123F85" w:rsidRPr="00B1300E">
        <w:rPr>
          <w:rFonts w:ascii="Arial" w:hAnsi="Arial" w:cs="Arial"/>
          <w:sz w:val="20"/>
          <w:szCs w:val="20"/>
        </w:rPr>
        <w:t xml:space="preserve"> có dự trữ </w:t>
      </w:r>
      <w:r w:rsidRPr="00B1300E">
        <w:rPr>
          <w:rFonts w:ascii="Arial" w:hAnsi="Arial" w:cs="Arial"/>
          <w:sz w:val="20"/>
          <w:szCs w:val="20"/>
        </w:rPr>
        <w:t xml:space="preserve">ngoại tệ </w:t>
      </w:r>
      <w:r w:rsidR="00123F85" w:rsidRPr="00B1300E">
        <w:rPr>
          <w:rFonts w:ascii="Arial" w:hAnsi="Arial" w:cs="Arial"/>
          <w:sz w:val="20"/>
          <w:szCs w:val="20"/>
        </w:rPr>
        <w:t xml:space="preserve">đầy đủ, </w:t>
      </w:r>
      <w:r w:rsidRPr="00B1300E">
        <w:rPr>
          <w:rFonts w:ascii="Arial" w:hAnsi="Arial" w:cs="Arial"/>
          <w:sz w:val="20"/>
          <w:szCs w:val="20"/>
        </w:rPr>
        <w:t xml:space="preserve">việc </w:t>
      </w:r>
      <w:r w:rsidR="00123F85" w:rsidRPr="00B1300E">
        <w:rPr>
          <w:rFonts w:ascii="Arial" w:hAnsi="Arial" w:cs="Arial"/>
          <w:sz w:val="20"/>
          <w:szCs w:val="20"/>
        </w:rPr>
        <w:t xml:space="preserve">can thiệp tỷ giá có thể </w:t>
      </w:r>
      <w:r w:rsidR="00BF2CC8">
        <w:rPr>
          <w:rFonts w:ascii="Arial" w:hAnsi="Arial" w:cs="Arial"/>
          <w:sz w:val="20"/>
          <w:szCs w:val="20"/>
        </w:rPr>
        <w:t>hỗ trợ</w:t>
      </w:r>
      <w:r w:rsidR="005F66E0">
        <w:rPr>
          <w:rFonts w:ascii="Arial" w:hAnsi="Arial" w:cs="Arial"/>
          <w:sz w:val="20"/>
          <w:szCs w:val="20"/>
        </w:rPr>
        <w:t xml:space="preserve"> </w:t>
      </w:r>
      <w:r w:rsidR="00C729CD" w:rsidRPr="00B1300E">
        <w:rPr>
          <w:rFonts w:ascii="Arial" w:hAnsi="Arial" w:cs="Arial"/>
          <w:sz w:val="20"/>
          <w:szCs w:val="20"/>
        </w:rPr>
        <w:t xml:space="preserve">thanh khoản </w:t>
      </w:r>
      <w:r w:rsidR="005F66E0">
        <w:rPr>
          <w:rFonts w:ascii="Arial" w:hAnsi="Arial" w:cs="Arial"/>
          <w:sz w:val="20"/>
          <w:szCs w:val="20"/>
        </w:rPr>
        <w:t xml:space="preserve">của </w:t>
      </w:r>
      <w:r w:rsidR="00C729CD" w:rsidRPr="00B1300E">
        <w:rPr>
          <w:rFonts w:ascii="Arial" w:hAnsi="Arial" w:cs="Arial"/>
          <w:sz w:val="20"/>
          <w:szCs w:val="20"/>
        </w:rPr>
        <w:t xml:space="preserve">thị trường và </w:t>
      </w:r>
      <w:r w:rsidR="005F66E0">
        <w:rPr>
          <w:rFonts w:ascii="Arial" w:hAnsi="Arial" w:cs="Arial"/>
          <w:sz w:val="20"/>
          <w:szCs w:val="20"/>
        </w:rPr>
        <w:t>đóng vai trò</w:t>
      </w:r>
      <w:r w:rsidR="00C729CD" w:rsidRPr="00B1300E">
        <w:rPr>
          <w:rFonts w:ascii="Arial" w:hAnsi="Arial" w:cs="Arial"/>
          <w:sz w:val="20"/>
          <w:szCs w:val="20"/>
        </w:rPr>
        <w:t xml:space="preserve"> giảm </w:t>
      </w:r>
      <w:r w:rsidR="005F66E0">
        <w:rPr>
          <w:rFonts w:ascii="Arial" w:hAnsi="Arial" w:cs="Arial"/>
          <w:sz w:val="20"/>
          <w:szCs w:val="20"/>
        </w:rPr>
        <w:t xml:space="preserve">bớt </w:t>
      </w:r>
      <w:r w:rsidR="00C729CD" w:rsidRPr="00B1300E">
        <w:rPr>
          <w:rFonts w:ascii="Arial" w:hAnsi="Arial" w:cs="Arial"/>
          <w:sz w:val="20"/>
          <w:szCs w:val="20"/>
        </w:rPr>
        <w:t>những biến động quá mức của các thị trường tiền tệ. Đối mặt với một cuộc khủng hoảng sắp diễn ra, các biện pháp quản lý dòng vốn</w:t>
      </w:r>
      <w:r w:rsidR="00132B23" w:rsidRPr="00B1300E">
        <w:rPr>
          <w:rFonts w:ascii="Arial" w:hAnsi="Arial" w:cs="Arial"/>
          <w:sz w:val="20"/>
          <w:szCs w:val="20"/>
        </w:rPr>
        <w:t xml:space="preserve"> ra</w:t>
      </w:r>
      <w:r w:rsidR="00C729CD" w:rsidRPr="00B1300E">
        <w:rPr>
          <w:rFonts w:ascii="Arial" w:hAnsi="Arial" w:cs="Arial"/>
          <w:sz w:val="20"/>
          <w:szCs w:val="20"/>
        </w:rPr>
        <w:t xml:space="preserve"> có thể là </w:t>
      </w:r>
      <w:r w:rsidR="005F66E0">
        <w:rPr>
          <w:rFonts w:ascii="Arial" w:hAnsi="Arial" w:cs="Arial"/>
          <w:sz w:val="20"/>
          <w:szCs w:val="20"/>
        </w:rPr>
        <w:t xml:space="preserve">được xem như </w:t>
      </w:r>
      <w:r w:rsidR="00C729CD" w:rsidRPr="00B1300E">
        <w:rPr>
          <w:rFonts w:ascii="Arial" w:hAnsi="Arial" w:cs="Arial"/>
          <w:sz w:val="20"/>
          <w:szCs w:val="20"/>
        </w:rPr>
        <w:t>một phầ</w:t>
      </w:r>
      <w:r w:rsidR="005F66E0">
        <w:rPr>
          <w:rFonts w:ascii="Arial" w:hAnsi="Arial" w:cs="Arial"/>
          <w:sz w:val="20"/>
          <w:szCs w:val="20"/>
        </w:rPr>
        <w:t xml:space="preserve">n </w:t>
      </w:r>
      <w:r w:rsidR="00BF2CC8">
        <w:rPr>
          <w:rFonts w:ascii="Arial" w:hAnsi="Arial" w:cs="Arial"/>
          <w:sz w:val="20"/>
          <w:szCs w:val="20"/>
        </w:rPr>
        <w:t>của</w:t>
      </w:r>
      <w:r w:rsidR="005F66E0">
        <w:rPr>
          <w:rFonts w:ascii="Arial" w:hAnsi="Arial" w:cs="Arial"/>
          <w:sz w:val="20"/>
          <w:szCs w:val="20"/>
        </w:rPr>
        <w:t xml:space="preserve"> </w:t>
      </w:r>
      <w:r w:rsidR="00C729CD" w:rsidRPr="00B1300E">
        <w:rPr>
          <w:rFonts w:ascii="Arial" w:hAnsi="Arial" w:cs="Arial"/>
          <w:sz w:val="20"/>
          <w:szCs w:val="20"/>
        </w:rPr>
        <w:t xml:space="preserve">gói chính sách </w:t>
      </w:r>
      <w:r w:rsidR="005F66E0">
        <w:rPr>
          <w:rFonts w:ascii="Arial" w:hAnsi="Arial" w:cs="Arial"/>
          <w:sz w:val="20"/>
          <w:szCs w:val="20"/>
        </w:rPr>
        <w:t>lớn</w:t>
      </w:r>
      <w:r w:rsidR="00BF2CC8">
        <w:rPr>
          <w:rFonts w:ascii="Arial" w:hAnsi="Arial" w:cs="Arial"/>
          <w:sz w:val="20"/>
          <w:szCs w:val="20"/>
        </w:rPr>
        <w:t>. Tuy nhiên, các biện pháp này</w:t>
      </w:r>
      <w:r w:rsidR="00C729CD" w:rsidRPr="00B1300E">
        <w:rPr>
          <w:rFonts w:ascii="Arial" w:hAnsi="Arial" w:cs="Arial"/>
          <w:sz w:val="20"/>
          <w:szCs w:val="20"/>
        </w:rPr>
        <w:t xml:space="preserve"> </w:t>
      </w:r>
      <w:r w:rsidR="00D21011">
        <w:rPr>
          <w:rFonts w:ascii="Arial" w:hAnsi="Arial" w:cs="Arial"/>
          <w:sz w:val="20"/>
          <w:szCs w:val="20"/>
        </w:rPr>
        <w:t xml:space="preserve">cần được triển khai </w:t>
      </w:r>
      <w:r w:rsidR="00132B23" w:rsidRPr="00B1300E">
        <w:rPr>
          <w:rFonts w:ascii="Arial" w:hAnsi="Arial" w:cs="Arial"/>
          <w:sz w:val="20"/>
          <w:szCs w:val="20"/>
        </w:rPr>
        <w:t>mộ</w:t>
      </w:r>
      <w:r w:rsidR="00D21011">
        <w:rPr>
          <w:rFonts w:ascii="Arial" w:hAnsi="Arial" w:cs="Arial"/>
          <w:sz w:val="20"/>
          <w:szCs w:val="20"/>
        </w:rPr>
        <w:t xml:space="preserve">t cách </w:t>
      </w:r>
      <w:r w:rsidR="00132B23" w:rsidRPr="00B1300E">
        <w:rPr>
          <w:rFonts w:ascii="Arial" w:hAnsi="Arial" w:cs="Arial"/>
          <w:sz w:val="20"/>
          <w:szCs w:val="20"/>
        </w:rPr>
        <w:t>minh bạch</w:t>
      </w:r>
      <w:r w:rsidR="00D21011">
        <w:rPr>
          <w:rFonts w:ascii="Arial" w:hAnsi="Arial" w:cs="Arial"/>
          <w:sz w:val="20"/>
          <w:szCs w:val="20"/>
        </w:rPr>
        <w:t>;</w:t>
      </w:r>
      <w:r w:rsidR="00132B23" w:rsidRPr="00B1300E">
        <w:rPr>
          <w:rFonts w:ascii="Arial" w:hAnsi="Arial" w:cs="Arial"/>
          <w:sz w:val="20"/>
          <w:szCs w:val="20"/>
        </w:rPr>
        <w:t xml:space="preserve"> </w:t>
      </w:r>
      <w:r w:rsidR="00BF2CC8">
        <w:rPr>
          <w:rFonts w:ascii="Arial" w:hAnsi="Arial" w:cs="Arial"/>
          <w:sz w:val="20"/>
          <w:szCs w:val="20"/>
        </w:rPr>
        <w:t>có</w:t>
      </w:r>
      <w:r w:rsidR="00D21011">
        <w:rPr>
          <w:rFonts w:ascii="Arial" w:hAnsi="Arial" w:cs="Arial"/>
          <w:sz w:val="20"/>
          <w:szCs w:val="20"/>
        </w:rPr>
        <w:t xml:space="preserve"> tính tạm thời </w:t>
      </w:r>
      <w:r w:rsidR="00132B23" w:rsidRPr="00B1300E">
        <w:rPr>
          <w:rFonts w:ascii="Arial" w:hAnsi="Arial" w:cs="Arial"/>
          <w:sz w:val="20"/>
          <w:szCs w:val="20"/>
        </w:rPr>
        <w:t xml:space="preserve">và </w:t>
      </w:r>
      <w:r w:rsidR="00BF2CC8">
        <w:rPr>
          <w:rFonts w:ascii="Arial" w:hAnsi="Arial" w:cs="Arial"/>
          <w:sz w:val="20"/>
          <w:szCs w:val="20"/>
        </w:rPr>
        <w:t xml:space="preserve">cần </w:t>
      </w:r>
      <w:r w:rsidR="00132B23" w:rsidRPr="00B1300E">
        <w:rPr>
          <w:rFonts w:ascii="Arial" w:hAnsi="Arial" w:cs="Arial"/>
          <w:sz w:val="20"/>
          <w:szCs w:val="20"/>
        </w:rPr>
        <w:t xml:space="preserve">được dỡ bỏ </w:t>
      </w:r>
      <w:r w:rsidR="00D21011">
        <w:rPr>
          <w:rFonts w:ascii="Arial" w:hAnsi="Arial" w:cs="Arial"/>
          <w:sz w:val="20"/>
          <w:szCs w:val="20"/>
        </w:rPr>
        <w:t xml:space="preserve">ngay </w:t>
      </w:r>
      <w:r w:rsidR="00132B23" w:rsidRPr="00B1300E">
        <w:rPr>
          <w:rFonts w:ascii="Arial" w:hAnsi="Arial" w:cs="Arial"/>
          <w:sz w:val="20"/>
          <w:szCs w:val="20"/>
        </w:rPr>
        <w:t xml:space="preserve">khi mức độ khủng hoảng giảm bớt. </w:t>
      </w:r>
      <w:r w:rsidR="00D21011">
        <w:rPr>
          <w:rFonts w:ascii="Arial" w:hAnsi="Arial" w:cs="Arial"/>
          <w:sz w:val="20"/>
          <w:szCs w:val="20"/>
        </w:rPr>
        <w:t>Đối với vấn đề nợ công, c</w:t>
      </w:r>
      <w:r w:rsidR="00132B23" w:rsidRPr="00B1300E">
        <w:rPr>
          <w:rFonts w:ascii="Arial" w:hAnsi="Arial" w:cs="Arial"/>
          <w:sz w:val="20"/>
          <w:szCs w:val="20"/>
        </w:rPr>
        <w:t xml:space="preserve">ác nhà </w:t>
      </w:r>
      <w:r w:rsidR="00D21011">
        <w:rPr>
          <w:rFonts w:ascii="Arial" w:hAnsi="Arial" w:cs="Arial"/>
          <w:sz w:val="20"/>
          <w:szCs w:val="20"/>
        </w:rPr>
        <w:t>q</w:t>
      </w:r>
      <w:r w:rsidR="00132B23" w:rsidRPr="00B1300E">
        <w:rPr>
          <w:rFonts w:ascii="Arial" w:hAnsi="Arial" w:cs="Arial"/>
          <w:sz w:val="20"/>
          <w:szCs w:val="20"/>
        </w:rPr>
        <w:t xml:space="preserve">uản lý cần </w:t>
      </w:r>
      <w:r w:rsidR="00BF2CC8">
        <w:rPr>
          <w:rFonts w:ascii="Arial" w:hAnsi="Arial" w:cs="Arial"/>
          <w:sz w:val="20"/>
          <w:szCs w:val="20"/>
        </w:rPr>
        <w:t>xây dựng</w:t>
      </w:r>
      <w:r w:rsidR="00132B23" w:rsidRPr="00B1300E">
        <w:rPr>
          <w:rFonts w:ascii="Arial" w:hAnsi="Arial" w:cs="Arial"/>
          <w:sz w:val="20"/>
          <w:szCs w:val="20"/>
        </w:rPr>
        <w:t xml:space="preserve"> các kế hoạch khả thi </w:t>
      </w:r>
      <w:r w:rsidR="00BF2CC8">
        <w:rPr>
          <w:rFonts w:ascii="Arial" w:hAnsi="Arial" w:cs="Arial"/>
          <w:sz w:val="20"/>
          <w:szCs w:val="20"/>
        </w:rPr>
        <w:t>nhằm</w:t>
      </w:r>
      <w:r w:rsidR="00132B23" w:rsidRPr="00B1300E">
        <w:rPr>
          <w:rFonts w:ascii="Arial" w:hAnsi="Arial" w:cs="Arial"/>
          <w:sz w:val="20"/>
          <w:szCs w:val="20"/>
        </w:rPr>
        <w:t xml:space="preserve"> đối phó vớ</w:t>
      </w:r>
      <w:r w:rsidR="00D21011">
        <w:rPr>
          <w:rFonts w:ascii="Arial" w:hAnsi="Arial" w:cs="Arial"/>
          <w:sz w:val="20"/>
          <w:szCs w:val="20"/>
        </w:rPr>
        <w:t xml:space="preserve">i </w:t>
      </w:r>
      <w:r w:rsidR="00BF2CC8">
        <w:rPr>
          <w:rFonts w:ascii="Arial" w:hAnsi="Arial" w:cs="Arial"/>
          <w:sz w:val="20"/>
          <w:szCs w:val="20"/>
        </w:rPr>
        <w:t xml:space="preserve">việc có thể bị </w:t>
      </w:r>
      <w:r w:rsidR="00132B23" w:rsidRPr="00B1300E">
        <w:rPr>
          <w:rFonts w:ascii="Arial" w:hAnsi="Arial" w:cs="Arial"/>
          <w:sz w:val="20"/>
          <w:szCs w:val="20"/>
        </w:rPr>
        <w:t>hạn chế</w:t>
      </w:r>
      <w:r w:rsidR="00D21011">
        <w:rPr>
          <w:rFonts w:ascii="Arial" w:hAnsi="Arial" w:cs="Arial"/>
          <w:sz w:val="20"/>
          <w:szCs w:val="20"/>
        </w:rPr>
        <w:t xml:space="preserve"> </w:t>
      </w:r>
      <w:r w:rsidR="00132B23" w:rsidRPr="00B1300E">
        <w:rPr>
          <w:rFonts w:ascii="Arial" w:hAnsi="Arial" w:cs="Arial"/>
          <w:sz w:val="20"/>
          <w:szCs w:val="20"/>
        </w:rPr>
        <w:t>tiếp cận các thị trường</w:t>
      </w:r>
      <w:r w:rsidR="00D21011">
        <w:rPr>
          <w:rFonts w:ascii="Arial" w:hAnsi="Arial" w:cs="Arial"/>
          <w:sz w:val="20"/>
          <w:szCs w:val="20"/>
        </w:rPr>
        <w:t xml:space="preserve"> cấp</w:t>
      </w:r>
      <w:r w:rsidR="00132B23" w:rsidRPr="00B1300E">
        <w:rPr>
          <w:rFonts w:ascii="Arial" w:hAnsi="Arial" w:cs="Arial"/>
          <w:sz w:val="20"/>
          <w:szCs w:val="20"/>
        </w:rPr>
        <w:t xml:space="preserve"> vốn bên ngoài trong một giai đoạn dài</w:t>
      </w:r>
      <w:r w:rsidR="000063C0" w:rsidRPr="00B1300E">
        <w:rPr>
          <w:rFonts w:ascii="Arial" w:hAnsi="Arial" w:cs="Arial"/>
          <w:sz w:val="20"/>
          <w:szCs w:val="20"/>
        </w:rPr>
        <w:t>.</w:t>
      </w:r>
    </w:p>
    <w:p w:rsidR="000063C0" w:rsidRPr="00B1300E" w:rsidRDefault="00BF2CC8" w:rsidP="00B1300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Đối với hệ thống ngân hàng, c</w:t>
      </w:r>
      <w:r w:rsidR="0039166A" w:rsidRPr="00B1300E">
        <w:rPr>
          <w:rFonts w:ascii="Arial" w:hAnsi="Arial" w:cs="Arial"/>
          <w:sz w:val="20"/>
          <w:szCs w:val="20"/>
        </w:rPr>
        <w:t xml:space="preserve">ác nguồn dự phòng vốn, </w:t>
      </w:r>
      <w:r w:rsidR="00682FE6">
        <w:rPr>
          <w:rFonts w:ascii="Arial" w:hAnsi="Arial" w:cs="Arial"/>
          <w:sz w:val="20"/>
          <w:szCs w:val="20"/>
        </w:rPr>
        <w:t xml:space="preserve">dự phòng </w:t>
      </w:r>
      <w:r w:rsidR="0039166A" w:rsidRPr="00B1300E">
        <w:rPr>
          <w:rFonts w:ascii="Arial" w:hAnsi="Arial" w:cs="Arial"/>
          <w:sz w:val="20"/>
          <w:szCs w:val="20"/>
        </w:rPr>
        <w:t>thanh khoản và dự phòng an toàn vĩ mô cần được sử dụng để hấp thụ</w:t>
      </w:r>
      <w:r>
        <w:rPr>
          <w:rFonts w:ascii="Arial" w:hAnsi="Arial" w:cs="Arial"/>
          <w:sz w:val="20"/>
          <w:szCs w:val="20"/>
        </w:rPr>
        <w:t xml:space="preserve"> các </w:t>
      </w:r>
      <w:r w:rsidR="0039166A" w:rsidRPr="00B1300E">
        <w:rPr>
          <w:rFonts w:ascii="Arial" w:hAnsi="Arial" w:cs="Arial"/>
          <w:sz w:val="20"/>
          <w:szCs w:val="20"/>
        </w:rPr>
        <w:t xml:space="preserve">thiệt hại </w:t>
      </w:r>
      <w:r>
        <w:rPr>
          <w:rFonts w:ascii="Arial" w:hAnsi="Arial" w:cs="Arial"/>
          <w:sz w:val="20"/>
          <w:szCs w:val="20"/>
        </w:rPr>
        <w:t xml:space="preserve">cũng như </w:t>
      </w:r>
      <w:r w:rsidR="00682FE6">
        <w:rPr>
          <w:rFonts w:ascii="Arial" w:hAnsi="Arial" w:cs="Arial"/>
          <w:sz w:val="20"/>
          <w:szCs w:val="20"/>
        </w:rPr>
        <w:t>giải quyết</w:t>
      </w:r>
      <w:r w:rsidR="0039166A" w:rsidRPr="00B1300E">
        <w:rPr>
          <w:rFonts w:ascii="Arial" w:hAnsi="Arial" w:cs="Arial"/>
          <w:sz w:val="20"/>
          <w:szCs w:val="20"/>
        </w:rPr>
        <w:t xml:space="preserve"> </w:t>
      </w:r>
      <w:r w:rsidR="00682FE6">
        <w:rPr>
          <w:rFonts w:ascii="Arial" w:hAnsi="Arial" w:cs="Arial"/>
          <w:sz w:val="20"/>
          <w:szCs w:val="20"/>
        </w:rPr>
        <w:t>những</w:t>
      </w:r>
      <w:r w:rsidR="0039166A" w:rsidRPr="00B1300E">
        <w:rPr>
          <w:rFonts w:ascii="Arial" w:hAnsi="Arial" w:cs="Arial"/>
          <w:sz w:val="20"/>
          <w:szCs w:val="20"/>
        </w:rPr>
        <w:t xml:space="preserve"> căng th</w:t>
      </w:r>
      <w:r w:rsidR="00682FE6">
        <w:rPr>
          <w:rFonts w:ascii="Arial" w:hAnsi="Arial" w:cs="Arial"/>
          <w:sz w:val="20"/>
          <w:szCs w:val="20"/>
        </w:rPr>
        <w:t>ẳ</w:t>
      </w:r>
      <w:r w:rsidR="0039166A" w:rsidRPr="00B1300E">
        <w:rPr>
          <w:rFonts w:ascii="Arial" w:hAnsi="Arial" w:cs="Arial"/>
          <w:sz w:val="20"/>
          <w:szCs w:val="20"/>
        </w:rPr>
        <w:t>ng thanh khoản và</w:t>
      </w:r>
      <w:r w:rsidR="00682FE6">
        <w:rPr>
          <w:rFonts w:ascii="Arial" w:hAnsi="Arial" w:cs="Arial"/>
          <w:sz w:val="20"/>
          <w:szCs w:val="20"/>
        </w:rPr>
        <w:t xml:space="preserve"> giúp</w:t>
      </w:r>
      <w:r w:rsidR="0039166A" w:rsidRPr="00B1300E">
        <w:rPr>
          <w:rFonts w:ascii="Arial" w:hAnsi="Arial" w:cs="Arial"/>
          <w:sz w:val="20"/>
          <w:szCs w:val="20"/>
        </w:rPr>
        <w:t xml:space="preserve"> hỗ trợ cho vay nền kinh tế. Các ngân hàng nên dừng thanh toán cổ tức và </w:t>
      </w:r>
      <w:r>
        <w:rPr>
          <w:rFonts w:ascii="Arial" w:hAnsi="Arial" w:cs="Arial"/>
          <w:sz w:val="20"/>
          <w:szCs w:val="20"/>
        </w:rPr>
        <w:t xml:space="preserve">dừng </w:t>
      </w:r>
      <w:r w:rsidR="0039166A" w:rsidRPr="00B1300E">
        <w:rPr>
          <w:rFonts w:ascii="Arial" w:hAnsi="Arial" w:cs="Arial"/>
          <w:sz w:val="20"/>
          <w:szCs w:val="20"/>
        </w:rPr>
        <w:t xml:space="preserve">hoạt động mua lại cổ phần trong khi khủng hoảng </w:t>
      </w:r>
      <w:r w:rsidR="000855AC" w:rsidRPr="00B1300E">
        <w:rPr>
          <w:rFonts w:ascii="Arial" w:hAnsi="Arial" w:cs="Arial"/>
          <w:sz w:val="20"/>
          <w:szCs w:val="20"/>
        </w:rPr>
        <w:t>đang tiếp diễn để hỗ trợ dự phòng vốn. Trong trường hợp các ngân hàng đối mặt với những cú</w:t>
      </w:r>
      <w:r w:rsidR="000855AC" w:rsidRPr="00167EEA">
        <w:rPr>
          <w:rFonts w:ascii="Arial" w:hAnsi="Arial" w:cs="Arial"/>
          <w:i/>
          <w:sz w:val="20"/>
          <w:szCs w:val="20"/>
        </w:rPr>
        <w:t xml:space="preserve"> shock</w:t>
      </w:r>
      <w:r w:rsidR="000855AC" w:rsidRPr="00B1300E">
        <w:rPr>
          <w:rFonts w:ascii="Arial" w:hAnsi="Arial" w:cs="Arial"/>
          <w:sz w:val="20"/>
          <w:szCs w:val="20"/>
        </w:rPr>
        <w:t xml:space="preserve"> ở quy mô lớn và kéo dài, </w:t>
      </w:r>
      <w:r w:rsidR="004C0D0B" w:rsidRPr="00B1300E">
        <w:rPr>
          <w:rFonts w:ascii="Arial" w:hAnsi="Arial" w:cs="Arial"/>
          <w:sz w:val="20"/>
          <w:szCs w:val="20"/>
        </w:rPr>
        <w:t xml:space="preserve">và </w:t>
      </w:r>
      <w:r w:rsidR="00F21BAC">
        <w:rPr>
          <w:rFonts w:ascii="Arial" w:hAnsi="Arial" w:cs="Arial"/>
          <w:sz w:val="20"/>
          <w:szCs w:val="20"/>
        </w:rPr>
        <w:t>tại</w:t>
      </w:r>
      <w:r w:rsidR="004C0D0B" w:rsidRPr="00B1300E">
        <w:rPr>
          <w:rFonts w:ascii="Arial" w:hAnsi="Arial" w:cs="Arial"/>
          <w:sz w:val="20"/>
          <w:szCs w:val="20"/>
        </w:rPr>
        <w:t xml:space="preserve"> những nơi vốn </w:t>
      </w:r>
      <w:r w:rsidR="00682FE6">
        <w:rPr>
          <w:rFonts w:ascii="Arial" w:hAnsi="Arial" w:cs="Arial"/>
          <w:sz w:val="20"/>
          <w:szCs w:val="20"/>
        </w:rPr>
        <w:t xml:space="preserve">chủ sở hữu </w:t>
      </w:r>
      <w:r w:rsidR="004C0D0B" w:rsidRPr="00B1300E">
        <w:rPr>
          <w:rFonts w:ascii="Arial" w:hAnsi="Arial" w:cs="Arial"/>
          <w:sz w:val="20"/>
          <w:szCs w:val="20"/>
        </w:rPr>
        <w:t xml:space="preserve">ngân hàng bị </w:t>
      </w:r>
      <w:r w:rsidR="00F21BAC">
        <w:rPr>
          <w:rFonts w:ascii="Arial" w:hAnsi="Arial" w:cs="Arial"/>
          <w:sz w:val="20"/>
          <w:szCs w:val="20"/>
        </w:rPr>
        <w:t>ảnh hưởng</w:t>
      </w:r>
      <w:r w:rsidR="004C0D0B" w:rsidRPr="00B1300E">
        <w:rPr>
          <w:rFonts w:ascii="Arial" w:hAnsi="Arial" w:cs="Arial"/>
          <w:sz w:val="20"/>
          <w:szCs w:val="20"/>
        </w:rPr>
        <w:t>,</w:t>
      </w:r>
      <w:r w:rsidR="00F21BAC">
        <w:rPr>
          <w:rFonts w:ascii="Arial" w:hAnsi="Arial" w:cs="Arial"/>
          <w:sz w:val="20"/>
          <w:szCs w:val="20"/>
        </w:rPr>
        <w:t xml:space="preserve"> cơ quan</w:t>
      </w:r>
      <w:r w:rsidR="004C0D0B" w:rsidRPr="00B1300E">
        <w:rPr>
          <w:rFonts w:ascii="Arial" w:hAnsi="Arial" w:cs="Arial"/>
          <w:sz w:val="20"/>
          <w:szCs w:val="20"/>
        </w:rPr>
        <w:t xml:space="preserve"> </w:t>
      </w:r>
      <w:r w:rsidR="00B56672">
        <w:rPr>
          <w:rFonts w:ascii="Arial" w:hAnsi="Arial" w:cs="Arial"/>
          <w:sz w:val="20"/>
          <w:szCs w:val="20"/>
        </w:rPr>
        <w:t xml:space="preserve">thanh tra, giám sát cần có các </w:t>
      </w:r>
      <w:r w:rsidR="004C0D0B" w:rsidRPr="00B1300E">
        <w:rPr>
          <w:rFonts w:ascii="Arial" w:hAnsi="Arial" w:cs="Arial"/>
          <w:sz w:val="20"/>
          <w:szCs w:val="20"/>
        </w:rPr>
        <w:t xml:space="preserve">hành động mục tiêu, bao gồm yêu cầu các ngân hàng </w:t>
      </w:r>
      <w:r w:rsidR="00B56672">
        <w:rPr>
          <w:rFonts w:ascii="Arial" w:hAnsi="Arial" w:cs="Arial"/>
          <w:sz w:val="20"/>
          <w:szCs w:val="20"/>
        </w:rPr>
        <w:t>xây dựng và trình</w:t>
      </w:r>
      <w:r w:rsidR="004C0D0B" w:rsidRPr="00B1300E">
        <w:rPr>
          <w:rFonts w:ascii="Arial" w:hAnsi="Arial" w:cs="Arial"/>
          <w:sz w:val="20"/>
          <w:szCs w:val="20"/>
        </w:rPr>
        <w:t xml:space="preserve"> kế hoạch phục hồi vốn khả thi. Trong suốt quá trình</w:t>
      </w:r>
      <w:r w:rsidR="00B56672">
        <w:rPr>
          <w:rFonts w:ascii="Arial" w:hAnsi="Arial" w:cs="Arial"/>
          <w:sz w:val="20"/>
          <w:szCs w:val="20"/>
        </w:rPr>
        <w:t xml:space="preserve"> này</w:t>
      </w:r>
      <w:r w:rsidR="004C0D0B" w:rsidRPr="00B1300E">
        <w:rPr>
          <w:rFonts w:ascii="Arial" w:hAnsi="Arial" w:cs="Arial"/>
          <w:sz w:val="20"/>
          <w:szCs w:val="20"/>
        </w:rPr>
        <w:t xml:space="preserve">, </w:t>
      </w:r>
      <w:r w:rsidR="00B56672">
        <w:rPr>
          <w:rFonts w:ascii="Arial" w:hAnsi="Arial" w:cs="Arial"/>
          <w:sz w:val="20"/>
          <w:szCs w:val="20"/>
        </w:rPr>
        <w:t xml:space="preserve">việc minh bạch hóa thông tin về các rủi ro cùng các </w:t>
      </w:r>
      <w:r w:rsidR="004C0D0B" w:rsidRPr="00B1300E">
        <w:rPr>
          <w:rFonts w:ascii="Arial" w:hAnsi="Arial" w:cs="Arial"/>
          <w:sz w:val="20"/>
          <w:szCs w:val="20"/>
        </w:rPr>
        <w:t xml:space="preserve">chỉ dẫn rõ ràng từ </w:t>
      </w:r>
      <w:r w:rsidR="00B56672">
        <w:rPr>
          <w:rFonts w:ascii="Arial" w:hAnsi="Arial" w:cs="Arial"/>
          <w:sz w:val="20"/>
          <w:szCs w:val="20"/>
        </w:rPr>
        <w:t xml:space="preserve">phía </w:t>
      </w:r>
      <w:r w:rsidR="00F21BAC">
        <w:rPr>
          <w:rFonts w:ascii="Arial" w:hAnsi="Arial" w:cs="Arial"/>
          <w:sz w:val="20"/>
          <w:szCs w:val="20"/>
        </w:rPr>
        <w:t xml:space="preserve">cơ quan </w:t>
      </w:r>
      <w:r w:rsidR="00B56672">
        <w:rPr>
          <w:rFonts w:ascii="Arial" w:hAnsi="Arial" w:cs="Arial"/>
          <w:sz w:val="20"/>
          <w:szCs w:val="20"/>
        </w:rPr>
        <w:t>thanh tra, giám sát là rất quan trọng</w:t>
      </w:r>
      <w:r w:rsidR="004C0D0B" w:rsidRPr="00B1300E">
        <w:rPr>
          <w:rFonts w:ascii="Arial" w:hAnsi="Arial" w:cs="Arial"/>
          <w:sz w:val="20"/>
          <w:szCs w:val="20"/>
        </w:rPr>
        <w:t>.</w:t>
      </w:r>
    </w:p>
    <w:p w:rsidR="004C0D0B" w:rsidRPr="00B1300E" w:rsidRDefault="00AC1036" w:rsidP="00B1300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Trong lĩnh vực bảo hiểm, </w:t>
      </w:r>
      <w:r w:rsidR="00E97D34">
        <w:rPr>
          <w:rFonts w:ascii="Arial" w:hAnsi="Arial" w:cs="Arial"/>
          <w:sz w:val="20"/>
          <w:szCs w:val="20"/>
        </w:rPr>
        <w:t>cơ quan</w:t>
      </w:r>
      <w:r w:rsidR="004C0D0B" w:rsidRPr="00B1300E">
        <w:rPr>
          <w:rFonts w:ascii="Arial" w:hAnsi="Arial" w:cs="Arial"/>
          <w:sz w:val="20"/>
          <w:szCs w:val="20"/>
        </w:rPr>
        <w:t xml:space="preserve"> quả</w:t>
      </w:r>
      <w:r w:rsidR="00AB3142">
        <w:rPr>
          <w:rFonts w:ascii="Arial" w:hAnsi="Arial" w:cs="Arial"/>
          <w:sz w:val="20"/>
          <w:szCs w:val="20"/>
        </w:rPr>
        <w:t>n lý</w:t>
      </w:r>
      <w:r w:rsidR="004C0D0B" w:rsidRPr="00B130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tại </w:t>
      </w:r>
      <w:r w:rsidR="004C0D0B" w:rsidRPr="00B1300E">
        <w:rPr>
          <w:rFonts w:ascii="Arial" w:hAnsi="Arial" w:cs="Arial"/>
          <w:sz w:val="20"/>
          <w:szCs w:val="20"/>
        </w:rPr>
        <w:t>các nướ</w:t>
      </w:r>
      <w:r w:rsidR="00E97D34">
        <w:rPr>
          <w:rFonts w:ascii="Arial" w:hAnsi="Arial" w:cs="Arial"/>
          <w:sz w:val="20"/>
          <w:szCs w:val="20"/>
        </w:rPr>
        <w:t>c đang trong</w:t>
      </w:r>
      <w:r w:rsidR="004C0D0B" w:rsidRPr="00B1300E">
        <w:rPr>
          <w:rFonts w:ascii="Arial" w:hAnsi="Arial" w:cs="Arial"/>
          <w:sz w:val="20"/>
          <w:szCs w:val="20"/>
        </w:rPr>
        <w:t xml:space="preserve"> giai đoạn </w:t>
      </w:r>
      <w:r w:rsidR="00011CB1" w:rsidRPr="00B1300E">
        <w:rPr>
          <w:rFonts w:ascii="Arial" w:hAnsi="Arial" w:cs="Arial"/>
          <w:sz w:val="20"/>
          <w:szCs w:val="20"/>
        </w:rPr>
        <w:t xml:space="preserve">thị trường căng thẳng </w:t>
      </w:r>
      <w:r w:rsidR="00E97D34">
        <w:rPr>
          <w:rFonts w:ascii="Arial" w:hAnsi="Arial" w:cs="Arial"/>
          <w:sz w:val="20"/>
          <w:szCs w:val="20"/>
        </w:rPr>
        <w:t xml:space="preserve">cực đoan </w:t>
      </w:r>
      <w:r w:rsidR="00011CB1" w:rsidRPr="00B1300E">
        <w:rPr>
          <w:rFonts w:ascii="Arial" w:hAnsi="Arial" w:cs="Arial"/>
          <w:sz w:val="20"/>
          <w:szCs w:val="20"/>
        </w:rPr>
        <w:t>cầ</w:t>
      </w:r>
      <w:r w:rsidR="00E97D34">
        <w:rPr>
          <w:rFonts w:ascii="Arial" w:hAnsi="Arial" w:cs="Arial"/>
          <w:sz w:val="20"/>
          <w:szCs w:val="20"/>
        </w:rPr>
        <w:t>n áp</w:t>
      </w:r>
      <w:r w:rsidR="00011CB1" w:rsidRPr="00B1300E">
        <w:rPr>
          <w:rFonts w:ascii="Arial" w:hAnsi="Arial" w:cs="Arial"/>
          <w:sz w:val="20"/>
          <w:szCs w:val="20"/>
        </w:rPr>
        <w:t xml:space="preserve"> dụng </w:t>
      </w:r>
      <w:r>
        <w:rPr>
          <w:rFonts w:ascii="Arial" w:hAnsi="Arial" w:cs="Arial"/>
          <w:sz w:val="20"/>
          <w:szCs w:val="20"/>
        </w:rPr>
        <w:t xml:space="preserve">mềm dẻo, linh hoạt </w:t>
      </w:r>
      <w:r w:rsidR="00011CB1" w:rsidRPr="00B1300E">
        <w:rPr>
          <w:rFonts w:ascii="Arial" w:hAnsi="Arial" w:cs="Arial"/>
          <w:sz w:val="20"/>
          <w:szCs w:val="20"/>
        </w:rPr>
        <w:t>các quy định</w:t>
      </w:r>
      <w:r w:rsidR="00E97D34">
        <w:rPr>
          <w:rFonts w:ascii="Arial" w:hAnsi="Arial" w:cs="Arial"/>
          <w:sz w:val="20"/>
          <w:szCs w:val="20"/>
        </w:rPr>
        <w:t>,</w:t>
      </w:r>
      <w:r w:rsidR="00011CB1" w:rsidRPr="00B130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như </w:t>
      </w:r>
      <w:r w:rsidR="00011CB1" w:rsidRPr="00B1300E">
        <w:rPr>
          <w:rFonts w:ascii="Arial" w:hAnsi="Arial" w:cs="Arial"/>
          <w:sz w:val="20"/>
          <w:szCs w:val="20"/>
        </w:rPr>
        <w:t xml:space="preserve">kéo dài thời gian </w:t>
      </w:r>
      <w:r w:rsidR="00B349C9">
        <w:rPr>
          <w:rFonts w:ascii="Arial" w:hAnsi="Arial" w:cs="Arial"/>
          <w:sz w:val="20"/>
          <w:szCs w:val="20"/>
        </w:rPr>
        <w:t>khấu hao</w:t>
      </w:r>
      <w:r w:rsidR="00011CB1" w:rsidRPr="00B1300E">
        <w:rPr>
          <w:rFonts w:ascii="Arial" w:hAnsi="Arial" w:cs="Arial"/>
          <w:sz w:val="20"/>
          <w:szCs w:val="20"/>
        </w:rPr>
        <w:t xml:space="preserve"> được phép của các công ty bảo hiểm</w:t>
      </w:r>
      <w:r w:rsidR="00CE29EF">
        <w:rPr>
          <w:rFonts w:ascii="Arial" w:hAnsi="Arial" w:cs="Arial"/>
          <w:sz w:val="20"/>
          <w:szCs w:val="20"/>
        </w:rPr>
        <w:t xml:space="preserve"> bị tác động</w:t>
      </w:r>
      <w:r w:rsidR="00011CB1" w:rsidRPr="00B1300E">
        <w:rPr>
          <w:rFonts w:ascii="Arial" w:hAnsi="Arial" w:cs="Arial"/>
          <w:sz w:val="20"/>
          <w:szCs w:val="20"/>
        </w:rPr>
        <w:t xml:space="preserve">. </w:t>
      </w:r>
      <w:r w:rsidR="00502600">
        <w:rPr>
          <w:rFonts w:ascii="Arial" w:hAnsi="Arial" w:cs="Arial"/>
          <w:sz w:val="20"/>
          <w:szCs w:val="20"/>
        </w:rPr>
        <w:t xml:space="preserve">Tuy nhiên, </w:t>
      </w:r>
      <w:r w:rsidR="00C6666E">
        <w:rPr>
          <w:rFonts w:ascii="Arial" w:hAnsi="Arial" w:cs="Arial"/>
          <w:sz w:val="20"/>
          <w:szCs w:val="20"/>
        </w:rPr>
        <w:t>cơ quan</w:t>
      </w:r>
      <w:r w:rsidR="00C765DB">
        <w:rPr>
          <w:rFonts w:ascii="Arial" w:hAnsi="Arial" w:cs="Arial"/>
          <w:sz w:val="20"/>
          <w:szCs w:val="20"/>
        </w:rPr>
        <w:t xml:space="preserve"> </w:t>
      </w:r>
      <w:r w:rsidR="00E73181">
        <w:rPr>
          <w:rFonts w:ascii="Arial" w:hAnsi="Arial" w:cs="Arial"/>
          <w:sz w:val="20"/>
          <w:szCs w:val="20"/>
        </w:rPr>
        <w:t>t</w:t>
      </w:r>
      <w:r w:rsidR="00011CB1" w:rsidRPr="00B1300E">
        <w:rPr>
          <w:rFonts w:ascii="Arial" w:hAnsi="Arial" w:cs="Arial"/>
          <w:sz w:val="20"/>
          <w:szCs w:val="20"/>
        </w:rPr>
        <w:t xml:space="preserve">hanh tra, giám sát không được hạ thấp </w:t>
      </w:r>
      <w:r w:rsidR="00E73181">
        <w:rPr>
          <w:rFonts w:ascii="Arial" w:hAnsi="Arial" w:cs="Arial"/>
          <w:sz w:val="20"/>
          <w:szCs w:val="20"/>
        </w:rPr>
        <w:t xml:space="preserve">các tiêu chuẩn </w:t>
      </w:r>
      <w:r w:rsidR="00011CB1" w:rsidRPr="00B1300E">
        <w:rPr>
          <w:rFonts w:ascii="Arial" w:hAnsi="Arial" w:cs="Arial"/>
          <w:sz w:val="20"/>
          <w:szCs w:val="20"/>
        </w:rPr>
        <w:t xml:space="preserve">và </w:t>
      </w:r>
      <w:r w:rsidR="00C6666E">
        <w:rPr>
          <w:rFonts w:ascii="Arial" w:hAnsi="Arial" w:cs="Arial"/>
          <w:sz w:val="20"/>
          <w:szCs w:val="20"/>
        </w:rPr>
        <w:t xml:space="preserve">cần yêu cầu </w:t>
      </w:r>
      <w:r w:rsidR="00011CB1" w:rsidRPr="00B1300E">
        <w:rPr>
          <w:rFonts w:ascii="Arial" w:hAnsi="Arial" w:cs="Arial"/>
          <w:sz w:val="20"/>
          <w:szCs w:val="20"/>
        </w:rPr>
        <w:t>các công ty bảo hiể</w:t>
      </w:r>
      <w:r w:rsidR="00C6666E">
        <w:rPr>
          <w:rFonts w:ascii="Arial" w:hAnsi="Arial" w:cs="Arial"/>
          <w:sz w:val="20"/>
          <w:szCs w:val="20"/>
        </w:rPr>
        <w:t>m</w:t>
      </w:r>
      <w:r w:rsidR="00E73181">
        <w:rPr>
          <w:rFonts w:ascii="Arial" w:hAnsi="Arial" w:cs="Arial"/>
          <w:sz w:val="20"/>
          <w:szCs w:val="20"/>
        </w:rPr>
        <w:t xml:space="preserve"> </w:t>
      </w:r>
      <w:r w:rsidR="00011CB1" w:rsidRPr="00B1300E">
        <w:rPr>
          <w:rFonts w:ascii="Arial" w:hAnsi="Arial" w:cs="Arial"/>
          <w:sz w:val="20"/>
          <w:szCs w:val="20"/>
        </w:rPr>
        <w:t xml:space="preserve">chuẩn bị các kế hoạch khả thi để đảm bảo </w:t>
      </w:r>
      <w:r w:rsidR="00A50A54">
        <w:rPr>
          <w:rFonts w:ascii="Arial" w:hAnsi="Arial" w:cs="Arial"/>
          <w:sz w:val="20"/>
          <w:szCs w:val="20"/>
        </w:rPr>
        <w:t xml:space="preserve">có thể </w:t>
      </w:r>
      <w:r w:rsidR="00011CB1" w:rsidRPr="00B1300E">
        <w:rPr>
          <w:rFonts w:ascii="Arial" w:hAnsi="Arial" w:cs="Arial"/>
          <w:sz w:val="20"/>
          <w:szCs w:val="20"/>
        </w:rPr>
        <w:t xml:space="preserve">phục hồi </w:t>
      </w:r>
      <w:r w:rsidR="00A50A54">
        <w:rPr>
          <w:rFonts w:ascii="Arial" w:hAnsi="Arial" w:cs="Arial"/>
          <w:sz w:val="20"/>
          <w:szCs w:val="20"/>
        </w:rPr>
        <w:t xml:space="preserve">khả năng </w:t>
      </w:r>
      <w:r w:rsidR="00011CB1" w:rsidRPr="00B1300E">
        <w:rPr>
          <w:rFonts w:ascii="Arial" w:hAnsi="Arial" w:cs="Arial"/>
          <w:sz w:val="20"/>
          <w:szCs w:val="20"/>
        </w:rPr>
        <w:t xml:space="preserve">thanh toán trong khi tiếp tục cung cấp </w:t>
      </w:r>
      <w:r w:rsidR="00B349C9">
        <w:rPr>
          <w:rFonts w:ascii="Arial" w:hAnsi="Arial" w:cs="Arial"/>
          <w:sz w:val="20"/>
          <w:szCs w:val="20"/>
        </w:rPr>
        <w:t xml:space="preserve">các bảo hiểm </w:t>
      </w:r>
      <w:r w:rsidR="00011CB1" w:rsidRPr="00B1300E">
        <w:rPr>
          <w:rFonts w:ascii="Arial" w:hAnsi="Arial" w:cs="Arial"/>
          <w:sz w:val="20"/>
          <w:szCs w:val="20"/>
        </w:rPr>
        <w:t>cần thiết cho người mua</w:t>
      </w:r>
      <w:r w:rsidR="00B349C9">
        <w:rPr>
          <w:rFonts w:ascii="Arial" w:hAnsi="Arial" w:cs="Arial"/>
          <w:sz w:val="20"/>
          <w:szCs w:val="20"/>
        </w:rPr>
        <w:t>.</w:t>
      </w:r>
    </w:p>
    <w:p w:rsidR="000855AC" w:rsidRPr="00B1300E" w:rsidRDefault="008D6C05" w:rsidP="00B1300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Đối với lĩnh vực quản lý tài sản, c</w:t>
      </w:r>
      <w:r w:rsidR="00011CB1" w:rsidRPr="00B1300E">
        <w:rPr>
          <w:rFonts w:ascii="Arial" w:hAnsi="Arial" w:cs="Arial"/>
          <w:sz w:val="20"/>
          <w:szCs w:val="20"/>
        </w:rPr>
        <w:t>ác nhà quả</w:t>
      </w:r>
      <w:r>
        <w:rPr>
          <w:rFonts w:ascii="Arial" w:hAnsi="Arial" w:cs="Arial"/>
          <w:sz w:val="20"/>
          <w:szCs w:val="20"/>
        </w:rPr>
        <w:t>n lý</w:t>
      </w:r>
      <w:r w:rsidR="00011CB1" w:rsidRPr="00B1300E">
        <w:rPr>
          <w:rFonts w:ascii="Arial" w:hAnsi="Arial" w:cs="Arial"/>
          <w:sz w:val="20"/>
          <w:szCs w:val="20"/>
        </w:rPr>
        <w:t xml:space="preserve"> cần tiếp tục đảm bảo </w:t>
      </w:r>
      <w:r w:rsidR="000F1DE4" w:rsidRPr="00B1300E">
        <w:rPr>
          <w:rFonts w:ascii="Arial" w:hAnsi="Arial" w:cs="Arial"/>
          <w:sz w:val="20"/>
          <w:szCs w:val="20"/>
        </w:rPr>
        <w:t>các khuôn khổ quản lý rủi ro thanh khoản được áp dụng theo một cách hiệu quả và mạnh mẽ.</w:t>
      </w:r>
      <w:r w:rsidR="002B2AB7" w:rsidRPr="00B1300E">
        <w:rPr>
          <w:rFonts w:ascii="Arial" w:hAnsi="Arial" w:cs="Arial"/>
          <w:sz w:val="20"/>
          <w:szCs w:val="20"/>
        </w:rPr>
        <w:t xml:space="preserve"> </w:t>
      </w:r>
      <w:r w:rsidR="004C0ED5" w:rsidRPr="00B1300E">
        <w:rPr>
          <w:rFonts w:ascii="Arial" w:hAnsi="Arial" w:cs="Arial"/>
          <w:sz w:val="20"/>
          <w:szCs w:val="20"/>
        </w:rPr>
        <w:t xml:space="preserve">Các nhà quản lý cần </w:t>
      </w:r>
      <w:r w:rsidR="009817B3">
        <w:rPr>
          <w:rFonts w:ascii="Arial" w:hAnsi="Arial" w:cs="Arial"/>
          <w:sz w:val="20"/>
          <w:szCs w:val="20"/>
        </w:rPr>
        <w:t xml:space="preserve">hỗ trợ </w:t>
      </w:r>
      <w:r w:rsidR="00D577C0">
        <w:rPr>
          <w:rFonts w:ascii="Arial" w:hAnsi="Arial" w:cs="Arial"/>
          <w:sz w:val="20"/>
          <w:szCs w:val="20"/>
        </w:rPr>
        <w:t>xây dựng</w:t>
      </w:r>
      <w:r>
        <w:rPr>
          <w:rFonts w:ascii="Arial" w:hAnsi="Arial" w:cs="Arial"/>
          <w:sz w:val="20"/>
          <w:szCs w:val="20"/>
        </w:rPr>
        <w:t xml:space="preserve"> </w:t>
      </w:r>
      <w:r w:rsidR="009817B3">
        <w:rPr>
          <w:rFonts w:ascii="Arial" w:hAnsi="Arial" w:cs="Arial"/>
          <w:sz w:val="20"/>
          <w:szCs w:val="20"/>
        </w:rPr>
        <w:t xml:space="preserve">một bộ </w:t>
      </w:r>
      <w:r w:rsidR="004C0ED5" w:rsidRPr="00B1300E">
        <w:rPr>
          <w:rFonts w:ascii="Arial" w:hAnsi="Arial" w:cs="Arial"/>
          <w:sz w:val="20"/>
          <w:szCs w:val="20"/>
        </w:rPr>
        <w:t>công cụ quản lý thanh khoản và khuyến khích sử dụng</w:t>
      </w:r>
      <w:r w:rsidR="00D577C0">
        <w:rPr>
          <w:rFonts w:ascii="Arial" w:hAnsi="Arial" w:cs="Arial"/>
          <w:sz w:val="20"/>
          <w:szCs w:val="20"/>
        </w:rPr>
        <w:t xml:space="preserve"> đầy đủ các công cụ có sẵn</w:t>
      </w:r>
      <w:r w:rsidR="004C0ED5" w:rsidRPr="00B1300E">
        <w:rPr>
          <w:rFonts w:ascii="Arial" w:hAnsi="Arial" w:cs="Arial"/>
          <w:sz w:val="20"/>
          <w:szCs w:val="20"/>
        </w:rPr>
        <w:t xml:space="preserve">. </w:t>
      </w:r>
      <w:r w:rsidR="00D577C0">
        <w:rPr>
          <w:rFonts w:ascii="Arial" w:hAnsi="Arial" w:cs="Arial"/>
          <w:sz w:val="20"/>
          <w:szCs w:val="20"/>
        </w:rPr>
        <w:t>Các</w:t>
      </w:r>
      <w:r w:rsidR="004C0ED5" w:rsidRPr="00B1300E">
        <w:rPr>
          <w:rFonts w:ascii="Arial" w:hAnsi="Arial" w:cs="Arial"/>
          <w:sz w:val="20"/>
          <w:szCs w:val="20"/>
        </w:rPr>
        <w:t xml:space="preserve"> khuôn khổ an toàn vĩ mô </w:t>
      </w:r>
      <w:r w:rsidR="00D577C0">
        <w:rPr>
          <w:rFonts w:ascii="Arial" w:hAnsi="Arial" w:cs="Arial"/>
          <w:sz w:val="20"/>
          <w:szCs w:val="20"/>
        </w:rPr>
        <w:t xml:space="preserve">cũng cần được đánh giá, xem xét khi xây dựng các tiêu chuẩn </w:t>
      </w:r>
      <w:r w:rsidR="00CB6698" w:rsidRPr="00B1300E">
        <w:rPr>
          <w:rFonts w:ascii="Arial" w:hAnsi="Arial" w:cs="Arial"/>
          <w:sz w:val="20"/>
          <w:szCs w:val="20"/>
        </w:rPr>
        <w:t>cho nhà quản lý.</w:t>
      </w:r>
    </w:p>
    <w:p w:rsidR="00CB6698" w:rsidRDefault="004C7AC5" w:rsidP="00B1300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B1300E">
        <w:rPr>
          <w:rFonts w:ascii="Arial" w:hAnsi="Arial" w:cs="Arial"/>
          <w:sz w:val="20"/>
          <w:szCs w:val="20"/>
        </w:rPr>
        <w:t xml:space="preserve">Hợp tác đa phương </w:t>
      </w:r>
      <w:r w:rsidR="00D577C0">
        <w:rPr>
          <w:rFonts w:ascii="Arial" w:hAnsi="Arial" w:cs="Arial"/>
          <w:sz w:val="20"/>
          <w:szCs w:val="20"/>
        </w:rPr>
        <w:t xml:space="preserve">có vai trò quan trọng trong việc </w:t>
      </w:r>
      <w:r w:rsidRPr="00B1300E">
        <w:rPr>
          <w:rFonts w:ascii="Arial" w:hAnsi="Arial" w:cs="Arial"/>
          <w:sz w:val="20"/>
          <w:szCs w:val="20"/>
        </w:rPr>
        <w:t xml:space="preserve">bảo vệ hệ thống tài chính toàn cầu. </w:t>
      </w:r>
      <w:r w:rsidR="00153956">
        <w:rPr>
          <w:rFonts w:ascii="Arial" w:hAnsi="Arial" w:cs="Arial"/>
          <w:sz w:val="20"/>
          <w:szCs w:val="20"/>
        </w:rPr>
        <w:t>Các thỏa thuận c</w:t>
      </w:r>
      <w:r w:rsidRPr="00B1300E">
        <w:rPr>
          <w:rFonts w:ascii="Arial" w:hAnsi="Arial" w:cs="Arial"/>
          <w:sz w:val="20"/>
          <w:szCs w:val="20"/>
        </w:rPr>
        <w:t xml:space="preserve">huyển đổi ngoại tệ song phương và đa phương cần được cung cấp </w:t>
      </w:r>
      <w:r w:rsidR="005E29B7" w:rsidRPr="00B1300E">
        <w:rPr>
          <w:rFonts w:ascii="Arial" w:hAnsi="Arial" w:cs="Arial"/>
          <w:sz w:val="20"/>
          <w:szCs w:val="20"/>
        </w:rPr>
        <w:t xml:space="preserve">tới </w:t>
      </w:r>
      <w:r w:rsidR="00153956">
        <w:rPr>
          <w:rFonts w:ascii="Arial" w:hAnsi="Arial" w:cs="Arial"/>
          <w:sz w:val="20"/>
          <w:szCs w:val="20"/>
        </w:rPr>
        <w:t xml:space="preserve">một </w:t>
      </w:r>
      <w:r w:rsidR="005E29B7" w:rsidRPr="00B1300E">
        <w:rPr>
          <w:rFonts w:ascii="Arial" w:hAnsi="Arial" w:cs="Arial"/>
          <w:sz w:val="20"/>
          <w:szCs w:val="20"/>
        </w:rPr>
        <w:t xml:space="preserve">phạm vi </w:t>
      </w:r>
      <w:r w:rsidR="00153956">
        <w:rPr>
          <w:rFonts w:ascii="Arial" w:hAnsi="Arial" w:cs="Arial"/>
          <w:sz w:val="20"/>
          <w:szCs w:val="20"/>
        </w:rPr>
        <w:t xml:space="preserve">các quốc gia </w:t>
      </w:r>
      <w:r w:rsidR="005E29B7" w:rsidRPr="00B1300E">
        <w:rPr>
          <w:rFonts w:ascii="Arial" w:hAnsi="Arial" w:cs="Arial"/>
          <w:sz w:val="20"/>
          <w:szCs w:val="20"/>
        </w:rPr>
        <w:t xml:space="preserve">rộng </w:t>
      </w:r>
      <w:r w:rsidR="00153956">
        <w:rPr>
          <w:rFonts w:ascii="Arial" w:hAnsi="Arial" w:cs="Arial"/>
          <w:sz w:val="20"/>
          <w:szCs w:val="20"/>
        </w:rPr>
        <w:t xml:space="preserve">hơn </w:t>
      </w:r>
      <w:r w:rsidR="005E29B7" w:rsidRPr="00B1300E">
        <w:rPr>
          <w:rFonts w:ascii="Arial" w:hAnsi="Arial" w:cs="Arial"/>
          <w:sz w:val="20"/>
          <w:szCs w:val="20"/>
        </w:rPr>
        <w:t xml:space="preserve">để giảm bớt áp lực cấp vốn bằng ngoại tệ. Ngoài ra, cần tránh </w:t>
      </w:r>
      <w:r w:rsidR="00F429F5" w:rsidRPr="00B1300E">
        <w:rPr>
          <w:rFonts w:ascii="Arial" w:hAnsi="Arial" w:cs="Arial"/>
          <w:sz w:val="20"/>
          <w:szCs w:val="20"/>
        </w:rPr>
        <w:t xml:space="preserve">việc </w:t>
      </w:r>
      <w:r w:rsidR="00167EEA">
        <w:rPr>
          <w:rFonts w:ascii="Arial" w:hAnsi="Arial" w:cs="Arial"/>
          <w:sz w:val="20"/>
          <w:szCs w:val="20"/>
        </w:rPr>
        <w:t>giảm hiệu lực</w:t>
      </w:r>
      <w:r w:rsidR="00F429F5" w:rsidRPr="00B1300E">
        <w:rPr>
          <w:rFonts w:ascii="Arial" w:hAnsi="Arial" w:cs="Arial"/>
          <w:sz w:val="20"/>
          <w:szCs w:val="20"/>
        </w:rPr>
        <w:t xml:space="preserve"> các quy định </w:t>
      </w:r>
      <w:r w:rsidR="00153956">
        <w:rPr>
          <w:rFonts w:ascii="Arial" w:hAnsi="Arial" w:cs="Arial"/>
          <w:sz w:val="20"/>
          <w:szCs w:val="20"/>
        </w:rPr>
        <w:t xml:space="preserve">của </w:t>
      </w:r>
      <w:r w:rsidR="00F429F5" w:rsidRPr="00B1300E">
        <w:rPr>
          <w:rFonts w:ascii="Arial" w:hAnsi="Arial" w:cs="Arial"/>
          <w:sz w:val="20"/>
          <w:szCs w:val="20"/>
        </w:rPr>
        <w:t xml:space="preserve">hệ thống tài chính quốc tế hoặc sự </w:t>
      </w:r>
      <w:r w:rsidR="00153956">
        <w:rPr>
          <w:rFonts w:ascii="Arial" w:hAnsi="Arial" w:cs="Arial"/>
          <w:sz w:val="20"/>
          <w:szCs w:val="20"/>
        </w:rPr>
        <w:t>thiế</w:t>
      </w:r>
      <w:r w:rsidR="00167EEA">
        <w:rPr>
          <w:rFonts w:ascii="Arial" w:hAnsi="Arial" w:cs="Arial"/>
          <w:sz w:val="20"/>
          <w:szCs w:val="20"/>
        </w:rPr>
        <w:t>u phối</w:t>
      </w:r>
      <w:r w:rsidR="00F429F5" w:rsidRPr="00B1300E">
        <w:rPr>
          <w:rFonts w:ascii="Arial" w:hAnsi="Arial" w:cs="Arial"/>
          <w:sz w:val="20"/>
          <w:szCs w:val="20"/>
        </w:rPr>
        <w:t xml:space="preserve"> </w:t>
      </w:r>
      <w:r w:rsidR="00167EEA">
        <w:rPr>
          <w:rFonts w:ascii="Arial" w:hAnsi="Arial" w:cs="Arial"/>
          <w:sz w:val="20"/>
          <w:szCs w:val="20"/>
        </w:rPr>
        <w:t xml:space="preserve">trong </w:t>
      </w:r>
      <w:r w:rsidR="00F429F5" w:rsidRPr="00B1300E">
        <w:rPr>
          <w:rFonts w:ascii="Arial" w:hAnsi="Arial" w:cs="Arial"/>
          <w:sz w:val="20"/>
          <w:szCs w:val="20"/>
        </w:rPr>
        <w:t xml:space="preserve">các hoạt động </w:t>
      </w:r>
      <w:r w:rsidR="00153956">
        <w:rPr>
          <w:rFonts w:ascii="Arial" w:hAnsi="Arial" w:cs="Arial"/>
          <w:sz w:val="20"/>
          <w:szCs w:val="20"/>
        </w:rPr>
        <w:t xml:space="preserve">của từng quốc gia </w:t>
      </w:r>
      <w:r w:rsidR="00167EEA">
        <w:rPr>
          <w:rFonts w:ascii="Arial" w:hAnsi="Arial" w:cs="Arial"/>
          <w:sz w:val="20"/>
          <w:szCs w:val="20"/>
        </w:rPr>
        <w:t xml:space="preserve">có thể </w:t>
      </w:r>
      <w:r w:rsidR="00F429F5" w:rsidRPr="00B1300E">
        <w:rPr>
          <w:rFonts w:ascii="Arial" w:hAnsi="Arial" w:cs="Arial"/>
          <w:sz w:val="20"/>
          <w:szCs w:val="20"/>
        </w:rPr>
        <w:t xml:space="preserve">làm </w:t>
      </w:r>
      <w:r w:rsidR="00153956">
        <w:rPr>
          <w:rFonts w:ascii="Arial" w:hAnsi="Arial" w:cs="Arial"/>
          <w:sz w:val="20"/>
          <w:szCs w:val="20"/>
        </w:rPr>
        <w:t xml:space="preserve">suy yếu </w:t>
      </w:r>
      <w:r w:rsidR="005F0249" w:rsidRPr="00B1300E">
        <w:rPr>
          <w:rFonts w:ascii="Arial" w:hAnsi="Arial" w:cs="Arial"/>
          <w:sz w:val="20"/>
          <w:szCs w:val="20"/>
        </w:rPr>
        <w:t>các tiêu chuẩn quốc tế.</w:t>
      </w:r>
    </w:p>
    <w:p w:rsidR="00167EEA" w:rsidRPr="00B1300E" w:rsidRDefault="00167EEA" w:rsidP="00B1300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HN </w:t>
      </w:r>
      <w:r w:rsidRPr="00167EEA">
        <w:rPr>
          <w:rFonts w:ascii="Arial" w:hAnsi="Arial" w:cs="Arial"/>
          <w:i/>
          <w:sz w:val="20"/>
          <w:szCs w:val="20"/>
        </w:rPr>
        <w:t>(theo IMF)</w:t>
      </w:r>
    </w:p>
    <w:sectPr w:rsidR="00167EEA" w:rsidRPr="00B1300E" w:rsidSect="005C24F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9E"/>
    <w:rsid w:val="000063C0"/>
    <w:rsid w:val="00011CB1"/>
    <w:rsid w:val="000855AC"/>
    <w:rsid w:val="000D416D"/>
    <w:rsid w:val="000F1DE4"/>
    <w:rsid w:val="00123F85"/>
    <w:rsid w:val="00132B23"/>
    <w:rsid w:val="00141668"/>
    <w:rsid w:val="00153956"/>
    <w:rsid w:val="00167EEA"/>
    <w:rsid w:val="00196DB7"/>
    <w:rsid w:val="002B2AB7"/>
    <w:rsid w:val="00312C87"/>
    <w:rsid w:val="00384049"/>
    <w:rsid w:val="0039166A"/>
    <w:rsid w:val="003A2CE2"/>
    <w:rsid w:val="003F6BF5"/>
    <w:rsid w:val="0042579E"/>
    <w:rsid w:val="004C0D0B"/>
    <w:rsid w:val="004C0ED5"/>
    <w:rsid w:val="004C7AC5"/>
    <w:rsid w:val="004E1EDB"/>
    <w:rsid w:val="00502600"/>
    <w:rsid w:val="005303DC"/>
    <w:rsid w:val="00530502"/>
    <w:rsid w:val="00545214"/>
    <w:rsid w:val="005930F4"/>
    <w:rsid w:val="005C24FB"/>
    <w:rsid w:val="005E29B7"/>
    <w:rsid w:val="005F0249"/>
    <w:rsid w:val="005F66E0"/>
    <w:rsid w:val="00604F31"/>
    <w:rsid w:val="00664916"/>
    <w:rsid w:val="00682FE6"/>
    <w:rsid w:val="007204C4"/>
    <w:rsid w:val="00784562"/>
    <w:rsid w:val="0079625F"/>
    <w:rsid w:val="00835BA0"/>
    <w:rsid w:val="008624D1"/>
    <w:rsid w:val="008D6C05"/>
    <w:rsid w:val="008E019A"/>
    <w:rsid w:val="009817B3"/>
    <w:rsid w:val="0099363D"/>
    <w:rsid w:val="009A6EA6"/>
    <w:rsid w:val="00A154A8"/>
    <w:rsid w:val="00A50A54"/>
    <w:rsid w:val="00A807E3"/>
    <w:rsid w:val="00AB3142"/>
    <w:rsid w:val="00AC1036"/>
    <w:rsid w:val="00B1300E"/>
    <w:rsid w:val="00B349C9"/>
    <w:rsid w:val="00B56672"/>
    <w:rsid w:val="00B65EBB"/>
    <w:rsid w:val="00B9357F"/>
    <w:rsid w:val="00BF2CC8"/>
    <w:rsid w:val="00C6666E"/>
    <w:rsid w:val="00C729CD"/>
    <w:rsid w:val="00C765DB"/>
    <w:rsid w:val="00CB6698"/>
    <w:rsid w:val="00CE29EF"/>
    <w:rsid w:val="00D21011"/>
    <w:rsid w:val="00D577C0"/>
    <w:rsid w:val="00D62886"/>
    <w:rsid w:val="00D73CAD"/>
    <w:rsid w:val="00D84031"/>
    <w:rsid w:val="00E30EC7"/>
    <w:rsid w:val="00E73181"/>
    <w:rsid w:val="00E97D34"/>
    <w:rsid w:val="00EB119B"/>
    <w:rsid w:val="00EB727C"/>
    <w:rsid w:val="00EF6AE0"/>
    <w:rsid w:val="00F21BAC"/>
    <w:rsid w:val="00F429F5"/>
    <w:rsid w:val="00FD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A5972-2943-4B0F-AD22-D1E0A5C4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MHN-Admim</dc:creator>
  <cp:keywords/>
  <dc:description/>
  <cp:lastModifiedBy>MHN-Admim</cp:lastModifiedBy>
  <cp:revision>3</cp:revision>
  <dcterms:created xsi:type="dcterms:W3CDTF">2020-06-30T10:06:00Z</dcterms:created>
  <dcterms:modified xsi:type="dcterms:W3CDTF">2020-06-30T10:07:00Z</dcterms:modified>
</cp:coreProperties>
</file>