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21" w:rsidRPr="00327F00" w:rsidRDefault="00E32B21" w:rsidP="00327F00">
      <w:pPr>
        <w:spacing w:before="120" w:after="0" w:line="240" w:lineRule="auto"/>
        <w:jc w:val="both"/>
        <w:textAlignment w:val="baseline"/>
        <w:rPr>
          <w:rFonts w:ascii="Arial" w:eastAsia="Times New Roman" w:hAnsi="Arial" w:cs="Arial"/>
          <w:bCs/>
          <w:sz w:val="20"/>
          <w:szCs w:val="20"/>
          <w:bdr w:val="none" w:sz="0" w:space="0" w:color="auto" w:frame="1"/>
        </w:rPr>
      </w:pPr>
      <w:r w:rsidRPr="00327F00">
        <w:rPr>
          <w:rFonts w:ascii="Arial" w:hAnsi="Arial" w:cs="Arial"/>
          <w:sz w:val="20"/>
          <w:szCs w:val="20"/>
        </w:rPr>
        <w:t xml:space="preserve">Cụ thể là, tính đến cuối quý I/2020, </w:t>
      </w:r>
      <w:r w:rsidRPr="00327F00">
        <w:rPr>
          <w:rFonts w:ascii="Arial" w:eastAsia="Times New Roman" w:hAnsi="Arial" w:cs="Arial"/>
          <w:sz w:val="20"/>
          <w:szCs w:val="20"/>
        </w:rPr>
        <w:t>tổng dự trữ ngoại hối</w:t>
      </w:r>
      <w:r w:rsidRPr="00327F00">
        <w:rPr>
          <w:rFonts w:ascii="Arial" w:hAnsi="Arial" w:cs="Arial"/>
          <w:sz w:val="20"/>
          <w:szCs w:val="20"/>
        </w:rPr>
        <w:t xml:space="preserve"> quốc tế giảm xuống</w:t>
      </w:r>
      <w:r w:rsidR="008E4941" w:rsidRPr="00327F00">
        <w:rPr>
          <w:rFonts w:ascii="Arial" w:hAnsi="Arial" w:cs="Arial"/>
          <w:sz w:val="20"/>
          <w:szCs w:val="20"/>
        </w:rPr>
        <w:t xml:space="preserve"> </w:t>
      </w:r>
      <w:r w:rsidRPr="00327F00">
        <w:rPr>
          <w:rFonts w:ascii="Arial" w:hAnsi="Arial" w:cs="Arial"/>
          <w:sz w:val="20"/>
          <w:szCs w:val="20"/>
        </w:rPr>
        <w:t xml:space="preserve">11.732 tỷ USD, sau khi tăng lên mức dự trữ </w:t>
      </w:r>
      <w:r w:rsidRPr="00327F00">
        <w:rPr>
          <w:rFonts w:ascii="Arial" w:eastAsia="Times New Roman" w:hAnsi="Arial" w:cs="Arial"/>
          <w:spacing w:val="-4"/>
          <w:sz w:val="20"/>
          <w:szCs w:val="20"/>
        </w:rPr>
        <w:t xml:space="preserve">11.825 tỷ USD trong quý trước đó. </w:t>
      </w:r>
      <w:r w:rsidRPr="00327F00">
        <w:rPr>
          <w:rFonts w:ascii="Arial" w:hAnsi="Arial" w:cs="Arial"/>
          <w:sz w:val="20"/>
          <w:szCs w:val="20"/>
        </w:rPr>
        <w:t xml:space="preserve">Tương tự, dự trữ đã phân bổ giảm </w:t>
      </w:r>
      <w:r w:rsidR="00684565" w:rsidRPr="00327F00">
        <w:rPr>
          <w:rFonts w:ascii="Arial" w:hAnsi="Arial" w:cs="Arial"/>
          <w:sz w:val="20"/>
          <w:szCs w:val="20"/>
        </w:rPr>
        <w:t xml:space="preserve">từ con số 11.075 tỷ USD trong quý IV/2019 </w:t>
      </w:r>
      <w:r w:rsidRPr="00327F00">
        <w:rPr>
          <w:rFonts w:ascii="Arial" w:hAnsi="Arial" w:cs="Arial"/>
          <w:sz w:val="20"/>
          <w:szCs w:val="20"/>
        </w:rPr>
        <w:t>xuố</w:t>
      </w:r>
      <w:r w:rsidR="00684565" w:rsidRPr="00327F00">
        <w:rPr>
          <w:rFonts w:ascii="Arial" w:hAnsi="Arial" w:cs="Arial"/>
          <w:sz w:val="20"/>
          <w:szCs w:val="20"/>
        </w:rPr>
        <w:t>ng 10</w:t>
      </w:r>
      <w:r w:rsidRPr="00327F00">
        <w:rPr>
          <w:rFonts w:ascii="Arial" w:hAnsi="Arial" w:cs="Arial"/>
          <w:sz w:val="20"/>
          <w:szCs w:val="20"/>
        </w:rPr>
        <w:t>.</w:t>
      </w:r>
      <w:r w:rsidR="00684565" w:rsidRPr="00327F00">
        <w:rPr>
          <w:rFonts w:ascii="Arial" w:hAnsi="Arial" w:cs="Arial"/>
          <w:sz w:val="20"/>
          <w:szCs w:val="20"/>
        </w:rPr>
        <w:t>961,62</w:t>
      </w:r>
      <w:r w:rsidRPr="00327F00">
        <w:rPr>
          <w:rFonts w:ascii="Arial" w:hAnsi="Arial" w:cs="Arial"/>
          <w:sz w:val="20"/>
          <w:szCs w:val="20"/>
        </w:rPr>
        <w:t xml:space="preserve"> tỷ USD, chiế</w:t>
      </w:r>
      <w:r w:rsidR="00181315" w:rsidRPr="00327F00">
        <w:rPr>
          <w:rFonts w:ascii="Arial" w:hAnsi="Arial" w:cs="Arial"/>
          <w:sz w:val="20"/>
          <w:szCs w:val="20"/>
        </w:rPr>
        <w:t>m 93,43</w:t>
      </w:r>
      <w:r w:rsidRPr="00327F00">
        <w:rPr>
          <w:rFonts w:ascii="Arial" w:hAnsi="Arial" w:cs="Arial"/>
          <w:sz w:val="20"/>
          <w:szCs w:val="20"/>
        </w:rPr>
        <w:t>% tổng dự trữ ngoại hối quốc tế. Trong đó, dự trữ dưới dạng USD đạ</w:t>
      </w:r>
      <w:r w:rsidR="00181315" w:rsidRPr="00327F00">
        <w:rPr>
          <w:rFonts w:ascii="Arial" w:hAnsi="Arial" w:cs="Arial"/>
          <w:sz w:val="20"/>
          <w:szCs w:val="20"/>
        </w:rPr>
        <w:t>t gầ</w:t>
      </w:r>
      <w:r w:rsidRPr="00327F00">
        <w:rPr>
          <w:rFonts w:ascii="Arial" w:hAnsi="Arial" w:cs="Arial"/>
          <w:sz w:val="20"/>
          <w:szCs w:val="20"/>
        </w:rPr>
        <w:t>n 6.7</w:t>
      </w:r>
      <w:r w:rsidR="00181315" w:rsidRPr="00327F00">
        <w:rPr>
          <w:rFonts w:ascii="Arial" w:hAnsi="Arial" w:cs="Arial"/>
          <w:sz w:val="20"/>
          <w:szCs w:val="20"/>
        </w:rPr>
        <w:t>9</w:t>
      </w:r>
      <w:r w:rsidRPr="00327F00">
        <w:rPr>
          <w:rFonts w:ascii="Arial" w:hAnsi="Arial" w:cs="Arial"/>
          <w:sz w:val="20"/>
          <w:szCs w:val="20"/>
        </w:rPr>
        <w:t xml:space="preserve">5 tỷ USD, chiếm </w:t>
      </w:r>
      <w:r w:rsidR="00181315" w:rsidRPr="00327F00">
        <w:rPr>
          <w:rFonts w:ascii="Arial" w:hAnsi="Arial" w:cs="Arial"/>
          <w:sz w:val="20"/>
          <w:szCs w:val="20"/>
        </w:rPr>
        <w:t xml:space="preserve">62,0% tổng dự trữ ngoại hối đã phân bổ, tăng đáng kể so với tỷ trọng </w:t>
      </w:r>
      <w:r w:rsidRPr="00327F00">
        <w:rPr>
          <w:rFonts w:ascii="Arial" w:hAnsi="Arial" w:cs="Arial"/>
          <w:sz w:val="20"/>
          <w:szCs w:val="20"/>
        </w:rPr>
        <w:t xml:space="preserve">60,89% </w:t>
      </w:r>
      <w:r w:rsidR="00181315" w:rsidRPr="00327F00">
        <w:rPr>
          <w:rFonts w:ascii="Arial" w:hAnsi="Arial" w:cs="Arial"/>
          <w:sz w:val="20"/>
          <w:szCs w:val="20"/>
        </w:rPr>
        <w:t>trong quý trước</w:t>
      </w:r>
      <w:r w:rsidRPr="00327F00">
        <w:rPr>
          <w:rFonts w:ascii="Arial" w:hAnsi="Arial" w:cs="Arial"/>
          <w:sz w:val="20"/>
          <w:szCs w:val="20"/>
        </w:rPr>
        <w:t>, cao hơn nhiều so vớ</w:t>
      </w:r>
      <w:r w:rsidR="00181315" w:rsidRPr="00327F00">
        <w:rPr>
          <w:rFonts w:ascii="Arial" w:hAnsi="Arial" w:cs="Arial"/>
          <w:sz w:val="20"/>
          <w:szCs w:val="20"/>
        </w:rPr>
        <w:t>i dự trữ dưới dạng EURO</w:t>
      </w:r>
      <w:r w:rsidRPr="00327F00">
        <w:rPr>
          <w:rFonts w:ascii="Arial" w:hAnsi="Arial" w:cs="Arial"/>
          <w:sz w:val="20"/>
          <w:szCs w:val="20"/>
        </w:rPr>
        <w:t xml:space="preserve"> - đồng tiền dự trữ thứ hai </w:t>
      </w:r>
      <w:r w:rsidR="00181315" w:rsidRPr="00327F00">
        <w:rPr>
          <w:rFonts w:ascii="Arial" w:hAnsi="Arial" w:cs="Arial"/>
          <w:sz w:val="20"/>
          <w:szCs w:val="20"/>
        </w:rPr>
        <w:t>với</w:t>
      </w:r>
      <w:r w:rsidRPr="00327F00">
        <w:rPr>
          <w:rFonts w:ascii="Arial" w:hAnsi="Arial" w:cs="Arial"/>
          <w:sz w:val="20"/>
          <w:szCs w:val="20"/>
        </w:rPr>
        <w:t xml:space="preserve"> tỷ trọng </w:t>
      </w:r>
      <w:r w:rsidR="00B356BB" w:rsidRPr="00327F00">
        <w:rPr>
          <w:rFonts w:ascii="Arial" w:hAnsi="Arial" w:cs="Arial"/>
          <w:sz w:val="20"/>
          <w:szCs w:val="20"/>
        </w:rPr>
        <w:t xml:space="preserve">20,05% tổng dự trữ ngoại hối đã phân bổ, giảm nhẹ từ tỷ trọng </w:t>
      </w:r>
      <w:r w:rsidRPr="00327F00">
        <w:rPr>
          <w:rFonts w:ascii="Arial" w:hAnsi="Arial" w:cs="Arial"/>
          <w:sz w:val="20"/>
          <w:szCs w:val="20"/>
        </w:rPr>
        <w:t>20,54% trong quý trước</w:t>
      </w:r>
      <w:r w:rsidR="00B356BB" w:rsidRPr="00327F00">
        <w:rPr>
          <w:rFonts w:ascii="Arial" w:hAnsi="Arial" w:cs="Arial"/>
          <w:sz w:val="20"/>
          <w:szCs w:val="20"/>
        </w:rPr>
        <w:t xml:space="preserve">. Cùng với EURO, dự trữ dưới dạng bảng Anh, yên Nhật, CAD, AUD, SWF cũng giảm cả về giá trị lẫn tỷ trọng. Trong số này, dự trữ dưới dạng JPY và GBP lần lượt giảm xuống 625 tỷ USD (chiếm 5,7%) và 486 tỷ USD (chiếm 4,43%). </w:t>
      </w:r>
      <w:r w:rsidR="007D313B" w:rsidRPr="00327F00">
        <w:rPr>
          <w:rFonts w:ascii="Arial" w:hAnsi="Arial" w:cs="Arial"/>
          <w:sz w:val="20"/>
          <w:szCs w:val="20"/>
        </w:rPr>
        <w:t>Điều này phản ánh một thực tế là, đại dịch Covid-9 đã khiến hoạt động kinh tế trì trệ và tác động tiêu cực đến các thị trường tài chính thế giới, khi các nhà đầu tư tìm cách chuyển vốn sang những tài sản khác để bảo toàn tài sản, tập trung vào USD</w:t>
      </w:r>
      <w:r w:rsidR="008E4941" w:rsidRPr="00327F00">
        <w:rPr>
          <w:rFonts w:ascii="Arial" w:hAnsi="Arial" w:cs="Arial"/>
          <w:sz w:val="20"/>
          <w:szCs w:val="20"/>
        </w:rPr>
        <w:t xml:space="preserve"> và vàng</w:t>
      </w:r>
      <w:r w:rsidR="007D313B" w:rsidRPr="00327F00">
        <w:rPr>
          <w:rFonts w:ascii="Arial" w:hAnsi="Arial" w:cs="Arial"/>
          <w:sz w:val="20"/>
          <w:szCs w:val="20"/>
        </w:rPr>
        <w:t xml:space="preserve">. </w:t>
      </w:r>
      <w:r w:rsidR="008E4941" w:rsidRPr="00327F00">
        <w:rPr>
          <w:rFonts w:ascii="Arial" w:hAnsi="Arial" w:cs="Arial"/>
          <w:sz w:val="20"/>
          <w:szCs w:val="20"/>
        </w:rPr>
        <w:t>Tr</w:t>
      </w:r>
      <w:r w:rsidR="00B356BB" w:rsidRPr="00327F00">
        <w:rPr>
          <w:rFonts w:ascii="Arial" w:hAnsi="Arial" w:cs="Arial"/>
          <w:sz w:val="20"/>
          <w:szCs w:val="20"/>
        </w:rPr>
        <w:t>o</w:t>
      </w:r>
      <w:r w:rsidR="008E4941" w:rsidRPr="00327F00">
        <w:rPr>
          <w:rFonts w:ascii="Arial" w:hAnsi="Arial" w:cs="Arial"/>
          <w:sz w:val="20"/>
          <w:szCs w:val="20"/>
        </w:rPr>
        <w:t>ng khi</w:t>
      </w:r>
      <w:r w:rsidR="00B356BB" w:rsidRPr="00327F00">
        <w:rPr>
          <w:rFonts w:ascii="Arial" w:hAnsi="Arial" w:cs="Arial"/>
          <w:sz w:val="20"/>
          <w:szCs w:val="20"/>
        </w:rPr>
        <w:t xml:space="preserve"> đó</w:t>
      </w:r>
      <w:r w:rsidR="008E4941" w:rsidRPr="00327F00">
        <w:rPr>
          <w:rFonts w:ascii="Arial" w:hAnsi="Arial" w:cs="Arial"/>
          <w:sz w:val="20"/>
          <w:szCs w:val="20"/>
        </w:rPr>
        <w:t>,</w:t>
      </w:r>
      <w:r w:rsidR="00B356BB" w:rsidRPr="00327F00">
        <w:rPr>
          <w:rFonts w:ascii="Arial" w:hAnsi="Arial" w:cs="Arial"/>
          <w:sz w:val="20"/>
          <w:szCs w:val="20"/>
        </w:rPr>
        <w:t xml:space="preserve"> tỷ trọng của những đồng tiền khác và </w:t>
      </w:r>
      <w:r w:rsidR="007C79A0" w:rsidRPr="00327F00">
        <w:rPr>
          <w:rFonts w:ascii="Arial" w:hAnsi="Arial" w:cs="Arial"/>
          <w:sz w:val="20"/>
          <w:szCs w:val="20"/>
        </w:rPr>
        <w:t>nhân dân tệ (CNY)</w:t>
      </w:r>
      <w:r w:rsidR="00B356BB" w:rsidRPr="00327F00">
        <w:rPr>
          <w:rFonts w:ascii="Arial" w:hAnsi="Arial" w:cs="Arial"/>
          <w:sz w:val="20"/>
          <w:szCs w:val="20"/>
        </w:rPr>
        <w:t xml:space="preserve"> tăng khá cao, phản ánh </w:t>
      </w:r>
      <w:r w:rsidR="007C79A0" w:rsidRPr="00327F00">
        <w:rPr>
          <w:rFonts w:ascii="Arial" w:hAnsi="Arial" w:cs="Arial"/>
          <w:sz w:val="20"/>
          <w:szCs w:val="20"/>
        </w:rPr>
        <w:t xml:space="preserve">vị thế </w:t>
      </w:r>
      <w:r w:rsidR="007D313B" w:rsidRPr="00327F00">
        <w:rPr>
          <w:rFonts w:ascii="Arial" w:hAnsi="Arial" w:cs="Arial"/>
          <w:sz w:val="20"/>
          <w:szCs w:val="20"/>
        </w:rPr>
        <w:t xml:space="preserve">kinh tế </w:t>
      </w:r>
      <w:r w:rsidR="007C79A0" w:rsidRPr="00327F00">
        <w:rPr>
          <w:rFonts w:ascii="Arial" w:hAnsi="Arial" w:cs="Arial"/>
          <w:sz w:val="20"/>
          <w:szCs w:val="20"/>
        </w:rPr>
        <w:t>ngày càng tăng cao của các nước mới nổi. Đáng chú ý, dự trữ dưới dạng CNY có dấu hiệu tăng đều đặn cả</w:t>
      </w:r>
      <w:r w:rsidR="00AC55B6" w:rsidRPr="00327F00">
        <w:rPr>
          <w:rFonts w:ascii="Arial" w:hAnsi="Arial" w:cs="Arial"/>
          <w:sz w:val="20"/>
          <w:szCs w:val="20"/>
        </w:rPr>
        <w:t xml:space="preserve"> </w:t>
      </w:r>
      <w:r w:rsidR="007C79A0" w:rsidRPr="00327F00">
        <w:rPr>
          <w:rFonts w:ascii="Arial" w:hAnsi="Arial" w:cs="Arial"/>
          <w:sz w:val="20"/>
          <w:szCs w:val="20"/>
        </w:rPr>
        <w:t>về giá trị và tỷ trọng</w:t>
      </w:r>
      <w:r w:rsidR="007D313B" w:rsidRPr="00327F00">
        <w:rPr>
          <w:rFonts w:ascii="Arial" w:hAnsi="Arial" w:cs="Arial"/>
          <w:sz w:val="20"/>
          <w:szCs w:val="20"/>
        </w:rPr>
        <w:t>, nhờ quốc gia này đã nhanh chóng khống chế được đại dịch Covid-19</w:t>
      </w:r>
      <w:r w:rsidR="007C79A0" w:rsidRPr="00327F00">
        <w:rPr>
          <w:rFonts w:ascii="Arial" w:hAnsi="Arial" w:cs="Arial"/>
          <w:sz w:val="20"/>
          <w:szCs w:val="20"/>
        </w:rPr>
        <w:t xml:space="preserve">. Tuy nhiên, </w:t>
      </w:r>
      <w:r w:rsidR="00702D04" w:rsidRPr="00327F00">
        <w:rPr>
          <w:rFonts w:ascii="Arial" w:hAnsi="Arial" w:cs="Arial"/>
          <w:sz w:val="20"/>
          <w:szCs w:val="20"/>
        </w:rPr>
        <w:t xml:space="preserve">tỷ trọng của CNY trong </w:t>
      </w:r>
      <w:r w:rsidR="008E4941" w:rsidRPr="00327F00">
        <w:rPr>
          <w:rFonts w:ascii="Arial" w:hAnsi="Arial" w:cs="Arial"/>
          <w:sz w:val="20"/>
          <w:szCs w:val="20"/>
        </w:rPr>
        <w:t xml:space="preserve">cơ cấu </w:t>
      </w:r>
      <w:r w:rsidR="00702D04" w:rsidRPr="00327F00">
        <w:rPr>
          <w:rFonts w:ascii="Arial" w:hAnsi="Arial" w:cs="Arial"/>
          <w:sz w:val="20"/>
          <w:szCs w:val="20"/>
        </w:rPr>
        <w:t xml:space="preserve">dự trữ ngoại hối quốc tế vẫn khá khiêm tốn và </w:t>
      </w:r>
      <w:r w:rsidR="007C79A0" w:rsidRPr="00327F00">
        <w:rPr>
          <w:rFonts w:ascii="Arial" w:hAnsi="Arial" w:cs="Arial"/>
          <w:sz w:val="20"/>
          <w:szCs w:val="20"/>
        </w:rPr>
        <w:t>xu hướng</w:t>
      </w:r>
      <w:r w:rsidRPr="00327F00">
        <w:rPr>
          <w:rFonts w:ascii="Arial" w:hAnsi="Arial" w:cs="Arial"/>
          <w:sz w:val="20"/>
          <w:szCs w:val="20"/>
        </w:rPr>
        <w:t xml:space="preserve"> này có thể sẽ </w:t>
      </w:r>
      <w:r w:rsidR="007C79A0" w:rsidRPr="00327F00">
        <w:rPr>
          <w:rFonts w:ascii="Arial" w:hAnsi="Arial" w:cs="Arial"/>
          <w:sz w:val="20"/>
          <w:szCs w:val="20"/>
        </w:rPr>
        <w:t xml:space="preserve">sớm chấm dứt </w:t>
      </w:r>
      <w:r w:rsidRPr="00327F00">
        <w:rPr>
          <w:rFonts w:ascii="Arial" w:hAnsi="Arial" w:cs="Arial"/>
          <w:sz w:val="20"/>
          <w:szCs w:val="20"/>
        </w:rPr>
        <w:t xml:space="preserve">do phần lớn các nước sẽ hạn chế </w:t>
      </w:r>
      <w:r w:rsidR="007C79A0" w:rsidRPr="00327F00">
        <w:rPr>
          <w:rFonts w:ascii="Arial" w:hAnsi="Arial" w:cs="Arial"/>
          <w:sz w:val="20"/>
          <w:szCs w:val="20"/>
        </w:rPr>
        <w:t xml:space="preserve">dần </w:t>
      </w:r>
      <w:r w:rsidRPr="00327F00">
        <w:rPr>
          <w:rFonts w:ascii="Arial" w:hAnsi="Arial" w:cs="Arial"/>
          <w:sz w:val="20"/>
          <w:szCs w:val="20"/>
        </w:rPr>
        <w:t>các mố</w:t>
      </w:r>
      <w:r w:rsidR="007C79A0" w:rsidRPr="00327F00">
        <w:rPr>
          <w:rFonts w:ascii="Arial" w:hAnsi="Arial" w:cs="Arial"/>
          <w:sz w:val="20"/>
          <w:szCs w:val="20"/>
        </w:rPr>
        <w:t xml:space="preserve">i </w:t>
      </w:r>
      <w:r w:rsidRPr="00327F00">
        <w:rPr>
          <w:rFonts w:ascii="Arial" w:hAnsi="Arial" w:cs="Arial"/>
          <w:sz w:val="20"/>
          <w:szCs w:val="20"/>
        </w:rPr>
        <w:t>quan hệ kinh tế - thương mại với Trung Quốc</w:t>
      </w:r>
      <w:r w:rsidR="008E4941" w:rsidRPr="00327F00">
        <w:rPr>
          <w:rFonts w:ascii="Arial" w:hAnsi="Arial" w:cs="Arial"/>
          <w:sz w:val="20"/>
          <w:szCs w:val="20"/>
        </w:rPr>
        <w:t>, một</w:t>
      </w:r>
      <w:r w:rsidRPr="00327F00">
        <w:rPr>
          <w:rFonts w:ascii="Arial" w:hAnsi="Arial" w:cs="Arial"/>
          <w:sz w:val="20"/>
          <w:szCs w:val="20"/>
        </w:rPr>
        <w:t xml:space="preserve"> </w:t>
      </w:r>
      <w:r w:rsidR="008E4941" w:rsidRPr="00327F00">
        <w:rPr>
          <w:rFonts w:ascii="Arial" w:hAnsi="Arial" w:cs="Arial"/>
          <w:sz w:val="20"/>
          <w:szCs w:val="20"/>
        </w:rPr>
        <w:t xml:space="preserve">khi </w:t>
      </w:r>
      <w:r w:rsidR="007C79A0" w:rsidRPr="00327F00">
        <w:rPr>
          <w:rFonts w:ascii="Arial" w:hAnsi="Arial" w:cs="Arial"/>
          <w:sz w:val="20"/>
          <w:szCs w:val="20"/>
        </w:rPr>
        <w:t>thế giới khống chế được</w:t>
      </w:r>
      <w:r w:rsidRPr="00327F00">
        <w:rPr>
          <w:rFonts w:ascii="Arial" w:hAnsi="Arial" w:cs="Arial"/>
          <w:sz w:val="20"/>
          <w:szCs w:val="20"/>
        </w:rPr>
        <w:t xml:space="preserve"> đại dịch Covid-19</w:t>
      </w:r>
      <w:r w:rsidR="007C79A0" w:rsidRPr="00327F00">
        <w:rPr>
          <w:rFonts w:ascii="Arial" w:hAnsi="Arial" w:cs="Arial"/>
          <w:sz w:val="20"/>
          <w:szCs w:val="20"/>
        </w:rPr>
        <w:t>, đặc biệt là sau khi Trung Quốc đại lụ</w:t>
      </w:r>
      <w:r w:rsidR="00AC55B6" w:rsidRPr="00327F00">
        <w:rPr>
          <w:rFonts w:ascii="Arial" w:hAnsi="Arial" w:cs="Arial"/>
          <w:sz w:val="20"/>
          <w:szCs w:val="20"/>
        </w:rPr>
        <w:t>c thông qua</w:t>
      </w:r>
      <w:r w:rsidR="00AC55B6" w:rsidRPr="00327F00">
        <w:rPr>
          <w:rFonts w:ascii="Arial" w:eastAsia="Times New Roman" w:hAnsi="Arial" w:cs="Arial"/>
          <w:bCs/>
          <w:sz w:val="20"/>
          <w:szCs w:val="20"/>
          <w:bdr w:val="none" w:sz="0" w:space="0" w:color="auto" w:frame="1"/>
        </w:rPr>
        <w:t xml:space="preserve"> Luật Bảo vệ an ninh quốc gia tại đặc khu hành chính Hồng Kông</w:t>
      </w:r>
      <w:r w:rsidR="008E4941" w:rsidRPr="00327F00">
        <w:rPr>
          <w:rFonts w:ascii="Arial" w:eastAsia="Times New Roman" w:hAnsi="Arial" w:cs="Arial"/>
          <w:bCs/>
          <w:sz w:val="20"/>
          <w:szCs w:val="20"/>
          <w:bdr w:val="none" w:sz="0" w:space="0" w:color="auto" w:frame="1"/>
        </w:rPr>
        <w:t xml:space="preserve"> - một động thái buộc</w:t>
      </w:r>
      <w:r w:rsidR="00AC55B6" w:rsidRPr="00327F00">
        <w:rPr>
          <w:rFonts w:ascii="Arial" w:eastAsia="Times New Roman" w:hAnsi="Arial" w:cs="Arial"/>
          <w:bCs/>
          <w:sz w:val="20"/>
          <w:szCs w:val="20"/>
          <w:bdr w:val="none" w:sz="0" w:space="0" w:color="auto" w:frame="1"/>
        </w:rPr>
        <w:t xml:space="preserve"> </w:t>
      </w:r>
      <w:r w:rsidR="008E4941" w:rsidRPr="00327F00">
        <w:rPr>
          <w:rFonts w:ascii="Arial" w:eastAsia="Times New Roman" w:hAnsi="Arial" w:cs="Arial"/>
          <w:bCs/>
          <w:sz w:val="20"/>
          <w:szCs w:val="20"/>
          <w:bdr w:val="none" w:sz="0" w:space="0" w:color="auto" w:frame="1"/>
        </w:rPr>
        <w:t>các</w:t>
      </w:r>
      <w:r w:rsidR="00AC55B6" w:rsidRPr="00327F00">
        <w:rPr>
          <w:rFonts w:ascii="Arial" w:eastAsia="Times New Roman" w:hAnsi="Arial" w:cs="Arial"/>
          <w:bCs/>
          <w:sz w:val="20"/>
          <w:szCs w:val="20"/>
          <w:bdr w:val="none" w:sz="0" w:space="0" w:color="auto" w:frame="1"/>
        </w:rPr>
        <w:t xml:space="preserve"> nước phát triển </w:t>
      </w:r>
      <w:r w:rsidR="008E4941" w:rsidRPr="00327F00">
        <w:rPr>
          <w:rFonts w:ascii="Arial" w:eastAsia="Times New Roman" w:hAnsi="Arial" w:cs="Arial"/>
          <w:bCs/>
          <w:sz w:val="20"/>
          <w:szCs w:val="20"/>
          <w:bdr w:val="none" w:sz="0" w:space="0" w:color="auto" w:frame="1"/>
        </w:rPr>
        <w:t>hàng đầu phải</w:t>
      </w:r>
      <w:r w:rsidR="00AC55B6" w:rsidRPr="00327F00">
        <w:rPr>
          <w:rFonts w:ascii="Arial" w:eastAsia="Times New Roman" w:hAnsi="Arial" w:cs="Arial"/>
          <w:bCs/>
          <w:sz w:val="20"/>
          <w:szCs w:val="20"/>
          <w:bdr w:val="none" w:sz="0" w:space="0" w:color="auto" w:frame="1"/>
        </w:rPr>
        <w:t xml:space="preserve"> cân nhắc xóa bỏ phần lớn ưu đãi kinh tế dành cho Hồng Kông.</w:t>
      </w:r>
      <w:r w:rsidR="00702D04" w:rsidRPr="00327F00">
        <w:rPr>
          <w:rFonts w:ascii="Arial" w:eastAsia="Times New Roman" w:hAnsi="Arial" w:cs="Arial"/>
          <w:bCs/>
          <w:sz w:val="20"/>
          <w:szCs w:val="20"/>
          <w:bdr w:val="none" w:sz="0" w:space="0" w:color="auto" w:frame="1"/>
        </w:rPr>
        <w:t xml:space="preserve"> </w:t>
      </w:r>
    </w:p>
    <w:p w:rsidR="00E32B21" w:rsidRPr="00327F00" w:rsidRDefault="00E32B21" w:rsidP="00327F00">
      <w:pPr>
        <w:shd w:val="clear" w:color="auto" w:fill="FFFFFF"/>
        <w:spacing w:before="120" w:after="0" w:line="240" w:lineRule="auto"/>
        <w:ind w:firstLine="360"/>
        <w:jc w:val="both"/>
        <w:rPr>
          <w:rFonts w:ascii="Arial" w:eastAsia="Times New Roman" w:hAnsi="Arial" w:cs="Arial"/>
          <w:b/>
          <w:i/>
          <w:sz w:val="20"/>
          <w:szCs w:val="20"/>
        </w:rPr>
      </w:pPr>
      <w:r w:rsidRPr="00327F00">
        <w:rPr>
          <w:rFonts w:ascii="Arial" w:eastAsia="Times New Roman" w:hAnsi="Arial" w:cs="Arial"/>
          <w:b/>
          <w:i/>
          <w:sz w:val="20"/>
          <w:szCs w:val="20"/>
        </w:rPr>
        <w:t>Cơ cấu dữ trữ ngoại hối quốc tế quy đổi sang USD (tỷ USD)</w:t>
      </w:r>
    </w:p>
    <w:tbl>
      <w:tblPr>
        <w:tblStyle w:val="TableGrid"/>
        <w:tblW w:w="9360" w:type="dxa"/>
        <w:jc w:val="center"/>
        <w:tblInd w:w="108" w:type="dxa"/>
        <w:tblLayout w:type="fixed"/>
        <w:tblLook w:val="04A0" w:firstRow="1" w:lastRow="0" w:firstColumn="1" w:lastColumn="0" w:noHBand="0" w:noVBand="1"/>
      </w:tblPr>
      <w:tblGrid>
        <w:gridCol w:w="2250"/>
        <w:gridCol w:w="1170"/>
        <w:gridCol w:w="1170"/>
        <w:gridCol w:w="1170"/>
        <w:gridCol w:w="1170"/>
        <w:gridCol w:w="1170"/>
        <w:gridCol w:w="1260"/>
      </w:tblGrid>
      <w:tr w:rsidR="00AC55B6" w:rsidRPr="00327F00" w:rsidTr="00253CD1">
        <w:trPr>
          <w:jc w:val="center"/>
        </w:trPr>
        <w:tc>
          <w:tcPr>
            <w:tcW w:w="2250" w:type="dxa"/>
          </w:tcPr>
          <w:p w:rsidR="00AC55B6" w:rsidRPr="00327F00" w:rsidRDefault="00AC55B6" w:rsidP="00327F00">
            <w:pPr>
              <w:spacing w:before="120"/>
              <w:jc w:val="center"/>
              <w:rPr>
                <w:rFonts w:ascii="Arial" w:eastAsia="Times New Roman" w:hAnsi="Arial" w:cs="Arial"/>
                <w:b/>
                <w:sz w:val="20"/>
                <w:szCs w:val="20"/>
              </w:rPr>
            </w:pPr>
            <w:bookmarkStart w:id="0" w:name="_GoBack"/>
          </w:p>
        </w:tc>
        <w:tc>
          <w:tcPr>
            <w:tcW w:w="4680" w:type="dxa"/>
            <w:gridSpan w:val="4"/>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Năm 2019</w:t>
            </w:r>
          </w:p>
        </w:tc>
        <w:tc>
          <w:tcPr>
            <w:tcW w:w="2430" w:type="dxa"/>
            <w:gridSpan w:val="2"/>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Quý I /2020</w:t>
            </w:r>
          </w:p>
        </w:tc>
      </w:tr>
      <w:tr w:rsidR="00AC55B6" w:rsidRPr="00327F00" w:rsidTr="00253CD1">
        <w:trPr>
          <w:jc w:val="center"/>
        </w:trPr>
        <w:tc>
          <w:tcPr>
            <w:tcW w:w="2250" w:type="dxa"/>
          </w:tcPr>
          <w:p w:rsidR="00AC55B6" w:rsidRPr="00327F00" w:rsidRDefault="00AC55B6" w:rsidP="00327F00">
            <w:pPr>
              <w:spacing w:before="120"/>
              <w:jc w:val="center"/>
              <w:rPr>
                <w:rFonts w:ascii="Arial" w:eastAsia="Times New Roman" w:hAnsi="Arial" w:cs="Arial"/>
                <w:b/>
                <w:sz w:val="20"/>
                <w:szCs w:val="20"/>
              </w:rPr>
            </w:pPr>
          </w:p>
        </w:tc>
        <w:tc>
          <w:tcPr>
            <w:tcW w:w="117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Quý I</w:t>
            </w:r>
          </w:p>
        </w:tc>
        <w:tc>
          <w:tcPr>
            <w:tcW w:w="117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Quý II</w:t>
            </w:r>
          </w:p>
        </w:tc>
        <w:tc>
          <w:tcPr>
            <w:tcW w:w="117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Quý III</w:t>
            </w:r>
          </w:p>
        </w:tc>
        <w:tc>
          <w:tcPr>
            <w:tcW w:w="117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Quý IV</w:t>
            </w:r>
          </w:p>
        </w:tc>
        <w:tc>
          <w:tcPr>
            <w:tcW w:w="117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Giá trị</w:t>
            </w:r>
          </w:p>
        </w:tc>
        <w:tc>
          <w:tcPr>
            <w:tcW w:w="1260" w:type="dxa"/>
          </w:tcPr>
          <w:p w:rsidR="00AC55B6" w:rsidRPr="00327F00" w:rsidRDefault="00AC55B6" w:rsidP="00327F00">
            <w:pPr>
              <w:spacing w:before="120"/>
              <w:jc w:val="center"/>
              <w:rPr>
                <w:rFonts w:ascii="Arial" w:eastAsia="Times New Roman" w:hAnsi="Arial" w:cs="Arial"/>
                <w:b/>
                <w:sz w:val="20"/>
                <w:szCs w:val="20"/>
              </w:rPr>
            </w:pPr>
            <w:r w:rsidRPr="00327F00">
              <w:rPr>
                <w:rFonts w:ascii="Arial" w:eastAsia="Times New Roman" w:hAnsi="Arial" w:cs="Arial"/>
                <w:b/>
                <w:sz w:val="20"/>
                <w:szCs w:val="20"/>
              </w:rPr>
              <w:t>Tỷ trọng</w:t>
            </w:r>
            <w:r w:rsidR="00173FF4" w:rsidRPr="00327F00">
              <w:rPr>
                <w:rFonts w:ascii="Arial" w:eastAsia="Times New Roman" w:hAnsi="Arial" w:cs="Arial"/>
                <w:b/>
                <w:sz w:val="20"/>
                <w:szCs w:val="20"/>
              </w:rPr>
              <w:t xml:space="preserve"> %</w:t>
            </w:r>
          </w:p>
        </w:tc>
      </w:tr>
      <w:tr w:rsidR="00AC55B6" w:rsidRPr="00327F00" w:rsidTr="00253CD1">
        <w:trPr>
          <w:jc w:val="center"/>
        </w:trPr>
        <w:tc>
          <w:tcPr>
            <w:tcW w:w="2250" w:type="dxa"/>
          </w:tcPr>
          <w:p w:rsidR="00AC55B6" w:rsidRPr="00327F00" w:rsidRDefault="00AC55B6"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Tổng dự trữ ngoại hối</w:t>
            </w:r>
          </w:p>
        </w:tc>
        <w:tc>
          <w:tcPr>
            <w:tcW w:w="1170" w:type="dxa"/>
          </w:tcPr>
          <w:p w:rsidR="00AC55B6" w:rsidRPr="00327F00" w:rsidRDefault="00AC55B6"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11.610,77</w:t>
            </w:r>
          </w:p>
        </w:tc>
        <w:tc>
          <w:tcPr>
            <w:tcW w:w="1170" w:type="dxa"/>
          </w:tcPr>
          <w:p w:rsidR="00AC55B6" w:rsidRPr="00327F00" w:rsidRDefault="00AC55B6"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w:t>
            </w:r>
            <w:r w:rsidR="005F54D1" w:rsidRPr="00327F00">
              <w:rPr>
                <w:rFonts w:ascii="Arial" w:eastAsia="Times New Roman" w:hAnsi="Arial" w:cs="Arial"/>
                <w:spacing w:val="-4"/>
                <w:sz w:val="20"/>
                <w:szCs w:val="20"/>
              </w:rPr>
              <w:t xml:space="preserve"> 7</w:t>
            </w:r>
            <w:r w:rsidRPr="00327F00">
              <w:rPr>
                <w:rFonts w:ascii="Arial" w:eastAsia="Times New Roman" w:hAnsi="Arial" w:cs="Arial"/>
                <w:spacing w:val="-4"/>
                <w:sz w:val="20"/>
                <w:szCs w:val="20"/>
              </w:rPr>
              <w:t>3</w:t>
            </w:r>
            <w:r w:rsidR="005F54D1" w:rsidRPr="00327F00">
              <w:rPr>
                <w:rFonts w:ascii="Arial" w:eastAsia="Times New Roman" w:hAnsi="Arial" w:cs="Arial"/>
                <w:spacing w:val="-4"/>
                <w:sz w:val="20"/>
                <w:szCs w:val="20"/>
              </w:rPr>
              <w:t>7</w:t>
            </w:r>
            <w:r w:rsidRPr="00327F00">
              <w:rPr>
                <w:rFonts w:ascii="Arial" w:eastAsia="Times New Roman" w:hAnsi="Arial" w:cs="Arial"/>
                <w:spacing w:val="-4"/>
                <w:sz w:val="20"/>
                <w:szCs w:val="20"/>
              </w:rPr>
              <w:t>,</w:t>
            </w:r>
            <w:r w:rsidR="005F54D1" w:rsidRPr="00327F00">
              <w:rPr>
                <w:rFonts w:ascii="Arial" w:eastAsia="Times New Roman" w:hAnsi="Arial" w:cs="Arial"/>
                <w:spacing w:val="-4"/>
                <w:sz w:val="20"/>
                <w:szCs w:val="20"/>
              </w:rPr>
              <w:t>76</w:t>
            </w:r>
          </w:p>
        </w:tc>
        <w:tc>
          <w:tcPr>
            <w:tcW w:w="1170" w:type="dxa"/>
          </w:tcPr>
          <w:p w:rsidR="00AC55B6" w:rsidRPr="00327F00" w:rsidRDefault="00AC55B6"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11.65</w:t>
            </w:r>
            <w:r w:rsidR="005F54D1" w:rsidRPr="00327F00">
              <w:rPr>
                <w:rFonts w:ascii="Arial" w:eastAsia="Times New Roman" w:hAnsi="Arial" w:cs="Arial"/>
                <w:spacing w:val="-4"/>
                <w:sz w:val="20"/>
                <w:szCs w:val="20"/>
              </w:rPr>
              <w:t>6</w:t>
            </w:r>
            <w:r w:rsidRPr="00327F00">
              <w:rPr>
                <w:rFonts w:ascii="Arial" w:eastAsia="Times New Roman" w:hAnsi="Arial" w:cs="Arial"/>
                <w:spacing w:val="-4"/>
                <w:sz w:val="20"/>
                <w:szCs w:val="20"/>
              </w:rPr>
              <w:t>,8</w:t>
            </w:r>
            <w:r w:rsidR="005F54D1" w:rsidRPr="00327F00">
              <w:rPr>
                <w:rFonts w:ascii="Arial" w:eastAsia="Times New Roman" w:hAnsi="Arial" w:cs="Arial"/>
                <w:spacing w:val="-4"/>
                <w:sz w:val="20"/>
                <w:szCs w:val="20"/>
              </w:rPr>
              <w:t>2</w:t>
            </w:r>
          </w:p>
        </w:tc>
        <w:tc>
          <w:tcPr>
            <w:tcW w:w="1170" w:type="dxa"/>
          </w:tcPr>
          <w:p w:rsidR="00AC55B6" w:rsidRPr="00327F00" w:rsidRDefault="005F54D1"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11.824,7</w:t>
            </w:r>
            <w:r w:rsidR="00AC55B6" w:rsidRPr="00327F00">
              <w:rPr>
                <w:rFonts w:ascii="Arial" w:eastAsia="Times New Roman" w:hAnsi="Arial" w:cs="Arial"/>
                <w:spacing w:val="-4"/>
                <w:sz w:val="20"/>
                <w:szCs w:val="20"/>
              </w:rPr>
              <w:t>4</w:t>
            </w:r>
          </w:p>
        </w:tc>
        <w:tc>
          <w:tcPr>
            <w:tcW w:w="1170" w:type="dxa"/>
          </w:tcPr>
          <w:p w:rsidR="00AC55B6"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11.731,94</w:t>
            </w:r>
          </w:p>
        </w:tc>
        <w:tc>
          <w:tcPr>
            <w:tcW w:w="1260" w:type="dxa"/>
          </w:tcPr>
          <w:p w:rsidR="00AC55B6" w:rsidRPr="00327F00" w:rsidRDefault="00AC55B6" w:rsidP="00327F00">
            <w:pPr>
              <w:spacing w:before="120"/>
              <w:jc w:val="center"/>
              <w:rPr>
                <w:rFonts w:ascii="Arial" w:eastAsia="Times New Roman" w:hAnsi="Arial" w:cs="Arial"/>
                <w:spacing w:val="-4"/>
                <w:sz w:val="20"/>
                <w:szCs w:val="20"/>
              </w:rPr>
            </w:pP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Dự trữ đã phân bổ</w:t>
            </w:r>
          </w:p>
        </w:tc>
        <w:tc>
          <w:tcPr>
            <w:tcW w:w="117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10.897,83</w:t>
            </w:r>
          </w:p>
        </w:tc>
        <w:tc>
          <w:tcPr>
            <w:tcW w:w="117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10.021,87</w:t>
            </w:r>
          </w:p>
        </w:tc>
        <w:tc>
          <w:tcPr>
            <w:tcW w:w="117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11.927,42</w:t>
            </w:r>
          </w:p>
        </w:tc>
        <w:tc>
          <w:tcPr>
            <w:tcW w:w="117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11.075,20</w:t>
            </w:r>
          </w:p>
        </w:tc>
        <w:tc>
          <w:tcPr>
            <w:tcW w:w="117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10.961,62</w:t>
            </w:r>
          </w:p>
        </w:tc>
        <w:tc>
          <w:tcPr>
            <w:tcW w:w="126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100,00</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USD</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6.727,09</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6.752,28</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6.728,85</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6.744,83</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6.794,91</w:t>
            </w:r>
          </w:p>
        </w:tc>
        <w:tc>
          <w:tcPr>
            <w:tcW w:w="1260" w:type="dxa"/>
          </w:tcPr>
          <w:p w:rsidR="00173FF4" w:rsidRPr="00327F00" w:rsidRDefault="00173FF4" w:rsidP="00327F00">
            <w:pPr>
              <w:spacing w:before="120"/>
              <w:jc w:val="center"/>
              <w:rPr>
                <w:rFonts w:ascii="Arial" w:eastAsia="Times New Roman" w:hAnsi="Arial" w:cs="Arial"/>
                <w:spacing w:val="-4"/>
                <w:sz w:val="20"/>
                <w:szCs w:val="20"/>
              </w:rPr>
            </w:pPr>
            <w:r w:rsidRPr="00327F00">
              <w:rPr>
                <w:rFonts w:ascii="Arial" w:eastAsia="Times New Roman" w:hAnsi="Arial" w:cs="Arial"/>
                <w:spacing w:val="-4"/>
                <w:sz w:val="20"/>
                <w:szCs w:val="20"/>
              </w:rPr>
              <w:t>61,99</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 xml:space="preserve">EURO </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2.208,79</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2.264,88</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2.212,74</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2.279,30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2.197,30</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20,05</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CNY</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211,26</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212,80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213,83</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215,81</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221,48</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2,02</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Yên Nhật</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584,63</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611,87</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612,75</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631,00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624,97</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5,70</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Bảng Anh</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495,70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497,41</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492,22</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511,51</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486,08</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4,43</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Dollar Australia</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181,95</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186,71</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182,48</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187,18</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170,16</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1,55</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 xml:space="preserve">Dollar Canada </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208,64</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209,85</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205,44</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206,71</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195,13</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1,78</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Frank Thụy Sỹ</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15,27</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15,53</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16,20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17,36</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16,05</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0,15</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Một số đồng tiền khác</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263,50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270,56</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262,92</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281,50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255,55</w:t>
            </w:r>
          </w:p>
        </w:tc>
        <w:tc>
          <w:tcPr>
            <w:tcW w:w="126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2,33</w:t>
            </w:r>
          </w:p>
        </w:tc>
      </w:tr>
      <w:tr w:rsidR="00173FF4" w:rsidRPr="00327F00" w:rsidTr="00253CD1">
        <w:trPr>
          <w:jc w:val="center"/>
        </w:trPr>
        <w:tc>
          <w:tcPr>
            <w:tcW w:w="2250" w:type="dxa"/>
          </w:tcPr>
          <w:p w:rsidR="00173FF4" w:rsidRPr="00327F00" w:rsidRDefault="00173FF4" w:rsidP="00327F00">
            <w:pPr>
              <w:spacing w:before="120"/>
              <w:jc w:val="both"/>
              <w:rPr>
                <w:rFonts w:ascii="Arial" w:eastAsia="Times New Roman" w:hAnsi="Arial" w:cs="Arial"/>
                <w:sz w:val="20"/>
                <w:szCs w:val="20"/>
              </w:rPr>
            </w:pPr>
            <w:r w:rsidRPr="00327F00">
              <w:rPr>
                <w:rFonts w:ascii="Arial" w:eastAsia="Times New Roman" w:hAnsi="Arial" w:cs="Arial"/>
                <w:sz w:val="20"/>
                <w:szCs w:val="20"/>
              </w:rPr>
              <w:t>Dự trữ chưa phân bổ</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712,93</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715,88</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729,40</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749,55</w:t>
            </w:r>
          </w:p>
        </w:tc>
        <w:tc>
          <w:tcPr>
            <w:tcW w:w="1170" w:type="dxa"/>
          </w:tcPr>
          <w:p w:rsidR="00173FF4" w:rsidRPr="00327F00" w:rsidRDefault="00173FF4" w:rsidP="00327F00">
            <w:pPr>
              <w:spacing w:before="120"/>
              <w:jc w:val="center"/>
              <w:rPr>
                <w:rFonts w:ascii="Arial" w:eastAsia="Times New Roman" w:hAnsi="Arial" w:cs="Arial"/>
                <w:sz w:val="20"/>
                <w:szCs w:val="20"/>
              </w:rPr>
            </w:pPr>
            <w:r w:rsidRPr="00327F00">
              <w:rPr>
                <w:rFonts w:ascii="Arial" w:eastAsia="Times New Roman" w:hAnsi="Arial" w:cs="Arial"/>
                <w:sz w:val="20"/>
                <w:szCs w:val="20"/>
              </w:rPr>
              <w:t>770,32</w:t>
            </w:r>
          </w:p>
        </w:tc>
        <w:tc>
          <w:tcPr>
            <w:tcW w:w="1260" w:type="dxa"/>
          </w:tcPr>
          <w:p w:rsidR="00173FF4" w:rsidRPr="00327F00" w:rsidRDefault="00173FF4" w:rsidP="00327F00">
            <w:pPr>
              <w:spacing w:before="120"/>
              <w:jc w:val="center"/>
              <w:rPr>
                <w:rFonts w:ascii="Arial" w:eastAsia="Times New Roman" w:hAnsi="Arial" w:cs="Arial"/>
                <w:sz w:val="20"/>
                <w:szCs w:val="20"/>
              </w:rPr>
            </w:pPr>
          </w:p>
        </w:tc>
      </w:tr>
    </w:tbl>
    <w:bookmarkEnd w:id="0"/>
    <w:p w:rsidR="00E32B21" w:rsidRPr="00327F00" w:rsidRDefault="00E32B21" w:rsidP="00327F00">
      <w:pPr>
        <w:shd w:val="clear" w:color="auto" w:fill="FFFFFF"/>
        <w:spacing w:before="120" w:after="0" w:line="240" w:lineRule="auto"/>
        <w:ind w:firstLine="360"/>
        <w:jc w:val="both"/>
        <w:rPr>
          <w:rFonts w:ascii="Arial" w:eastAsia="Times New Roman" w:hAnsi="Arial" w:cs="Arial"/>
          <w:i/>
          <w:sz w:val="20"/>
          <w:szCs w:val="20"/>
        </w:rPr>
      </w:pPr>
      <w:r w:rsidRPr="00327F00">
        <w:rPr>
          <w:rFonts w:ascii="Arial" w:eastAsia="Times New Roman" w:hAnsi="Arial" w:cs="Arial"/>
          <w:i/>
          <w:sz w:val="20"/>
          <w:szCs w:val="20"/>
        </w:rPr>
        <w:t>Nguồn: IMF</w:t>
      </w:r>
      <w:r w:rsidR="007D313B" w:rsidRPr="00327F00">
        <w:rPr>
          <w:rFonts w:ascii="Arial" w:eastAsia="Times New Roman" w:hAnsi="Arial" w:cs="Arial"/>
          <w:i/>
          <w:sz w:val="20"/>
          <w:szCs w:val="20"/>
        </w:rPr>
        <w:t xml:space="preserve"> tháng 6/2020</w:t>
      </w:r>
      <w:r w:rsidRPr="00327F00">
        <w:rPr>
          <w:rFonts w:ascii="Arial" w:eastAsia="Times New Roman" w:hAnsi="Arial" w:cs="Arial"/>
          <w:i/>
          <w:sz w:val="20"/>
          <w:szCs w:val="20"/>
        </w:rPr>
        <w:t xml:space="preserve"> </w:t>
      </w:r>
    </w:p>
    <w:p w:rsidR="00E32B21" w:rsidRPr="00327F00" w:rsidRDefault="00E32B21" w:rsidP="00327F00">
      <w:pPr>
        <w:spacing w:before="120" w:after="0" w:line="240" w:lineRule="auto"/>
        <w:ind w:firstLine="360"/>
        <w:jc w:val="both"/>
        <w:rPr>
          <w:rFonts w:ascii="Arial" w:hAnsi="Arial" w:cs="Arial"/>
          <w:sz w:val="20"/>
          <w:szCs w:val="20"/>
        </w:rPr>
      </w:pPr>
      <w:r w:rsidRPr="00327F00">
        <w:rPr>
          <w:rFonts w:ascii="Arial" w:hAnsi="Arial" w:cs="Arial"/>
          <w:sz w:val="20"/>
          <w:szCs w:val="20"/>
        </w:rPr>
        <w:t xml:space="preserve">Báo cáo nhấn mạnh, mặc dù USD không còn đóng vai trò quan trọng như trong những năm sau khi Hệ thống Bretton Woods được hình thành, </w:t>
      </w:r>
      <w:r w:rsidR="007D313B" w:rsidRPr="00327F00">
        <w:rPr>
          <w:rFonts w:ascii="Arial" w:hAnsi="Arial" w:cs="Arial"/>
          <w:sz w:val="20"/>
          <w:szCs w:val="20"/>
        </w:rPr>
        <w:t xml:space="preserve">nhưng </w:t>
      </w:r>
      <w:r w:rsidRPr="00327F00">
        <w:rPr>
          <w:rFonts w:ascii="Arial" w:hAnsi="Arial" w:cs="Arial"/>
          <w:sz w:val="20"/>
          <w:szCs w:val="20"/>
        </w:rPr>
        <w:t>USD vẫn tiếp tục là đồng tiền quan trọng nhất trong giỏ các đồng tiền dự trữ quốc tế. Trên thế giới, USD được coi là nơi trú ẩn an toàn nhấ</w:t>
      </w:r>
      <w:r w:rsidR="0062491B" w:rsidRPr="00327F00">
        <w:rPr>
          <w:rFonts w:ascii="Arial" w:hAnsi="Arial" w:cs="Arial"/>
          <w:sz w:val="20"/>
          <w:szCs w:val="20"/>
        </w:rPr>
        <w:t xml:space="preserve">t, </w:t>
      </w:r>
      <w:r w:rsidRPr="00327F00">
        <w:rPr>
          <w:rFonts w:ascii="Arial" w:hAnsi="Arial" w:cs="Arial"/>
          <w:sz w:val="20"/>
          <w:szCs w:val="20"/>
        </w:rPr>
        <w:t>tiếp tục đóng vai trò quan trọng trong việc tích trữ giá trị, nhất là đối với người dân và những chính phủ đang gặp khó khăn về tài khóa và bất ổn chính trị.</w:t>
      </w:r>
      <w:r w:rsidR="00D04AB2" w:rsidRPr="00327F00">
        <w:rPr>
          <w:rFonts w:ascii="Arial" w:hAnsi="Arial" w:cs="Arial"/>
          <w:sz w:val="20"/>
          <w:szCs w:val="20"/>
        </w:rPr>
        <w:t xml:space="preserve"> </w:t>
      </w:r>
      <w:r w:rsidR="008E4941" w:rsidRPr="00327F00">
        <w:rPr>
          <w:rFonts w:ascii="Arial" w:hAnsi="Arial" w:cs="Arial"/>
          <w:sz w:val="20"/>
          <w:szCs w:val="20"/>
        </w:rPr>
        <w:t xml:space="preserve">Trên thị trường tài chính toàn cầu, USD hiện chiếm khoảng 50% các khoản cho vay qua biên giới và các loại chứng khoán nợ quốc tế phát hành dưới dạng USD, khoảng 85% giao dịch ngoại hối quốc tế. </w:t>
      </w:r>
      <w:r w:rsidRPr="00327F00">
        <w:rPr>
          <w:rFonts w:ascii="Arial" w:hAnsi="Arial" w:cs="Arial"/>
          <w:sz w:val="20"/>
          <w:szCs w:val="20"/>
        </w:rPr>
        <w:t xml:space="preserve">  </w:t>
      </w:r>
    </w:p>
    <w:p w:rsidR="00E32B21" w:rsidRPr="00327F00" w:rsidRDefault="00E32B21" w:rsidP="00327F00">
      <w:pPr>
        <w:spacing w:before="120" w:after="0" w:line="240" w:lineRule="auto"/>
        <w:jc w:val="both"/>
        <w:rPr>
          <w:rFonts w:ascii="Arial" w:hAnsi="Arial" w:cs="Arial"/>
          <w:sz w:val="20"/>
          <w:szCs w:val="20"/>
        </w:rPr>
      </w:pPr>
      <w:r w:rsidRPr="00327F00">
        <w:rPr>
          <w:rFonts w:ascii="Arial" w:hAnsi="Arial" w:cs="Arial"/>
          <w:sz w:val="20"/>
          <w:szCs w:val="20"/>
        </w:rPr>
        <w:t xml:space="preserve">Về bản chất, các ngân hàng trung ương (NHTW) nắm giữ các đồng tiền dự trữ quốc tế bắt nguồn từ </w:t>
      </w:r>
      <w:r w:rsidR="007D313B" w:rsidRPr="00327F00">
        <w:rPr>
          <w:rFonts w:ascii="Arial" w:hAnsi="Arial" w:cs="Arial"/>
          <w:sz w:val="20"/>
          <w:szCs w:val="20"/>
        </w:rPr>
        <w:t>những</w:t>
      </w:r>
      <w:r w:rsidRPr="00327F00">
        <w:rPr>
          <w:rFonts w:ascii="Arial" w:hAnsi="Arial" w:cs="Arial"/>
          <w:sz w:val="20"/>
          <w:szCs w:val="20"/>
        </w:rPr>
        <w:t xml:space="preserve"> lý do khác nhau, chủ yếu là nhằm: </w:t>
      </w:r>
      <w:r w:rsidR="008468CB" w:rsidRPr="00327F00">
        <w:rPr>
          <w:rFonts w:ascii="Arial" w:hAnsi="Arial" w:cs="Arial"/>
          <w:sz w:val="20"/>
          <w:szCs w:val="20"/>
        </w:rPr>
        <w:t>D</w:t>
      </w:r>
      <w:r w:rsidRPr="00327F00">
        <w:rPr>
          <w:rFonts w:ascii="Arial" w:hAnsi="Arial" w:cs="Arial"/>
          <w:sz w:val="20"/>
          <w:szCs w:val="20"/>
        </w:rPr>
        <w:t>uy trì ổn định tỷ</w:t>
      </w:r>
      <w:r w:rsidR="007D313B" w:rsidRPr="00327F00">
        <w:rPr>
          <w:rFonts w:ascii="Arial" w:hAnsi="Arial" w:cs="Arial"/>
          <w:sz w:val="20"/>
          <w:szCs w:val="20"/>
        </w:rPr>
        <w:t xml:space="preserve"> giá trị</w:t>
      </w:r>
      <w:r w:rsidRPr="00327F00">
        <w:rPr>
          <w:rFonts w:ascii="Arial" w:hAnsi="Arial" w:cs="Arial"/>
          <w:sz w:val="20"/>
          <w:szCs w:val="20"/>
        </w:rPr>
        <w:t xml:space="preserve"> của đồ</w:t>
      </w:r>
      <w:r w:rsidR="007D313B" w:rsidRPr="00327F00">
        <w:rPr>
          <w:rFonts w:ascii="Arial" w:hAnsi="Arial" w:cs="Arial"/>
          <w:sz w:val="20"/>
          <w:szCs w:val="20"/>
        </w:rPr>
        <w:t>ng bản</w:t>
      </w:r>
      <w:r w:rsidRPr="00327F00">
        <w:rPr>
          <w:rFonts w:ascii="Arial" w:hAnsi="Arial" w:cs="Arial"/>
          <w:sz w:val="20"/>
          <w:szCs w:val="20"/>
        </w:rPr>
        <w:t xml:space="preserve"> tệ; đảm bảo thanh khoản trong trường hợp xảy ra khủng hoả</w:t>
      </w:r>
      <w:r w:rsidR="007D313B" w:rsidRPr="00327F00">
        <w:rPr>
          <w:rFonts w:ascii="Arial" w:hAnsi="Arial" w:cs="Arial"/>
          <w:sz w:val="20"/>
          <w:szCs w:val="20"/>
        </w:rPr>
        <w:t>ng</w:t>
      </w:r>
      <w:r w:rsidRPr="00327F00">
        <w:rPr>
          <w:rFonts w:ascii="Arial" w:hAnsi="Arial" w:cs="Arial"/>
          <w:sz w:val="20"/>
          <w:szCs w:val="20"/>
        </w:rPr>
        <w:t>; duy trì niềm tin đối vớ</w:t>
      </w:r>
      <w:r w:rsidR="007D313B" w:rsidRPr="00327F00">
        <w:rPr>
          <w:rFonts w:ascii="Arial" w:hAnsi="Arial" w:cs="Arial"/>
          <w:sz w:val="20"/>
          <w:szCs w:val="20"/>
        </w:rPr>
        <w:t>i các khách hàng</w:t>
      </w:r>
      <w:r w:rsidRPr="00327F00">
        <w:rPr>
          <w:rFonts w:ascii="Arial" w:hAnsi="Arial" w:cs="Arial"/>
          <w:sz w:val="20"/>
          <w:szCs w:val="20"/>
        </w:rPr>
        <w:t xml:space="preserve"> quốc tế</w:t>
      </w:r>
      <w:r w:rsidR="007D313B" w:rsidRPr="00327F00">
        <w:rPr>
          <w:rFonts w:ascii="Arial" w:hAnsi="Arial" w:cs="Arial"/>
          <w:sz w:val="20"/>
          <w:szCs w:val="20"/>
        </w:rPr>
        <w:t xml:space="preserve"> và doanh nghiệp</w:t>
      </w:r>
      <w:r w:rsidRPr="00327F00">
        <w:rPr>
          <w:rFonts w:ascii="Arial" w:hAnsi="Arial" w:cs="Arial"/>
          <w:sz w:val="20"/>
          <w:szCs w:val="20"/>
        </w:rPr>
        <w:t xml:space="preserve"> </w:t>
      </w:r>
      <w:r w:rsidRPr="00327F00">
        <w:rPr>
          <w:rFonts w:ascii="Arial" w:hAnsi="Arial" w:cs="Arial"/>
          <w:sz w:val="20"/>
          <w:szCs w:val="20"/>
        </w:rPr>
        <w:lastRenderedPageBreak/>
        <w:t>nước ngoài; đáp ứng các nghĩa vụ quốc tế như hoàn trả những khoản nợ đã đến hạn thanh toán; đa dạng hóa danh mục tài sản của NHTW, góp phần kiềm chế rủi ro quá mức.</w:t>
      </w:r>
    </w:p>
    <w:p w:rsidR="00E32B21" w:rsidRPr="00327F00" w:rsidRDefault="00E32B21" w:rsidP="00327F00">
      <w:pPr>
        <w:spacing w:before="120" w:after="0" w:line="240" w:lineRule="auto"/>
        <w:jc w:val="both"/>
        <w:rPr>
          <w:rFonts w:ascii="Arial" w:hAnsi="Arial" w:cs="Arial"/>
          <w:sz w:val="20"/>
          <w:szCs w:val="20"/>
        </w:rPr>
      </w:pPr>
      <w:r w:rsidRPr="00327F00">
        <w:rPr>
          <w:rFonts w:ascii="Arial" w:hAnsi="Arial" w:cs="Arial"/>
          <w:sz w:val="20"/>
          <w:szCs w:val="20"/>
        </w:rPr>
        <w:t>Đối vớ</w:t>
      </w:r>
      <w:r w:rsidR="007D313B" w:rsidRPr="00327F00">
        <w:rPr>
          <w:rFonts w:ascii="Arial" w:hAnsi="Arial" w:cs="Arial"/>
          <w:sz w:val="20"/>
          <w:szCs w:val="20"/>
        </w:rPr>
        <w:t>i các NHTW, USD và EURO</w:t>
      </w:r>
      <w:r w:rsidRPr="00327F00">
        <w:rPr>
          <w:rFonts w:ascii="Arial" w:hAnsi="Arial" w:cs="Arial"/>
          <w:sz w:val="20"/>
          <w:szCs w:val="20"/>
        </w:rPr>
        <w:t xml:space="preserve"> là hai đồng tiền mang lại lợi ích lớn nhất trong cơ cấu dự trữ ngoại hối quốc gia do hai đồng tiền này được chấp nhận rộng rãi trên thế giới, là trung gian thanh toán với tính thanh khoản và độ tin cậy rất cao</w:t>
      </w:r>
      <w:r w:rsidR="00702D04" w:rsidRPr="00327F00">
        <w:rPr>
          <w:rFonts w:ascii="Arial" w:hAnsi="Arial" w:cs="Arial"/>
          <w:sz w:val="20"/>
          <w:szCs w:val="20"/>
        </w:rPr>
        <w:t>, mặc dù kinh tế châu Âu còn đối mặt với nhiều khó khăn và thách thức ở phía trước</w:t>
      </w:r>
      <w:r w:rsidRPr="00327F00">
        <w:rPr>
          <w:rFonts w:ascii="Arial" w:hAnsi="Arial" w:cs="Arial"/>
          <w:sz w:val="20"/>
          <w:szCs w:val="20"/>
        </w:rPr>
        <w:t>.</w:t>
      </w:r>
    </w:p>
    <w:p w:rsidR="008468CB" w:rsidRPr="00327F00" w:rsidRDefault="008468CB" w:rsidP="00327F00">
      <w:pPr>
        <w:spacing w:before="120" w:after="0" w:line="240" w:lineRule="auto"/>
        <w:jc w:val="both"/>
        <w:rPr>
          <w:rFonts w:ascii="Arial" w:hAnsi="Arial" w:cs="Arial"/>
          <w:sz w:val="20"/>
          <w:szCs w:val="20"/>
        </w:rPr>
      </w:pPr>
      <w:r w:rsidRPr="00327F00">
        <w:rPr>
          <w:rFonts w:ascii="Arial" w:hAnsi="Arial" w:cs="Arial"/>
          <w:sz w:val="20"/>
          <w:szCs w:val="20"/>
        </w:rPr>
        <w:t>Hoàng Thế Thỏa</w:t>
      </w:r>
    </w:p>
    <w:p w:rsidR="00E32B21" w:rsidRPr="00327F00" w:rsidRDefault="00E32B21" w:rsidP="00327F00">
      <w:pPr>
        <w:spacing w:before="120" w:after="0" w:line="240" w:lineRule="auto"/>
        <w:rPr>
          <w:rFonts w:ascii="Arial" w:hAnsi="Arial" w:cs="Arial"/>
          <w:i/>
          <w:sz w:val="20"/>
          <w:szCs w:val="20"/>
        </w:rPr>
      </w:pPr>
      <w:r w:rsidRPr="00327F00">
        <w:rPr>
          <w:rFonts w:ascii="Arial" w:hAnsi="Arial" w:cs="Arial"/>
          <w:i/>
          <w:sz w:val="20"/>
          <w:szCs w:val="20"/>
        </w:rPr>
        <w:t>Nguồn: IMF tháng 6/2020</w:t>
      </w:r>
    </w:p>
    <w:p w:rsidR="007F468A" w:rsidRPr="00327F00" w:rsidRDefault="007F468A" w:rsidP="00327F00">
      <w:pPr>
        <w:spacing w:before="120" w:after="0" w:line="240" w:lineRule="auto"/>
        <w:rPr>
          <w:rFonts w:ascii="Arial" w:hAnsi="Arial" w:cs="Arial"/>
          <w:sz w:val="20"/>
          <w:szCs w:val="20"/>
        </w:rPr>
      </w:pPr>
    </w:p>
    <w:sectPr w:rsidR="007F468A" w:rsidRPr="00327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B21"/>
    <w:rsid w:val="000F3D0E"/>
    <w:rsid w:val="00155907"/>
    <w:rsid w:val="00173FF4"/>
    <w:rsid w:val="00181315"/>
    <w:rsid w:val="00253CD1"/>
    <w:rsid w:val="002F1FA7"/>
    <w:rsid w:val="00327F00"/>
    <w:rsid w:val="003E4532"/>
    <w:rsid w:val="004928B1"/>
    <w:rsid w:val="005414A2"/>
    <w:rsid w:val="005F54D1"/>
    <w:rsid w:val="0062491B"/>
    <w:rsid w:val="0065519A"/>
    <w:rsid w:val="00684565"/>
    <w:rsid w:val="00702D04"/>
    <w:rsid w:val="00734A7E"/>
    <w:rsid w:val="007C79A0"/>
    <w:rsid w:val="007D313B"/>
    <w:rsid w:val="007F468A"/>
    <w:rsid w:val="008468CB"/>
    <w:rsid w:val="008E4941"/>
    <w:rsid w:val="0092352F"/>
    <w:rsid w:val="009E3260"/>
    <w:rsid w:val="00A436C3"/>
    <w:rsid w:val="00AC55B6"/>
    <w:rsid w:val="00B356BB"/>
    <w:rsid w:val="00D04AB2"/>
    <w:rsid w:val="00D8772F"/>
    <w:rsid w:val="00E32B21"/>
    <w:rsid w:val="00EA0447"/>
    <w:rsid w:val="00EA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27</cp:revision>
  <dcterms:created xsi:type="dcterms:W3CDTF">2020-07-24T03:12:00Z</dcterms:created>
  <dcterms:modified xsi:type="dcterms:W3CDTF">2020-07-24T03:23:00Z</dcterms:modified>
</cp:coreProperties>
</file>