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F7FFA" w14:textId="77777777" w:rsidR="007A1544" w:rsidRPr="00752FA3" w:rsidRDefault="008721D5" w:rsidP="00C94AE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52FA3">
        <w:rPr>
          <w:rFonts w:ascii="Arial" w:hAnsi="Arial" w:cs="Arial"/>
          <w:sz w:val="20"/>
          <w:szCs w:val="20"/>
        </w:rPr>
        <w:t xml:space="preserve">Sau khủng hoảng tài chính toàn cầu 2008, </w:t>
      </w:r>
      <w:r w:rsidR="00246A74" w:rsidRPr="00752FA3">
        <w:rPr>
          <w:rFonts w:ascii="Arial" w:hAnsi="Arial" w:cs="Arial"/>
          <w:sz w:val="20"/>
          <w:szCs w:val="20"/>
        </w:rPr>
        <w:t xml:space="preserve">vai trò, </w:t>
      </w:r>
      <w:r w:rsidRPr="00752FA3">
        <w:rPr>
          <w:rFonts w:ascii="Arial" w:hAnsi="Arial" w:cs="Arial"/>
          <w:sz w:val="20"/>
          <w:szCs w:val="20"/>
        </w:rPr>
        <w:t>chức năng</w:t>
      </w:r>
      <w:r w:rsidR="00B50202" w:rsidRPr="00752FA3">
        <w:rPr>
          <w:rFonts w:ascii="Arial" w:hAnsi="Arial" w:cs="Arial"/>
          <w:sz w:val="20"/>
          <w:szCs w:val="20"/>
        </w:rPr>
        <w:t xml:space="preserve"> </w:t>
      </w:r>
      <w:r w:rsidR="00246A74" w:rsidRPr="00752FA3">
        <w:rPr>
          <w:rFonts w:ascii="Arial" w:hAnsi="Arial" w:cs="Arial"/>
          <w:sz w:val="20"/>
          <w:szCs w:val="20"/>
        </w:rPr>
        <w:t xml:space="preserve">của các </w:t>
      </w:r>
      <w:r w:rsidR="00963728" w:rsidRPr="00752FA3">
        <w:rPr>
          <w:rFonts w:ascii="Arial" w:hAnsi="Arial" w:cs="Arial"/>
          <w:sz w:val="20"/>
          <w:szCs w:val="20"/>
        </w:rPr>
        <w:t>ngân hàng trung ương</w:t>
      </w:r>
      <w:r w:rsidR="00246A74" w:rsidRPr="00752FA3">
        <w:rPr>
          <w:rFonts w:ascii="Arial" w:hAnsi="Arial" w:cs="Arial"/>
          <w:sz w:val="20"/>
          <w:szCs w:val="20"/>
        </w:rPr>
        <w:t xml:space="preserve"> </w:t>
      </w:r>
      <w:r w:rsidRPr="00752FA3">
        <w:rPr>
          <w:rFonts w:ascii="Arial" w:hAnsi="Arial" w:cs="Arial"/>
          <w:sz w:val="20"/>
          <w:szCs w:val="20"/>
        </w:rPr>
        <w:t>đã được mở rộng đáng kể</w:t>
      </w:r>
      <w:r w:rsidR="001F5056" w:rsidRPr="00752FA3">
        <w:rPr>
          <w:rFonts w:ascii="Arial" w:hAnsi="Arial" w:cs="Arial"/>
          <w:sz w:val="20"/>
          <w:szCs w:val="20"/>
        </w:rPr>
        <w:t xml:space="preserve">. Hiện nay, các </w:t>
      </w:r>
      <w:r w:rsidR="00963728" w:rsidRPr="00752FA3">
        <w:rPr>
          <w:rFonts w:ascii="Arial" w:hAnsi="Arial" w:cs="Arial"/>
          <w:sz w:val="20"/>
          <w:szCs w:val="20"/>
        </w:rPr>
        <w:t>ngân hàng trung ương</w:t>
      </w:r>
      <w:r w:rsidR="001F5056" w:rsidRPr="00752FA3">
        <w:rPr>
          <w:rFonts w:ascii="Arial" w:hAnsi="Arial" w:cs="Arial"/>
          <w:sz w:val="20"/>
          <w:szCs w:val="20"/>
        </w:rPr>
        <w:t xml:space="preserve"> cũng đang triể</w:t>
      </w:r>
      <w:r w:rsidR="00963728" w:rsidRPr="00752FA3">
        <w:rPr>
          <w:rFonts w:ascii="Arial" w:hAnsi="Arial" w:cs="Arial"/>
          <w:sz w:val="20"/>
          <w:szCs w:val="20"/>
        </w:rPr>
        <w:t xml:space="preserve">n khai các </w:t>
      </w:r>
      <w:r w:rsidR="001F5056" w:rsidRPr="00752FA3">
        <w:rPr>
          <w:rFonts w:ascii="Arial" w:hAnsi="Arial" w:cs="Arial"/>
          <w:sz w:val="20"/>
          <w:szCs w:val="20"/>
        </w:rPr>
        <w:t xml:space="preserve">chính sách ứng phó khẩn cấp với đại dịch Covid-19 trên quy mô lớn bằng nhiều biện pháp </w:t>
      </w:r>
      <w:r w:rsidR="00963728" w:rsidRPr="00752FA3">
        <w:rPr>
          <w:rFonts w:ascii="Arial" w:hAnsi="Arial" w:cs="Arial"/>
          <w:sz w:val="20"/>
          <w:szCs w:val="20"/>
        </w:rPr>
        <w:t>truyền thống và phi truyền thống</w:t>
      </w:r>
      <w:r w:rsidR="001F5056" w:rsidRPr="00752FA3">
        <w:rPr>
          <w:rFonts w:ascii="Arial" w:hAnsi="Arial" w:cs="Arial"/>
          <w:sz w:val="20"/>
          <w:szCs w:val="20"/>
        </w:rPr>
        <w:t>.</w:t>
      </w:r>
      <w:r w:rsidR="00963728" w:rsidRPr="00752FA3">
        <w:rPr>
          <w:rFonts w:ascii="Arial" w:hAnsi="Arial" w:cs="Arial"/>
          <w:sz w:val="20"/>
          <w:szCs w:val="20"/>
        </w:rPr>
        <w:t xml:space="preserve"> Cùng với tăng cường về trách nhiệm và thẩm quyền, </w:t>
      </w:r>
      <w:r w:rsidRPr="00752FA3">
        <w:rPr>
          <w:rFonts w:ascii="Arial" w:hAnsi="Arial" w:cs="Arial"/>
          <w:sz w:val="20"/>
          <w:szCs w:val="20"/>
        </w:rPr>
        <w:t xml:space="preserve">các yêu cầu </w:t>
      </w:r>
      <w:r w:rsidR="001F5056" w:rsidRPr="00752FA3">
        <w:rPr>
          <w:rFonts w:ascii="Arial" w:hAnsi="Arial" w:cs="Arial"/>
          <w:sz w:val="20"/>
          <w:szCs w:val="20"/>
        </w:rPr>
        <w:t xml:space="preserve">đặt ra </w:t>
      </w:r>
      <w:r w:rsidR="00963728" w:rsidRPr="00752FA3">
        <w:rPr>
          <w:rFonts w:ascii="Arial" w:hAnsi="Arial" w:cs="Arial"/>
          <w:sz w:val="20"/>
          <w:szCs w:val="20"/>
        </w:rPr>
        <w:t>cho</w:t>
      </w:r>
      <w:r w:rsidRPr="00752FA3">
        <w:rPr>
          <w:rFonts w:ascii="Arial" w:hAnsi="Arial" w:cs="Arial"/>
          <w:sz w:val="20"/>
          <w:szCs w:val="20"/>
        </w:rPr>
        <w:t xml:space="preserve"> </w:t>
      </w:r>
      <w:r w:rsidR="00963728" w:rsidRPr="00752FA3">
        <w:rPr>
          <w:rFonts w:ascii="Arial" w:hAnsi="Arial" w:cs="Arial"/>
          <w:sz w:val="20"/>
          <w:szCs w:val="20"/>
        </w:rPr>
        <w:t xml:space="preserve">việc </w:t>
      </w:r>
      <w:r w:rsidRPr="00752FA3">
        <w:rPr>
          <w:rFonts w:ascii="Arial" w:hAnsi="Arial" w:cs="Arial"/>
          <w:sz w:val="20"/>
          <w:szCs w:val="20"/>
        </w:rPr>
        <w:t xml:space="preserve">minh bạch và </w:t>
      </w:r>
      <w:r w:rsidR="00963728" w:rsidRPr="00752FA3">
        <w:rPr>
          <w:rFonts w:ascii="Arial" w:hAnsi="Arial" w:cs="Arial"/>
          <w:sz w:val="20"/>
          <w:szCs w:val="20"/>
        </w:rPr>
        <w:t xml:space="preserve">thực hiện </w:t>
      </w:r>
      <w:r w:rsidRPr="00752FA3">
        <w:rPr>
          <w:rFonts w:ascii="Arial" w:hAnsi="Arial" w:cs="Arial"/>
          <w:sz w:val="20"/>
          <w:szCs w:val="20"/>
        </w:rPr>
        <w:t xml:space="preserve">trách nhiệm giải trình của </w:t>
      </w:r>
      <w:r w:rsidR="00963728" w:rsidRPr="00752FA3">
        <w:rPr>
          <w:rFonts w:ascii="Arial" w:hAnsi="Arial" w:cs="Arial"/>
          <w:sz w:val="20"/>
          <w:szCs w:val="20"/>
        </w:rPr>
        <w:t>ngân hàng trung ương</w:t>
      </w:r>
      <w:r w:rsidRPr="00752FA3">
        <w:rPr>
          <w:rFonts w:ascii="Arial" w:hAnsi="Arial" w:cs="Arial"/>
          <w:sz w:val="20"/>
          <w:szCs w:val="20"/>
        </w:rPr>
        <w:t xml:space="preserve"> vì thế cũng ngày càng cao hơn</w:t>
      </w:r>
      <w:r w:rsidR="00246A74" w:rsidRPr="00752FA3">
        <w:rPr>
          <w:rFonts w:ascii="Arial" w:hAnsi="Arial" w:cs="Arial"/>
          <w:sz w:val="20"/>
          <w:szCs w:val="20"/>
        </w:rPr>
        <w:t>.</w:t>
      </w:r>
      <w:r w:rsidR="00D56248" w:rsidRPr="00752FA3">
        <w:rPr>
          <w:rFonts w:ascii="Arial" w:hAnsi="Arial" w:cs="Arial"/>
          <w:sz w:val="20"/>
          <w:szCs w:val="20"/>
        </w:rPr>
        <w:t xml:space="preserve"> </w:t>
      </w:r>
    </w:p>
    <w:p w14:paraId="433C69F1" w14:textId="083A8E9C" w:rsidR="007A1544" w:rsidRPr="00752FA3" w:rsidRDefault="007A1544" w:rsidP="00C94AE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52FA3">
        <w:rPr>
          <w:rFonts w:ascii="Arial" w:eastAsia="Times New Roman" w:hAnsi="Arial" w:cs="Arial"/>
          <w:sz w:val="20"/>
          <w:szCs w:val="20"/>
        </w:rPr>
        <w:t xml:space="preserve">Với đặc trưng có thể được áp dụng một cách tự nguyện, </w:t>
      </w:r>
      <w:r w:rsidR="00951712" w:rsidRPr="00752FA3">
        <w:rPr>
          <w:rFonts w:ascii="Arial" w:eastAsia="Times New Roman" w:hAnsi="Arial" w:cs="Arial"/>
          <w:sz w:val="20"/>
          <w:szCs w:val="20"/>
        </w:rPr>
        <w:t>CBT</w:t>
      </w:r>
      <w:r w:rsidR="00C856FC" w:rsidRPr="00752FA3">
        <w:rPr>
          <w:rFonts w:ascii="Arial" w:eastAsia="Times New Roman" w:hAnsi="Arial" w:cs="Arial"/>
          <w:sz w:val="20"/>
          <w:szCs w:val="20"/>
        </w:rPr>
        <w:t xml:space="preserve"> mới của IMF </w:t>
      </w:r>
      <w:r w:rsidR="00532275" w:rsidRPr="00752FA3">
        <w:rPr>
          <w:rFonts w:ascii="Arial" w:eastAsia="Times New Roman" w:hAnsi="Arial" w:cs="Arial"/>
          <w:bCs/>
          <w:sz w:val="20"/>
          <w:szCs w:val="20"/>
        </w:rPr>
        <w:t xml:space="preserve">cho phép các </w:t>
      </w:r>
      <w:r w:rsidR="00963728" w:rsidRPr="00752FA3">
        <w:rPr>
          <w:rFonts w:ascii="Arial" w:eastAsia="Times New Roman" w:hAnsi="Arial" w:cs="Arial"/>
          <w:bCs/>
          <w:sz w:val="20"/>
          <w:szCs w:val="20"/>
        </w:rPr>
        <w:t>ngân hàng trung ương</w:t>
      </w:r>
      <w:r w:rsidR="00532275" w:rsidRPr="00752FA3">
        <w:rPr>
          <w:rFonts w:ascii="Arial" w:eastAsia="Times New Roman" w:hAnsi="Arial" w:cs="Arial"/>
          <w:bCs/>
          <w:sz w:val="20"/>
          <w:szCs w:val="20"/>
        </w:rPr>
        <w:t xml:space="preserve"> có thể </w:t>
      </w:r>
      <w:r w:rsidR="00BD5F78" w:rsidRPr="00752FA3">
        <w:rPr>
          <w:rFonts w:ascii="Arial" w:eastAsia="Times New Roman" w:hAnsi="Arial" w:cs="Arial"/>
          <w:bCs/>
          <w:sz w:val="20"/>
          <w:szCs w:val="20"/>
        </w:rPr>
        <w:t>đánh giá</w:t>
      </w:r>
      <w:r w:rsidR="00532275" w:rsidRPr="00752FA3">
        <w:rPr>
          <w:rFonts w:ascii="Arial" w:eastAsia="Times New Roman" w:hAnsi="Arial" w:cs="Arial"/>
          <w:bCs/>
          <w:sz w:val="20"/>
          <w:szCs w:val="20"/>
        </w:rPr>
        <w:t xml:space="preserve"> mức độ minh bạch </w:t>
      </w:r>
      <w:r w:rsidR="00C856FC" w:rsidRPr="00752FA3">
        <w:rPr>
          <w:rFonts w:ascii="Arial" w:eastAsia="Times New Roman" w:hAnsi="Arial" w:cs="Arial"/>
          <w:bCs/>
          <w:sz w:val="20"/>
          <w:szCs w:val="20"/>
        </w:rPr>
        <w:t xml:space="preserve">của mình </w:t>
      </w:r>
      <w:r w:rsidR="00532275" w:rsidRPr="00752FA3">
        <w:rPr>
          <w:rFonts w:ascii="Arial" w:eastAsia="Times New Roman" w:hAnsi="Arial" w:cs="Arial"/>
          <w:bCs/>
          <w:sz w:val="20"/>
          <w:szCs w:val="20"/>
        </w:rPr>
        <w:t xml:space="preserve">trong năm khu vực </w:t>
      </w:r>
      <w:r w:rsidR="00C856FC" w:rsidRPr="00752FA3">
        <w:rPr>
          <w:rFonts w:ascii="Arial" w:eastAsia="Times New Roman" w:hAnsi="Arial" w:cs="Arial"/>
          <w:bCs/>
          <w:sz w:val="20"/>
          <w:szCs w:val="20"/>
        </w:rPr>
        <w:t>(</w:t>
      </w:r>
      <w:r w:rsidR="0012280F" w:rsidRPr="00752FA3">
        <w:rPr>
          <w:rFonts w:ascii="Arial" w:hAnsi="Arial" w:cs="Arial"/>
          <w:sz w:val="20"/>
          <w:szCs w:val="20"/>
        </w:rPr>
        <w:t>trụ cộ</w:t>
      </w:r>
      <w:r w:rsidR="00532275" w:rsidRPr="00752FA3">
        <w:rPr>
          <w:rFonts w:ascii="Arial" w:hAnsi="Arial" w:cs="Arial"/>
          <w:sz w:val="20"/>
          <w:szCs w:val="20"/>
        </w:rPr>
        <w:t>t</w:t>
      </w:r>
      <w:r w:rsidR="00C856FC" w:rsidRPr="00752FA3">
        <w:rPr>
          <w:rFonts w:ascii="Arial" w:hAnsi="Arial" w:cs="Arial"/>
          <w:sz w:val="20"/>
          <w:szCs w:val="20"/>
        </w:rPr>
        <w:t>) chính</w:t>
      </w:r>
      <w:r w:rsidR="00532275" w:rsidRPr="00752FA3">
        <w:rPr>
          <w:rFonts w:ascii="Arial" w:hAnsi="Arial" w:cs="Arial"/>
          <w:sz w:val="20"/>
          <w:szCs w:val="20"/>
        </w:rPr>
        <w:t>, bao gồm</w:t>
      </w:r>
      <w:r w:rsidRPr="00752FA3">
        <w:rPr>
          <w:rFonts w:ascii="Arial" w:hAnsi="Arial" w:cs="Arial"/>
          <w:sz w:val="20"/>
          <w:szCs w:val="20"/>
        </w:rPr>
        <w:t>:</w:t>
      </w:r>
      <w:r w:rsidRPr="00752FA3">
        <w:rPr>
          <w:rFonts w:ascii="Arial" w:eastAsia="Times New Roman" w:hAnsi="Arial" w:cs="Arial"/>
          <w:sz w:val="20"/>
          <w:szCs w:val="20"/>
        </w:rPr>
        <w:t xml:space="preserve"> </w:t>
      </w:r>
      <w:r w:rsidRPr="00752FA3">
        <w:rPr>
          <w:rFonts w:ascii="Arial" w:hAnsi="Arial" w:cs="Arial"/>
          <w:sz w:val="20"/>
          <w:szCs w:val="20"/>
        </w:rPr>
        <w:t>Sự minh bạch trong quản trị, bao gồm</w:t>
      </w:r>
      <w:r w:rsidRPr="00752FA3">
        <w:rPr>
          <w:rFonts w:ascii="Arial" w:hAnsi="Arial" w:cs="Arial"/>
          <w:sz w:val="20"/>
          <w:szCs w:val="20"/>
        </w:rPr>
        <w:t xml:space="preserve"> cả</w:t>
      </w:r>
      <w:r w:rsidRPr="00752FA3">
        <w:rPr>
          <w:rFonts w:ascii="Arial" w:hAnsi="Arial" w:cs="Arial"/>
          <w:sz w:val="20"/>
          <w:szCs w:val="20"/>
        </w:rPr>
        <w:t xml:space="preserve"> các vấn đề thuộc tổ chứ</w:t>
      </w:r>
      <w:r w:rsidR="00752FA3">
        <w:rPr>
          <w:rFonts w:ascii="Arial" w:hAnsi="Arial" w:cs="Arial"/>
          <w:sz w:val="20"/>
          <w:szCs w:val="20"/>
        </w:rPr>
        <w:t>c;</w:t>
      </w:r>
      <w:r w:rsidR="00752FA3">
        <w:rPr>
          <w:rFonts w:ascii="Arial" w:eastAsia="Times New Roman" w:hAnsi="Arial" w:cs="Arial"/>
          <w:sz w:val="20"/>
          <w:szCs w:val="20"/>
        </w:rPr>
        <w:t xml:space="preserve"> </w:t>
      </w:r>
      <w:r w:rsidRPr="00752FA3">
        <w:rPr>
          <w:rFonts w:ascii="Arial" w:hAnsi="Arial" w:cs="Arial"/>
          <w:sz w:val="20"/>
          <w:szCs w:val="20"/>
        </w:rPr>
        <w:t>Minh bạ</w:t>
      </w:r>
      <w:r w:rsidR="00F73702" w:rsidRPr="00752FA3">
        <w:rPr>
          <w:rFonts w:ascii="Arial" w:hAnsi="Arial" w:cs="Arial"/>
          <w:sz w:val="20"/>
          <w:szCs w:val="20"/>
        </w:rPr>
        <w:t xml:space="preserve">ch trong </w:t>
      </w:r>
      <w:r w:rsidRPr="00752FA3">
        <w:rPr>
          <w:rFonts w:ascii="Arial" w:hAnsi="Arial" w:cs="Arial"/>
          <w:sz w:val="20"/>
          <w:szCs w:val="20"/>
        </w:rPr>
        <w:t xml:space="preserve">chính sách, tập trung vào các nghiên cứu kinh tế </w:t>
      </w:r>
      <w:r w:rsidR="00F73702" w:rsidRPr="00752FA3">
        <w:rPr>
          <w:rFonts w:ascii="Arial" w:hAnsi="Arial" w:cs="Arial"/>
          <w:sz w:val="20"/>
          <w:szCs w:val="20"/>
        </w:rPr>
        <w:t xml:space="preserve">trong </w:t>
      </w:r>
      <w:r w:rsidRPr="00752FA3">
        <w:rPr>
          <w:rFonts w:ascii="Arial" w:hAnsi="Arial" w:cs="Arial"/>
          <w:sz w:val="20"/>
          <w:szCs w:val="20"/>
        </w:rPr>
        <w:t>quyết định chính sách củ</w:t>
      </w:r>
      <w:r w:rsidR="00752FA3">
        <w:rPr>
          <w:rFonts w:ascii="Arial" w:hAnsi="Arial" w:cs="Arial"/>
          <w:sz w:val="20"/>
          <w:szCs w:val="20"/>
        </w:rPr>
        <w:t>a NHTW;</w:t>
      </w:r>
      <w:r w:rsidR="00752FA3">
        <w:rPr>
          <w:rFonts w:ascii="Arial" w:eastAsia="Times New Roman" w:hAnsi="Arial" w:cs="Arial"/>
          <w:sz w:val="20"/>
          <w:szCs w:val="20"/>
        </w:rPr>
        <w:t xml:space="preserve"> </w:t>
      </w:r>
      <w:r w:rsidRPr="00752FA3">
        <w:rPr>
          <w:rFonts w:ascii="Arial" w:hAnsi="Arial" w:cs="Arial"/>
          <w:sz w:val="20"/>
          <w:szCs w:val="20"/>
        </w:rPr>
        <w:t>Minh bạch trong hoạt động, nhấn mạnh vào cách các quyết định chính sách được triể</w:t>
      </w:r>
      <w:r w:rsidR="00752FA3">
        <w:rPr>
          <w:rFonts w:ascii="Arial" w:hAnsi="Arial" w:cs="Arial"/>
          <w:sz w:val="20"/>
          <w:szCs w:val="20"/>
        </w:rPr>
        <w:t>n khai;</w:t>
      </w:r>
      <w:r w:rsidRPr="00752FA3">
        <w:rPr>
          <w:rFonts w:ascii="Arial" w:hAnsi="Arial" w:cs="Arial"/>
          <w:sz w:val="20"/>
          <w:szCs w:val="20"/>
        </w:rPr>
        <w:t xml:space="preserve"> Minh bạch trong kết quả, tậ</w:t>
      </w:r>
      <w:r w:rsidR="00F73702" w:rsidRPr="00752FA3">
        <w:rPr>
          <w:rFonts w:ascii="Arial" w:hAnsi="Arial" w:cs="Arial"/>
          <w:sz w:val="20"/>
          <w:szCs w:val="20"/>
        </w:rPr>
        <w:t xml:space="preserve">p trung vào cách mà </w:t>
      </w:r>
      <w:r w:rsidRPr="00752FA3">
        <w:rPr>
          <w:rFonts w:ascii="Arial" w:hAnsi="Arial" w:cs="Arial"/>
          <w:sz w:val="20"/>
          <w:szCs w:val="20"/>
        </w:rPr>
        <w:t xml:space="preserve">kết quả </w:t>
      </w:r>
      <w:r w:rsidR="00F73702" w:rsidRPr="00752FA3">
        <w:rPr>
          <w:rFonts w:ascii="Arial" w:hAnsi="Arial" w:cs="Arial"/>
          <w:sz w:val="20"/>
          <w:szCs w:val="20"/>
        </w:rPr>
        <w:t xml:space="preserve">về các </w:t>
      </w:r>
      <w:r w:rsidRPr="00752FA3">
        <w:rPr>
          <w:rFonts w:ascii="Arial" w:hAnsi="Arial" w:cs="Arial"/>
          <w:sz w:val="20"/>
          <w:szCs w:val="20"/>
        </w:rPr>
        <w:t xml:space="preserve">chính sách </w:t>
      </w:r>
      <w:r w:rsidR="00F73702" w:rsidRPr="00752FA3">
        <w:rPr>
          <w:rFonts w:ascii="Arial" w:hAnsi="Arial" w:cs="Arial"/>
          <w:sz w:val="20"/>
          <w:szCs w:val="20"/>
        </w:rPr>
        <w:t xml:space="preserve">và </w:t>
      </w:r>
      <w:r w:rsidRPr="00752FA3">
        <w:rPr>
          <w:rFonts w:ascii="Arial" w:hAnsi="Arial" w:cs="Arial"/>
          <w:sz w:val="20"/>
          <w:szCs w:val="20"/>
        </w:rPr>
        <w:t xml:space="preserve">hoạt động khác </w:t>
      </w:r>
      <w:r w:rsidR="00F73702" w:rsidRPr="00752FA3">
        <w:rPr>
          <w:rFonts w:ascii="Arial" w:hAnsi="Arial" w:cs="Arial"/>
          <w:sz w:val="20"/>
          <w:szCs w:val="20"/>
        </w:rPr>
        <w:t xml:space="preserve">của ngân hàng trung ương </w:t>
      </w:r>
      <w:r w:rsidRPr="00752FA3">
        <w:rPr>
          <w:rFonts w:ascii="Arial" w:hAnsi="Arial" w:cs="Arial"/>
          <w:sz w:val="20"/>
          <w:szCs w:val="20"/>
        </w:rPr>
        <w:t xml:space="preserve">được báo cáo </w:t>
      </w:r>
      <w:r w:rsidR="00F73702" w:rsidRPr="00752FA3">
        <w:rPr>
          <w:rFonts w:ascii="Arial" w:hAnsi="Arial" w:cs="Arial"/>
          <w:sz w:val="20"/>
          <w:szCs w:val="20"/>
        </w:rPr>
        <w:t xml:space="preserve">tới </w:t>
      </w:r>
      <w:r w:rsidRPr="00752FA3">
        <w:rPr>
          <w:rFonts w:ascii="Arial" w:hAnsi="Arial" w:cs="Arial"/>
          <w:sz w:val="20"/>
          <w:szCs w:val="20"/>
        </w:rPr>
        <w:t>các bên liên quan để tạo thuận lợi cho trách nhiệm giải trình</w:t>
      </w:r>
      <w:r w:rsidR="00752FA3">
        <w:rPr>
          <w:rFonts w:ascii="Arial" w:hAnsi="Arial" w:cs="Arial"/>
          <w:sz w:val="20"/>
          <w:szCs w:val="20"/>
        </w:rPr>
        <w:t xml:space="preserve">; và </w:t>
      </w:r>
      <w:r w:rsidRPr="00752FA3">
        <w:rPr>
          <w:rFonts w:ascii="Arial" w:hAnsi="Arial" w:cs="Arial"/>
          <w:sz w:val="20"/>
          <w:szCs w:val="20"/>
        </w:rPr>
        <w:t xml:space="preserve">Minh bạch trong các quan hệ chính thức, bao gồm các tương tác của </w:t>
      </w:r>
      <w:r w:rsidR="00F73702" w:rsidRPr="00752FA3">
        <w:rPr>
          <w:rFonts w:ascii="Arial" w:hAnsi="Arial" w:cs="Arial"/>
          <w:sz w:val="20"/>
          <w:szCs w:val="20"/>
        </w:rPr>
        <w:t xml:space="preserve">ngân hàng trung ương </w:t>
      </w:r>
      <w:r w:rsidRPr="00752FA3">
        <w:rPr>
          <w:rFonts w:ascii="Arial" w:hAnsi="Arial" w:cs="Arial"/>
          <w:sz w:val="20"/>
          <w:szCs w:val="20"/>
        </w:rPr>
        <w:t>với chính phủ</w:t>
      </w:r>
      <w:r w:rsidR="00F73702" w:rsidRPr="00752FA3">
        <w:rPr>
          <w:rFonts w:ascii="Arial" w:hAnsi="Arial" w:cs="Arial"/>
          <w:sz w:val="20"/>
          <w:szCs w:val="20"/>
        </w:rPr>
        <w:t xml:space="preserve">, </w:t>
      </w:r>
      <w:r w:rsidRPr="00752FA3">
        <w:rPr>
          <w:rFonts w:ascii="Arial" w:hAnsi="Arial" w:cs="Arial"/>
          <w:sz w:val="20"/>
          <w:szCs w:val="20"/>
        </w:rPr>
        <w:t xml:space="preserve">các cơ quan </w:t>
      </w:r>
      <w:r w:rsidR="00F73702" w:rsidRPr="00752FA3">
        <w:rPr>
          <w:rFonts w:ascii="Arial" w:hAnsi="Arial" w:cs="Arial"/>
          <w:sz w:val="20"/>
          <w:szCs w:val="20"/>
        </w:rPr>
        <w:t xml:space="preserve">tổ chức </w:t>
      </w:r>
      <w:r w:rsidRPr="00752FA3">
        <w:rPr>
          <w:rFonts w:ascii="Arial" w:hAnsi="Arial" w:cs="Arial"/>
          <w:sz w:val="20"/>
          <w:szCs w:val="20"/>
        </w:rPr>
        <w:t>trong nướ</w:t>
      </w:r>
      <w:r w:rsidR="00F73702" w:rsidRPr="00752FA3">
        <w:rPr>
          <w:rFonts w:ascii="Arial" w:hAnsi="Arial" w:cs="Arial"/>
          <w:sz w:val="20"/>
          <w:szCs w:val="20"/>
        </w:rPr>
        <w:t>c;</w:t>
      </w:r>
      <w:r w:rsidRPr="00752FA3">
        <w:rPr>
          <w:rFonts w:ascii="Arial" w:hAnsi="Arial" w:cs="Arial"/>
          <w:sz w:val="20"/>
          <w:szCs w:val="20"/>
        </w:rPr>
        <w:t xml:space="preserve"> các mối quan hệ và các cam kết quốc tế.</w:t>
      </w:r>
    </w:p>
    <w:p w14:paraId="23AAAF3D" w14:textId="7B4F4145" w:rsidR="0012236E" w:rsidRPr="00752FA3" w:rsidRDefault="00BD5F78" w:rsidP="00C94AE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52FA3">
        <w:rPr>
          <w:rFonts w:ascii="Arial" w:hAnsi="Arial" w:cs="Arial"/>
          <w:sz w:val="20"/>
          <w:szCs w:val="20"/>
        </w:rPr>
        <w:t xml:space="preserve">Trong mỗi trụ cột, bộ nguyên tắc cung cấp một danh sách các thông lệ tốt nhất từ “cốt lõi” </w:t>
      </w:r>
      <w:r w:rsidR="00585AFD" w:rsidRPr="00752FA3">
        <w:rPr>
          <w:rFonts w:ascii="Arial" w:hAnsi="Arial" w:cs="Arial"/>
          <w:sz w:val="20"/>
          <w:szCs w:val="20"/>
        </w:rPr>
        <w:t>đến</w:t>
      </w:r>
      <w:r w:rsidRPr="00752FA3">
        <w:rPr>
          <w:rFonts w:ascii="Arial" w:hAnsi="Arial" w:cs="Arial"/>
          <w:sz w:val="20"/>
          <w:szCs w:val="20"/>
        </w:rPr>
        <w:t xml:space="preserve"> “mở rộng” </w:t>
      </w:r>
      <w:r w:rsidR="00585AFD" w:rsidRPr="00752FA3">
        <w:rPr>
          <w:rFonts w:ascii="Arial" w:hAnsi="Arial" w:cs="Arial"/>
          <w:sz w:val="20"/>
          <w:szCs w:val="20"/>
        </w:rPr>
        <w:t>và</w:t>
      </w:r>
      <w:r w:rsidRPr="00752FA3">
        <w:rPr>
          <w:rFonts w:ascii="Arial" w:hAnsi="Arial" w:cs="Arial"/>
          <w:sz w:val="20"/>
          <w:szCs w:val="20"/>
        </w:rPr>
        <w:t xml:space="preserve"> “toàn diện” cho các chức năng chính như chính sách tiền tệ hoặc chính sách an toàn vĩ mô. </w:t>
      </w:r>
      <w:r w:rsidR="00D223E0" w:rsidRPr="00752FA3">
        <w:rPr>
          <w:rFonts w:ascii="Arial" w:hAnsi="Arial" w:cs="Arial"/>
          <w:sz w:val="20"/>
          <w:szCs w:val="20"/>
        </w:rPr>
        <w:t xml:space="preserve">Phạm vi của các </w:t>
      </w:r>
      <w:r w:rsidR="00B2590B" w:rsidRPr="00752FA3">
        <w:rPr>
          <w:rFonts w:ascii="Arial" w:hAnsi="Arial" w:cs="Arial"/>
          <w:sz w:val="20"/>
          <w:szCs w:val="20"/>
        </w:rPr>
        <w:t>thông lệ</w:t>
      </w:r>
      <w:r w:rsidR="00D223E0" w:rsidRPr="00752FA3">
        <w:rPr>
          <w:rFonts w:ascii="Arial" w:hAnsi="Arial" w:cs="Arial"/>
          <w:sz w:val="20"/>
          <w:szCs w:val="20"/>
        </w:rPr>
        <w:t xml:space="preserve"> này </w:t>
      </w:r>
      <w:r w:rsidR="00B2590B" w:rsidRPr="00752FA3">
        <w:rPr>
          <w:rFonts w:ascii="Arial" w:hAnsi="Arial" w:cs="Arial"/>
          <w:sz w:val="20"/>
          <w:szCs w:val="20"/>
        </w:rPr>
        <w:t xml:space="preserve">có </w:t>
      </w:r>
      <w:r w:rsidR="00D223E0" w:rsidRPr="00752FA3">
        <w:rPr>
          <w:rFonts w:ascii="Arial" w:hAnsi="Arial" w:cs="Arial"/>
          <w:sz w:val="20"/>
          <w:szCs w:val="20"/>
        </w:rPr>
        <w:t xml:space="preserve">tính đến sự đa dạng của </w:t>
      </w:r>
      <w:r w:rsidR="00D624EC" w:rsidRPr="00752FA3">
        <w:rPr>
          <w:rFonts w:ascii="Arial" w:hAnsi="Arial" w:cs="Arial"/>
          <w:sz w:val="20"/>
          <w:szCs w:val="20"/>
        </w:rPr>
        <w:t xml:space="preserve">189 </w:t>
      </w:r>
      <w:r w:rsidR="00963728" w:rsidRPr="00752FA3">
        <w:rPr>
          <w:rFonts w:ascii="Arial" w:hAnsi="Arial" w:cs="Arial"/>
          <w:sz w:val="20"/>
          <w:szCs w:val="20"/>
        </w:rPr>
        <w:t>ngân hàng trung ương</w:t>
      </w:r>
      <w:r w:rsidR="00D624EC" w:rsidRPr="00752FA3">
        <w:rPr>
          <w:rFonts w:ascii="Arial" w:hAnsi="Arial" w:cs="Arial"/>
          <w:sz w:val="20"/>
          <w:szCs w:val="20"/>
        </w:rPr>
        <w:t xml:space="preserve"> thành viên của IMF liên quan đến các khuôn khổ pháp lý, tổ chức quản trị </w:t>
      </w:r>
      <w:r w:rsidR="00B2590B" w:rsidRPr="00752FA3">
        <w:rPr>
          <w:rFonts w:ascii="Arial" w:hAnsi="Arial" w:cs="Arial"/>
          <w:sz w:val="20"/>
          <w:szCs w:val="20"/>
        </w:rPr>
        <w:t>cũng như</w:t>
      </w:r>
      <w:r w:rsidR="00D624EC" w:rsidRPr="00752FA3">
        <w:rPr>
          <w:rFonts w:ascii="Arial" w:hAnsi="Arial" w:cs="Arial"/>
          <w:sz w:val="20"/>
          <w:szCs w:val="20"/>
        </w:rPr>
        <w:t xml:space="preserve"> mức độ phát triển của kinh tế và tài chính. </w:t>
      </w:r>
      <w:r w:rsidR="00951712" w:rsidRPr="00752FA3">
        <w:rPr>
          <w:rFonts w:ascii="Arial" w:hAnsi="Arial" w:cs="Arial"/>
          <w:sz w:val="20"/>
          <w:szCs w:val="20"/>
        </w:rPr>
        <w:t>Mỗi</w:t>
      </w:r>
      <w:r w:rsidR="00D624EC" w:rsidRPr="00752FA3">
        <w:rPr>
          <w:rFonts w:ascii="Arial" w:hAnsi="Arial" w:cs="Arial"/>
          <w:sz w:val="20"/>
          <w:szCs w:val="20"/>
        </w:rPr>
        <w:t xml:space="preserve"> </w:t>
      </w:r>
      <w:r w:rsidR="00963728" w:rsidRPr="00752FA3">
        <w:rPr>
          <w:rFonts w:ascii="Arial" w:hAnsi="Arial" w:cs="Arial"/>
          <w:sz w:val="20"/>
          <w:szCs w:val="20"/>
        </w:rPr>
        <w:t>ngân hàng trung ương</w:t>
      </w:r>
      <w:r w:rsidR="00D624EC" w:rsidRPr="00752FA3">
        <w:rPr>
          <w:rFonts w:ascii="Arial" w:hAnsi="Arial" w:cs="Arial"/>
          <w:sz w:val="20"/>
          <w:szCs w:val="20"/>
        </w:rPr>
        <w:t xml:space="preserve"> và các </w:t>
      </w:r>
      <w:r w:rsidR="00D620E7" w:rsidRPr="00752FA3">
        <w:rPr>
          <w:rFonts w:ascii="Arial" w:hAnsi="Arial" w:cs="Arial"/>
          <w:sz w:val="20"/>
          <w:szCs w:val="20"/>
        </w:rPr>
        <w:t>chủ thể</w:t>
      </w:r>
      <w:r w:rsidR="00D624EC" w:rsidRPr="00752FA3">
        <w:rPr>
          <w:rFonts w:ascii="Arial" w:hAnsi="Arial" w:cs="Arial"/>
          <w:sz w:val="20"/>
          <w:szCs w:val="20"/>
        </w:rPr>
        <w:t xml:space="preserve"> liên quan</w:t>
      </w:r>
      <w:r w:rsidR="00D620E7" w:rsidRPr="00752FA3">
        <w:rPr>
          <w:rFonts w:ascii="Arial" w:hAnsi="Arial" w:cs="Arial"/>
          <w:sz w:val="20"/>
          <w:szCs w:val="20"/>
        </w:rPr>
        <w:t xml:space="preserve"> </w:t>
      </w:r>
      <w:r w:rsidR="00D624EC" w:rsidRPr="00752FA3">
        <w:rPr>
          <w:rFonts w:ascii="Arial" w:hAnsi="Arial" w:cs="Arial"/>
          <w:sz w:val="20"/>
          <w:szCs w:val="20"/>
        </w:rPr>
        <w:t xml:space="preserve">có thể </w:t>
      </w:r>
      <w:r w:rsidR="00D620E7" w:rsidRPr="00752FA3">
        <w:rPr>
          <w:rFonts w:ascii="Arial" w:hAnsi="Arial" w:cs="Arial"/>
          <w:sz w:val="20"/>
          <w:szCs w:val="20"/>
        </w:rPr>
        <w:t>quyết</w:t>
      </w:r>
      <w:r w:rsidR="00A85F5E" w:rsidRPr="00752FA3">
        <w:rPr>
          <w:rFonts w:ascii="Arial" w:hAnsi="Arial" w:cs="Arial"/>
          <w:sz w:val="20"/>
          <w:szCs w:val="20"/>
        </w:rPr>
        <w:t xml:space="preserve"> </w:t>
      </w:r>
      <w:r w:rsidR="00C75D9C" w:rsidRPr="00752FA3">
        <w:rPr>
          <w:rFonts w:ascii="Arial" w:hAnsi="Arial" w:cs="Arial"/>
          <w:sz w:val="20"/>
          <w:szCs w:val="20"/>
        </w:rPr>
        <w:t>định</w:t>
      </w:r>
      <w:r w:rsidR="00D624EC" w:rsidRPr="00752FA3">
        <w:rPr>
          <w:rFonts w:ascii="Arial" w:hAnsi="Arial" w:cs="Arial"/>
          <w:sz w:val="20"/>
          <w:szCs w:val="20"/>
        </w:rPr>
        <w:t xml:space="preserve"> </w:t>
      </w:r>
      <w:r w:rsidR="00A85F5E" w:rsidRPr="00752FA3">
        <w:rPr>
          <w:rFonts w:ascii="Arial" w:hAnsi="Arial" w:cs="Arial"/>
          <w:sz w:val="20"/>
          <w:szCs w:val="20"/>
        </w:rPr>
        <w:t>xem</w:t>
      </w:r>
      <w:r w:rsidR="00D624EC" w:rsidRPr="00752FA3">
        <w:rPr>
          <w:rFonts w:ascii="Arial" w:hAnsi="Arial" w:cs="Arial"/>
          <w:sz w:val="20"/>
          <w:szCs w:val="20"/>
        </w:rPr>
        <w:t xml:space="preserve"> sự minh bạch </w:t>
      </w:r>
      <w:r w:rsidR="00A85F5E" w:rsidRPr="00752FA3">
        <w:rPr>
          <w:rFonts w:ascii="Arial" w:hAnsi="Arial" w:cs="Arial"/>
          <w:sz w:val="20"/>
          <w:szCs w:val="20"/>
        </w:rPr>
        <w:t xml:space="preserve">có </w:t>
      </w:r>
      <w:r w:rsidR="00D624EC" w:rsidRPr="00752FA3">
        <w:rPr>
          <w:rFonts w:ascii="Arial" w:hAnsi="Arial" w:cs="Arial"/>
          <w:sz w:val="20"/>
          <w:szCs w:val="20"/>
        </w:rPr>
        <w:t xml:space="preserve">được cân bằng trong thực tế </w:t>
      </w:r>
      <w:r w:rsidR="00951712" w:rsidRPr="00752FA3">
        <w:rPr>
          <w:rFonts w:ascii="Arial" w:hAnsi="Arial" w:cs="Arial"/>
          <w:sz w:val="20"/>
          <w:szCs w:val="20"/>
        </w:rPr>
        <w:t>gắn với</w:t>
      </w:r>
      <w:r w:rsidR="00D624EC" w:rsidRPr="00752FA3">
        <w:rPr>
          <w:rFonts w:ascii="Arial" w:hAnsi="Arial" w:cs="Arial"/>
          <w:sz w:val="20"/>
          <w:szCs w:val="20"/>
        </w:rPr>
        <w:t xml:space="preserve"> bối cảnh cụ thể của từ</w:t>
      </w:r>
      <w:r w:rsidR="00BB2336">
        <w:rPr>
          <w:rFonts w:ascii="Arial" w:hAnsi="Arial" w:cs="Arial"/>
          <w:sz w:val="20"/>
          <w:szCs w:val="20"/>
        </w:rPr>
        <w:t>ng nước. Tuy nhiên,</w:t>
      </w:r>
      <w:bookmarkStart w:id="0" w:name="_GoBack"/>
      <w:bookmarkEnd w:id="0"/>
      <w:r w:rsidR="00BB2336">
        <w:rPr>
          <w:rFonts w:ascii="Arial" w:hAnsi="Arial" w:cs="Arial"/>
          <w:sz w:val="20"/>
          <w:szCs w:val="20"/>
        </w:rPr>
        <w:t xml:space="preserve"> </w:t>
      </w:r>
      <w:r w:rsidR="00A85F5E" w:rsidRPr="00752FA3">
        <w:rPr>
          <w:rFonts w:ascii="Arial" w:hAnsi="Arial" w:cs="Arial"/>
          <w:sz w:val="20"/>
          <w:szCs w:val="20"/>
        </w:rPr>
        <w:t>CBT</w:t>
      </w:r>
      <w:r w:rsidR="00BB2336">
        <w:rPr>
          <w:rFonts w:ascii="Arial" w:hAnsi="Arial" w:cs="Arial"/>
          <w:sz w:val="20"/>
          <w:szCs w:val="20"/>
        </w:rPr>
        <w:t xml:space="preserve"> </w:t>
      </w:r>
      <w:r w:rsidR="00A85F5E" w:rsidRPr="00752FA3">
        <w:rPr>
          <w:rFonts w:ascii="Arial" w:hAnsi="Arial" w:cs="Arial"/>
          <w:sz w:val="20"/>
          <w:szCs w:val="20"/>
        </w:rPr>
        <w:t xml:space="preserve">không </w:t>
      </w:r>
      <w:r w:rsidR="00D624EC" w:rsidRPr="00752FA3">
        <w:rPr>
          <w:rFonts w:ascii="Arial" w:hAnsi="Arial" w:cs="Arial"/>
          <w:sz w:val="20"/>
          <w:szCs w:val="20"/>
        </w:rPr>
        <w:t xml:space="preserve">được thiết kế </w:t>
      </w:r>
      <w:r w:rsidR="00A85F5E" w:rsidRPr="00752FA3">
        <w:rPr>
          <w:rFonts w:ascii="Arial" w:hAnsi="Arial" w:cs="Arial"/>
          <w:sz w:val="20"/>
          <w:szCs w:val="20"/>
        </w:rPr>
        <w:t xml:space="preserve">để trở thành </w:t>
      </w:r>
      <w:r w:rsidR="00E36A32" w:rsidRPr="00752FA3">
        <w:rPr>
          <w:rFonts w:ascii="Arial" w:hAnsi="Arial" w:cs="Arial"/>
          <w:sz w:val="20"/>
          <w:szCs w:val="20"/>
        </w:rPr>
        <w:t>một công cụ xếp hạ</w:t>
      </w:r>
      <w:r w:rsidR="00B234B8" w:rsidRPr="00752FA3">
        <w:rPr>
          <w:rFonts w:ascii="Arial" w:hAnsi="Arial" w:cs="Arial"/>
          <w:sz w:val="20"/>
          <w:szCs w:val="20"/>
        </w:rPr>
        <w:t>ng hay</w:t>
      </w:r>
      <w:r w:rsidR="00E36A32" w:rsidRPr="00752FA3">
        <w:rPr>
          <w:rFonts w:ascii="Arial" w:hAnsi="Arial" w:cs="Arial"/>
          <w:sz w:val="20"/>
          <w:szCs w:val="20"/>
        </w:rPr>
        <w:t xml:space="preserve"> </w:t>
      </w:r>
      <w:r w:rsidR="00A85F5E" w:rsidRPr="00752FA3">
        <w:rPr>
          <w:rFonts w:ascii="Arial" w:hAnsi="Arial" w:cs="Arial"/>
          <w:sz w:val="20"/>
          <w:szCs w:val="20"/>
        </w:rPr>
        <w:t xml:space="preserve">định </w:t>
      </w:r>
      <w:r w:rsidR="00E36A32" w:rsidRPr="00752FA3">
        <w:rPr>
          <w:rFonts w:ascii="Arial" w:hAnsi="Arial" w:cs="Arial"/>
          <w:sz w:val="20"/>
          <w:szCs w:val="20"/>
        </w:rPr>
        <w:t xml:space="preserve">hướng </w:t>
      </w:r>
      <w:r w:rsidR="00B234B8" w:rsidRPr="00752FA3">
        <w:rPr>
          <w:rFonts w:ascii="Arial" w:hAnsi="Arial" w:cs="Arial"/>
          <w:sz w:val="20"/>
          <w:szCs w:val="20"/>
        </w:rPr>
        <w:t>cụ thể</w:t>
      </w:r>
      <w:r w:rsidR="00E36A32" w:rsidRPr="00752FA3">
        <w:rPr>
          <w:rFonts w:ascii="Arial" w:hAnsi="Arial" w:cs="Arial"/>
          <w:sz w:val="20"/>
          <w:szCs w:val="20"/>
        </w:rPr>
        <w:t xml:space="preserve"> </w:t>
      </w:r>
      <w:r w:rsidR="00A85F5E" w:rsidRPr="00752FA3">
        <w:rPr>
          <w:rFonts w:ascii="Arial" w:hAnsi="Arial" w:cs="Arial"/>
          <w:sz w:val="20"/>
          <w:szCs w:val="20"/>
        </w:rPr>
        <w:t>về các</w:t>
      </w:r>
      <w:r w:rsidR="00D1109E" w:rsidRPr="00752FA3">
        <w:rPr>
          <w:rFonts w:ascii="Arial" w:hAnsi="Arial" w:cs="Arial"/>
          <w:sz w:val="20"/>
          <w:szCs w:val="20"/>
        </w:rPr>
        <w:t xml:space="preserve"> ưu tiên h</w:t>
      </w:r>
      <w:r w:rsidR="00951712" w:rsidRPr="00752FA3">
        <w:rPr>
          <w:rFonts w:ascii="Arial" w:hAnsi="Arial" w:cs="Arial"/>
          <w:sz w:val="20"/>
          <w:szCs w:val="20"/>
        </w:rPr>
        <w:t>ay</w:t>
      </w:r>
      <w:r w:rsidR="00BB2336">
        <w:rPr>
          <w:rFonts w:ascii="Arial" w:hAnsi="Arial" w:cs="Arial"/>
          <w:sz w:val="20"/>
          <w:szCs w:val="20"/>
        </w:rPr>
        <w:t xml:space="preserve"> đưa ra </w:t>
      </w:r>
      <w:r w:rsidR="00D1109E" w:rsidRPr="00752FA3">
        <w:rPr>
          <w:rFonts w:ascii="Arial" w:hAnsi="Arial" w:cs="Arial"/>
          <w:sz w:val="20"/>
          <w:szCs w:val="20"/>
        </w:rPr>
        <w:t xml:space="preserve"> khuyến nghị </w:t>
      </w:r>
      <w:r w:rsidR="00951712" w:rsidRPr="00752FA3">
        <w:rPr>
          <w:rFonts w:ascii="Arial" w:hAnsi="Arial" w:cs="Arial"/>
          <w:sz w:val="20"/>
          <w:szCs w:val="20"/>
        </w:rPr>
        <w:t>về</w:t>
      </w:r>
      <w:r w:rsidR="00D1109E" w:rsidRPr="00752FA3">
        <w:rPr>
          <w:rFonts w:ascii="Arial" w:hAnsi="Arial" w:cs="Arial"/>
          <w:sz w:val="20"/>
          <w:szCs w:val="20"/>
        </w:rPr>
        <w:t xml:space="preserve"> </w:t>
      </w:r>
      <w:r w:rsidRPr="00752FA3">
        <w:rPr>
          <w:rFonts w:ascii="Arial" w:hAnsi="Arial" w:cs="Arial"/>
          <w:sz w:val="20"/>
          <w:szCs w:val="20"/>
        </w:rPr>
        <w:t xml:space="preserve">chức năng, </w:t>
      </w:r>
      <w:r w:rsidR="00D1109E" w:rsidRPr="00752FA3">
        <w:rPr>
          <w:rFonts w:ascii="Arial" w:hAnsi="Arial" w:cs="Arial"/>
          <w:sz w:val="20"/>
          <w:szCs w:val="20"/>
        </w:rPr>
        <w:t>nhiệm vụ, thiết lập tổ chức, hoặc quy trình quản trị</w:t>
      </w:r>
      <w:r w:rsidR="00BB2336">
        <w:rPr>
          <w:rFonts w:ascii="Arial" w:hAnsi="Arial" w:cs="Arial"/>
          <w:sz w:val="20"/>
          <w:szCs w:val="20"/>
          <w:shd w:val="clear" w:color="auto" w:fill="FFFFFF"/>
        </w:rPr>
        <w:t xml:space="preserve"> của ngân hàng trung ương.</w:t>
      </w:r>
    </w:p>
    <w:p w14:paraId="2125FBCD" w14:textId="7350559E" w:rsidR="0012236E" w:rsidRPr="00752FA3" w:rsidRDefault="00BB2336" w:rsidP="00C94AE8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Bộ nguyên tắc mới của IMF</w:t>
      </w:r>
      <w:r w:rsidR="007A1544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6123D">
        <w:rPr>
          <w:rFonts w:ascii="Arial" w:hAnsi="Arial" w:cs="Arial"/>
          <w:sz w:val="20"/>
          <w:szCs w:val="20"/>
          <w:shd w:val="clear" w:color="auto" w:fill="FFFFFF"/>
        </w:rPr>
        <w:t>cũ</w:t>
      </w:r>
      <w:r w:rsidR="007A1544" w:rsidRPr="00752FA3">
        <w:rPr>
          <w:rFonts w:ascii="Arial" w:hAnsi="Arial" w:cs="Arial"/>
          <w:sz w:val="20"/>
          <w:szCs w:val="20"/>
          <w:shd w:val="clear" w:color="auto" w:fill="FFFFFF"/>
        </w:rPr>
        <w:t>ng thừa nhận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minh bạch không phải là một mục tiêu tuyệt đối</w:t>
      </w:r>
      <w:r w:rsidR="00773C75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hay là đích cuối cùng. Các </w:t>
      </w:r>
      <w:r w:rsidR="00963728" w:rsidRPr="00752FA3">
        <w:rPr>
          <w:rFonts w:ascii="Arial" w:hAnsi="Arial" w:cs="Arial"/>
          <w:sz w:val="20"/>
          <w:szCs w:val="20"/>
          <w:shd w:val="clear" w:color="auto" w:fill="FFFFFF"/>
        </w:rPr>
        <w:t>ngân hàng trung ương</w:t>
      </w:r>
      <w:r w:rsidR="00773C75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có 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lý do chính đáng để trì hoãn hoặc từ chối công bố các thông tin thị trường nhạy cảm, các </w:t>
      </w:r>
      <w:r w:rsidR="00FE4D78" w:rsidRPr="00752FA3">
        <w:rPr>
          <w:rFonts w:ascii="Arial" w:hAnsi="Arial" w:cs="Arial"/>
          <w:sz w:val="20"/>
          <w:szCs w:val="20"/>
          <w:shd w:val="clear" w:color="auto" w:fill="FFFFFF"/>
        </w:rPr>
        <w:t>cân nhắc về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ổn định tài chính và các thông tin cá nhân. </w:t>
      </w:r>
      <w:r w:rsidR="00951712" w:rsidRPr="00752FA3">
        <w:rPr>
          <w:rFonts w:ascii="Arial" w:hAnsi="Arial" w:cs="Arial"/>
          <w:sz w:val="20"/>
          <w:szCs w:val="20"/>
          <w:shd w:val="clear" w:color="auto" w:fill="FFFFFF"/>
        </w:rPr>
        <w:t>Việc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bảo mật </w:t>
      </w:r>
      <w:r w:rsidR="00951712" w:rsidRPr="00752FA3">
        <w:rPr>
          <w:rFonts w:ascii="Arial" w:hAnsi="Arial" w:cs="Arial"/>
          <w:sz w:val="20"/>
          <w:szCs w:val="20"/>
          <w:shd w:val="clear" w:color="auto" w:fill="FFFFFF"/>
        </w:rPr>
        <w:t>cũng phù hợp với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các can thiệp ngoại hối, quản lý dự trữ</w:t>
      </w:r>
      <w:r w:rsidR="00951712" w:rsidRPr="00752FA3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quyết đị</w:t>
      </w:r>
      <w:r w:rsidR="00951712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nh thanh tra giám sát các 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tổ chức riêng biệt và các hỗ trợ thanh khoản khẩn cấp. Bộ </w:t>
      </w:r>
      <w:r w:rsidR="0016123D">
        <w:rPr>
          <w:rFonts w:ascii="Arial" w:hAnsi="Arial" w:cs="Arial"/>
          <w:sz w:val="20"/>
          <w:szCs w:val="20"/>
          <w:shd w:val="clear" w:color="auto" w:fill="FFFFFF"/>
        </w:rPr>
        <w:t>CBT mới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E4D7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cũng 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>có các tiêu chuẩn</w:t>
      </w:r>
      <w:r w:rsidR="00524C8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phù hợp</w:t>
      </w:r>
      <w:r w:rsidR="0012236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440E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và nguyên tắc cơ bản chung </w:t>
      </w:r>
      <w:r w:rsidR="00FE4D78" w:rsidRPr="00752FA3">
        <w:rPr>
          <w:rFonts w:ascii="Arial" w:hAnsi="Arial" w:cs="Arial"/>
          <w:sz w:val="20"/>
          <w:szCs w:val="20"/>
          <w:shd w:val="clear" w:color="auto" w:fill="FFFFFF"/>
        </w:rPr>
        <w:t>để các</w:t>
      </w:r>
      <w:r w:rsidR="002440E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63728" w:rsidRPr="00752FA3">
        <w:rPr>
          <w:rFonts w:ascii="Arial" w:hAnsi="Arial" w:cs="Arial"/>
          <w:sz w:val="20"/>
          <w:szCs w:val="20"/>
          <w:shd w:val="clear" w:color="auto" w:fill="FFFFFF"/>
        </w:rPr>
        <w:t>ngân hàng trung ương</w:t>
      </w:r>
      <w:r w:rsidR="00FE4D7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có thể</w:t>
      </w:r>
      <w:r w:rsidR="002440E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phát triển </w:t>
      </w:r>
      <w:r w:rsidR="00FE4D7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thêm </w:t>
      </w:r>
      <w:r w:rsidR="002440E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các </w:t>
      </w:r>
      <w:r w:rsidR="00524C8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giải thích </w:t>
      </w:r>
      <w:r w:rsidR="0020233C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chính sách rõ ràng, cụ thể </w:t>
      </w:r>
      <w:r w:rsidR="00524C8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và </w:t>
      </w:r>
      <w:r w:rsidR="0020233C" w:rsidRPr="00752FA3">
        <w:rPr>
          <w:rFonts w:ascii="Arial" w:hAnsi="Arial" w:cs="Arial"/>
          <w:sz w:val="20"/>
          <w:szCs w:val="20"/>
          <w:shd w:val="clear" w:color="auto" w:fill="FFFFFF"/>
        </w:rPr>
        <w:t>thuyết minh</w:t>
      </w:r>
      <w:r w:rsidR="0016123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24C8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0233C" w:rsidRPr="00752FA3">
        <w:rPr>
          <w:rFonts w:ascii="Arial" w:hAnsi="Arial" w:cs="Arial"/>
          <w:sz w:val="20"/>
          <w:szCs w:val="20"/>
          <w:shd w:val="clear" w:color="auto" w:fill="FFFFFF"/>
        </w:rPr>
        <w:t>giải trình về những nội dung được</w:t>
      </w:r>
      <w:r w:rsidR="002440E1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giữ bí mật.</w:t>
      </w:r>
    </w:p>
    <w:p w14:paraId="04B143C3" w14:textId="354211BB" w:rsidR="00671E39" w:rsidRPr="00752FA3" w:rsidRDefault="0020233C" w:rsidP="00C94AE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52FA3">
        <w:rPr>
          <w:rFonts w:ascii="Arial" w:hAnsi="Arial" w:cs="Arial"/>
          <w:sz w:val="20"/>
          <w:szCs w:val="20"/>
          <w:shd w:val="clear" w:color="auto" w:fill="FFFFFF"/>
        </w:rPr>
        <w:t>Trong quá trình</w:t>
      </w:r>
      <w:r w:rsidR="00E6332A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52FA3">
        <w:rPr>
          <w:rFonts w:ascii="Arial" w:hAnsi="Arial" w:cs="Arial"/>
          <w:sz w:val="20"/>
          <w:szCs w:val="20"/>
          <w:shd w:val="clear" w:color="auto" w:fill="FFFFFF"/>
        </w:rPr>
        <w:t>xây dựng,</w:t>
      </w:r>
      <w:r w:rsidR="00E6332A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07182" w:rsidRPr="00752FA3">
        <w:rPr>
          <w:rFonts w:ascii="Arial" w:hAnsi="Arial" w:cs="Arial"/>
          <w:sz w:val="20"/>
          <w:szCs w:val="20"/>
          <w:shd w:val="clear" w:color="auto" w:fill="FFFFFF"/>
        </w:rPr>
        <w:t>bộ</w:t>
      </w:r>
      <w:r w:rsidR="00BD5F7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nguyên tắc</w:t>
      </w:r>
      <w:r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6123D">
        <w:rPr>
          <w:rFonts w:ascii="Arial" w:hAnsi="Arial" w:cs="Arial"/>
          <w:sz w:val="20"/>
          <w:szCs w:val="20"/>
          <w:shd w:val="clear" w:color="auto" w:fill="FFFFFF"/>
        </w:rPr>
        <w:t xml:space="preserve">mới </w:t>
      </w:r>
      <w:r w:rsidR="00845F26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đã </w:t>
      </w:r>
      <w:r w:rsidR="00524C81" w:rsidRPr="00752FA3">
        <w:rPr>
          <w:rFonts w:ascii="Arial" w:hAnsi="Arial" w:cs="Arial"/>
          <w:sz w:val="20"/>
          <w:szCs w:val="20"/>
          <w:shd w:val="clear" w:color="auto" w:fill="FFFFFF"/>
        </w:rPr>
        <w:t>có sự</w:t>
      </w:r>
      <w:r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61FAF" w:rsidRPr="00752FA3">
        <w:rPr>
          <w:rFonts w:ascii="Arial" w:hAnsi="Arial" w:cs="Arial"/>
          <w:sz w:val="20"/>
          <w:szCs w:val="20"/>
          <w:shd w:val="clear" w:color="auto" w:fill="FFFFFF"/>
        </w:rPr>
        <w:t>tham vấn rộng rãi</w:t>
      </w:r>
      <w:r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45F26" w:rsidRPr="00752FA3">
        <w:rPr>
          <w:rFonts w:ascii="Arial" w:hAnsi="Arial" w:cs="Arial"/>
          <w:sz w:val="20"/>
          <w:szCs w:val="20"/>
          <w:shd w:val="clear" w:color="auto" w:fill="FFFFFF"/>
        </w:rPr>
        <w:t>từ</w:t>
      </w:r>
      <w:r w:rsidR="00061FAF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các </w:t>
      </w:r>
      <w:r w:rsidR="00963728" w:rsidRPr="00752FA3">
        <w:rPr>
          <w:rFonts w:ascii="Arial" w:hAnsi="Arial" w:cs="Arial"/>
          <w:sz w:val="20"/>
          <w:szCs w:val="20"/>
          <w:shd w:val="clear" w:color="auto" w:fill="FFFFFF"/>
        </w:rPr>
        <w:t>ngân hàng trung ương</w:t>
      </w:r>
      <w:r w:rsidR="00061FAF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, các liên minh tiền tệ, tổ chức tài chính quốc tế và các cơ quan thiết lập tiêu chuẩn. </w:t>
      </w:r>
      <w:r w:rsidRPr="00752FA3">
        <w:rPr>
          <w:rFonts w:ascii="Arial" w:hAnsi="Arial" w:cs="Arial"/>
          <w:sz w:val="20"/>
          <w:szCs w:val="20"/>
          <w:shd w:val="clear" w:color="auto" w:fill="FFFFFF"/>
        </w:rPr>
        <w:t>Cụ thể</w:t>
      </w:r>
      <w:r w:rsidR="00061FAF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45F26" w:rsidRPr="00752FA3">
        <w:rPr>
          <w:rFonts w:ascii="Arial" w:hAnsi="Arial" w:cs="Arial"/>
          <w:sz w:val="20"/>
          <w:szCs w:val="20"/>
          <w:shd w:val="clear" w:color="auto" w:fill="FFFFFF"/>
        </w:rPr>
        <w:t>dự thảo</w:t>
      </w:r>
      <w:r w:rsidR="00263103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đã</w:t>
      </w:r>
      <w:r w:rsidR="00061FAF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nhận được </w:t>
      </w:r>
      <w:r w:rsidR="00263103" w:rsidRPr="00752FA3">
        <w:rPr>
          <w:rFonts w:ascii="Arial" w:hAnsi="Arial" w:cs="Arial"/>
          <w:sz w:val="20"/>
          <w:szCs w:val="20"/>
          <w:shd w:val="clear" w:color="auto" w:fill="FFFFFF"/>
        </w:rPr>
        <w:t>góp ý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từ 73 </w:t>
      </w:r>
      <w:r w:rsidR="00963728" w:rsidRPr="00752FA3">
        <w:rPr>
          <w:rFonts w:ascii="Arial" w:hAnsi="Arial" w:cs="Arial"/>
          <w:sz w:val="20"/>
          <w:szCs w:val="20"/>
          <w:shd w:val="clear" w:color="auto" w:fill="FFFFFF"/>
        </w:rPr>
        <w:t>ngân hàng trung ương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đại diện cho các khu vực địa lý </w:t>
      </w:r>
      <w:r w:rsidR="00845F26" w:rsidRPr="00752FA3">
        <w:rPr>
          <w:rFonts w:ascii="Arial" w:hAnsi="Arial" w:cs="Arial"/>
          <w:sz w:val="20"/>
          <w:szCs w:val="20"/>
          <w:shd w:val="clear" w:color="auto" w:fill="FFFFFF"/>
        </w:rPr>
        <w:t>có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A5CC2" w:rsidRPr="00752FA3">
        <w:rPr>
          <w:rFonts w:ascii="Arial" w:hAnsi="Arial" w:cs="Arial"/>
          <w:sz w:val="20"/>
          <w:szCs w:val="20"/>
          <w:shd w:val="clear" w:color="auto" w:fill="FFFFFF"/>
        </w:rPr>
        <w:t>mức độ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phát triển kinh tế </w:t>
      </w:r>
      <w:r w:rsidR="009A5CC2" w:rsidRPr="00752FA3">
        <w:rPr>
          <w:rFonts w:ascii="Arial" w:hAnsi="Arial" w:cs="Arial"/>
          <w:sz w:val="20"/>
          <w:szCs w:val="20"/>
          <w:shd w:val="clear" w:color="auto" w:fill="FFFFFF"/>
        </w:rPr>
        <w:t>khác nhau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9A5CC2" w:rsidRPr="00752FA3">
        <w:rPr>
          <w:rFonts w:ascii="Arial" w:hAnsi="Arial" w:cs="Arial"/>
          <w:sz w:val="20"/>
          <w:szCs w:val="20"/>
          <w:shd w:val="clear" w:color="auto" w:fill="FFFFFF"/>
        </w:rPr>
        <w:t>Ngoài ra, dự thảo cũng được tư vấn bởi m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>ột nhóm cố vấn</w:t>
      </w:r>
      <w:r w:rsidR="0074534E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cấp cao</w:t>
      </w:r>
      <w:r w:rsidR="009A5CC2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gồm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các học giả danh tiếng và cựu thống đố</w:t>
      </w:r>
      <w:r w:rsidR="009A5CC2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c </w:t>
      </w:r>
      <w:r w:rsidR="00963728" w:rsidRPr="00752FA3">
        <w:rPr>
          <w:rFonts w:ascii="Arial" w:hAnsi="Arial" w:cs="Arial"/>
          <w:sz w:val="20"/>
          <w:szCs w:val="20"/>
          <w:shd w:val="clear" w:color="auto" w:fill="FFFFFF"/>
        </w:rPr>
        <w:t>ngân hàng trung ương</w:t>
      </w:r>
      <w:r w:rsidR="009A5CC2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với những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kinh nghiệm thực tế và </w:t>
      </w:r>
      <w:r w:rsidR="00A07182" w:rsidRPr="00752FA3">
        <w:rPr>
          <w:rFonts w:ascii="Arial" w:hAnsi="Arial" w:cs="Arial"/>
          <w:sz w:val="20"/>
          <w:szCs w:val="20"/>
          <w:shd w:val="clear" w:color="auto" w:fill="FFFFFF"/>
        </w:rPr>
        <w:t>nhiều</w:t>
      </w:r>
      <w:r w:rsidR="003E1E88" w:rsidRPr="00752FA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07182" w:rsidRPr="00752FA3">
        <w:rPr>
          <w:rFonts w:ascii="Arial" w:hAnsi="Arial" w:cs="Arial"/>
          <w:sz w:val="20"/>
          <w:szCs w:val="20"/>
          <w:shd w:val="clear" w:color="auto" w:fill="FFFFFF"/>
        </w:rPr>
        <w:t>góc nhìn đa chiều</w:t>
      </w:r>
      <w:r w:rsidR="003E1E88" w:rsidRPr="00752FA3">
        <w:rPr>
          <w:rFonts w:ascii="Arial" w:eastAsia="Times New Roman" w:hAnsi="Arial" w:cs="Arial"/>
          <w:sz w:val="20"/>
          <w:szCs w:val="20"/>
        </w:rPr>
        <w:t>.</w:t>
      </w:r>
      <w:r w:rsidR="001218E1" w:rsidRPr="00752FA3">
        <w:rPr>
          <w:rFonts w:ascii="Arial" w:eastAsia="Times New Roman" w:hAnsi="Arial" w:cs="Arial"/>
          <w:sz w:val="20"/>
          <w:szCs w:val="20"/>
        </w:rPr>
        <w:t xml:space="preserve"> </w:t>
      </w:r>
      <w:r w:rsidR="0016123D">
        <w:rPr>
          <w:rFonts w:ascii="Arial" w:eastAsia="Times New Roman" w:hAnsi="Arial" w:cs="Arial"/>
          <w:sz w:val="20"/>
          <w:szCs w:val="20"/>
        </w:rPr>
        <w:t>Đặc biệt,</w:t>
      </w:r>
      <w:r w:rsidR="00A07182" w:rsidRPr="00752FA3">
        <w:rPr>
          <w:rFonts w:ascii="Arial" w:eastAsia="Times New Roman" w:hAnsi="Arial" w:cs="Arial"/>
          <w:sz w:val="20"/>
          <w:szCs w:val="20"/>
        </w:rPr>
        <w:t xml:space="preserve"> </w:t>
      </w:r>
      <w:r w:rsidR="00320FA8" w:rsidRPr="00752FA3">
        <w:rPr>
          <w:rFonts w:ascii="Arial" w:eastAsia="Times New Roman" w:hAnsi="Arial" w:cs="Arial"/>
          <w:sz w:val="20"/>
          <w:szCs w:val="20"/>
        </w:rPr>
        <w:t>các</w:t>
      </w:r>
      <w:r w:rsidR="00A07182" w:rsidRPr="00752FA3">
        <w:rPr>
          <w:rFonts w:ascii="Arial" w:eastAsia="Times New Roman" w:hAnsi="Arial" w:cs="Arial"/>
          <w:sz w:val="20"/>
          <w:szCs w:val="20"/>
        </w:rPr>
        <w:t xml:space="preserve"> đề xuất của nhóm cố vấn về </w:t>
      </w:r>
      <w:r w:rsidR="00320FA8" w:rsidRPr="00752FA3">
        <w:rPr>
          <w:rFonts w:ascii="Arial" w:eastAsia="Times New Roman" w:hAnsi="Arial" w:cs="Arial"/>
          <w:sz w:val="20"/>
          <w:szCs w:val="20"/>
        </w:rPr>
        <w:t xml:space="preserve">những </w:t>
      </w:r>
      <w:r w:rsidR="00A07182" w:rsidRPr="00752FA3">
        <w:rPr>
          <w:rFonts w:ascii="Arial" w:eastAsia="Times New Roman" w:hAnsi="Arial" w:cs="Arial"/>
          <w:sz w:val="20"/>
          <w:szCs w:val="20"/>
        </w:rPr>
        <w:t xml:space="preserve">vấn đề liên quan </w:t>
      </w:r>
      <w:r w:rsidR="00320FA8" w:rsidRPr="00752FA3">
        <w:rPr>
          <w:rFonts w:ascii="Arial" w:eastAsia="Times New Roman" w:hAnsi="Arial" w:cs="Arial"/>
          <w:sz w:val="20"/>
          <w:szCs w:val="20"/>
        </w:rPr>
        <w:t>tới sự cân bằng giữa minh bạch và b</w:t>
      </w:r>
      <w:r w:rsidR="0094517D" w:rsidRPr="00752FA3">
        <w:rPr>
          <w:rFonts w:ascii="Arial" w:eastAsia="Times New Roman" w:hAnsi="Arial" w:cs="Arial"/>
          <w:sz w:val="20"/>
          <w:szCs w:val="20"/>
        </w:rPr>
        <w:t>ảo</w:t>
      </w:r>
      <w:r w:rsidR="00320FA8" w:rsidRPr="00752FA3">
        <w:rPr>
          <w:rFonts w:ascii="Arial" w:eastAsia="Times New Roman" w:hAnsi="Arial" w:cs="Arial"/>
          <w:sz w:val="20"/>
          <w:szCs w:val="20"/>
        </w:rPr>
        <w:t xml:space="preserve"> mật đã giúp nâng cao tính linh hoạt của CBT khi </w:t>
      </w:r>
      <w:r w:rsidR="00F75BB0" w:rsidRPr="00752FA3">
        <w:rPr>
          <w:rFonts w:ascii="Arial" w:eastAsia="Times New Roman" w:hAnsi="Arial" w:cs="Arial"/>
          <w:sz w:val="20"/>
          <w:szCs w:val="20"/>
        </w:rPr>
        <w:t>tính đến</w:t>
      </w:r>
      <w:r w:rsidR="00320FA8" w:rsidRPr="00752FA3">
        <w:rPr>
          <w:rFonts w:ascii="Arial" w:eastAsia="Times New Roman" w:hAnsi="Arial" w:cs="Arial"/>
          <w:sz w:val="20"/>
          <w:szCs w:val="20"/>
        </w:rPr>
        <w:t xml:space="preserve"> </w:t>
      </w:r>
      <w:r w:rsidR="00F75BB0" w:rsidRPr="00752FA3">
        <w:rPr>
          <w:rFonts w:ascii="Arial" w:eastAsia="Times New Roman" w:hAnsi="Arial" w:cs="Arial"/>
          <w:sz w:val="20"/>
          <w:szCs w:val="20"/>
        </w:rPr>
        <w:t xml:space="preserve">yếu tố </w:t>
      </w:r>
      <w:r w:rsidR="00320FA8" w:rsidRPr="00752FA3">
        <w:rPr>
          <w:rFonts w:ascii="Arial" w:eastAsia="Times New Roman" w:hAnsi="Arial" w:cs="Arial"/>
          <w:sz w:val="20"/>
          <w:szCs w:val="20"/>
        </w:rPr>
        <w:t xml:space="preserve">đa dạng </w:t>
      </w:r>
      <w:r w:rsidR="00F75BB0" w:rsidRPr="00752FA3">
        <w:rPr>
          <w:rFonts w:ascii="Arial" w:eastAsia="Times New Roman" w:hAnsi="Arial" w:cs="Arial"/>
          <w:sz w:val="20"/>
          <w:szCs w:val="20"/>
        </w:rPr>
        <w:t>trong</w:t>
      </w:r>
      <w:r w:rsidR="00320FA8" w:rsidRPr="00752FA3">
        <w:rPr>
          <w:rFonts w:ascii="Arial" w:eastAsia="Times New Roman" w:hAnsi="Arial" w:cs="Arial"/>
          <w:sz w:val="20"/>
          <w:szCs w:val="20"/>
        </w:rPr>
        <w:t xml:space="preserve"> các thông lệ về minh bạch</w:t>
      </w:r>
      <w:r w:rsidR="0030467D" w:rsidRPr="00752FA3">
        <w:rPr>
          <w:rFonts w:ascii="Arial" w:eastAsia="Times New Roman" w:hAnsi="Arial" w:cs="Arial"/>
          <w:sz w:val="20"/>
          <w:szCs w:val="20"/>
        </w:rPr>
        <w:t xml:space="preserve"> do những khác biệt về </w:t>
      </w:r>
      <w:r w:rsidR="0094517D" w:rsidRPr="00752FA3">
        <w:rPr>
          <w:rFonts w:ascii="Arial" w:eastAsia="Times New Roman" w:hAnsi="Arial" w:cs="Arial"/>
          <w:sz w:val="20"/>
          <w:szCs w:val="20"/>
        </w:rPr>
        <w:t>cấu trúc và pháp lý</w:t>
      </w:r>
      <w:r w:rsidR="0030467D" w:rsidRPr="00752FA3">
        <w:rPr>
          <w:rFonts w:ascii="Arial" w:eastAsia="Times New Roman" w:hAnsi="Arial" w:cs="Arial"/>
          <w:sz w:val="20"/>
          <w:szCs w:val="20"/>
        </w:rPr>
        <w:t xml:space="preserve"> pháp lý giữa các nước</w:t>
      </w:r>
      <w:r w:rsidR="00FF53B1" w:rsidRPr="00752FA3">
        <w:rPr>
          <w:rFonts w:ascii="Arial" w:eastAsia="Times New Roman" w:hAnsi="Arial" w:cs="Arial"/>
          <w:sz w:val="20"/>
          <w:szCs w:val="20"/>
        </w:rPr>
        <w:t>.</w:t>
      </w:r>
    </w:p>
    <w:p w14:paraId="3F9DB481" w14:textId="4EC23EC4" w:rsidR="00963728" w:rsidRDefault="00963728" w:rsidP="00C94AE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52FA3">
        <w:rPr>
          <w:rFonts w:ascii="Arial" w:eastAsia="Times New Roman" w:hAnsi="Arial" w:cs="Arial"/>
          <w:sz w:val="20"/>
          <w:szCs w:val="20"/>
        </w:rPr>
        <w:t xml:space="preserve">Được phát triển với các </w:t>
      </w:r>
      <w:r w:rsidRPr="00752FA3">
        <w:rPr>
          <w:rFonts w:ascii="Arial" w:eastAsia="Times New Roman" w:hAnsi="Arial" w:cs="Arial"/>
          <w:sz w:val="20"/>
          <w:szCs w:val="20"/>
        </w:rPr>
        <w:t>ngân hàng trung ương</w:t>
      </w:r>
      <w:r w:rsidRPr="00752FA3">
        <w:rPr>
          <w:rFonts w:ascii="Arial" w:eastAsia="Times New Roman" w:hAnsi="Arial" w:cs="Arial"/>
          <w:sz w:val="20"/>
          <w:szCs w:val="20"/>
        </w:rPr>
        <w:t xml:space="preserve"> và dành cho </w:t>
      </w:r>
      <w:r w:rsidRPr="00752FA3">
        <w:rPr>
          <w:rFonts w:ascii="Arial" w:eastAsia="Times New Roman" w:hAnsi="Arial" w:cs="Arial"/>
          <w:sz w:val="20"/>
          <w:szCs w:val="20"/>
        </w:rPr>
        <w:t>ngân hàng trung ương</w:t>
      </w:r>
      <w:r w:rsidRPr="00752FA3">
        <w:rPr>
          <w:rFonts w:ascii="Arial" w:eastAsia="Times New Roman" w:hAnsi="Arial" w:cs="Arial"/>
          <w:sz w:val="20"/>
          <w:szCs w:val="20"/>
        </w:rPr>
        <w:t>, bộ</w:t>
      </w:r>
      <w:r w:rsidR="0016123D">
        <w:rPr>
          <w:rFonts w:ascii="Arial" w:eastAsia="Times New Roman" w:hAnsi="Arial" w:cs="Arial"/>
          <w:sz w:val="20"/>
          <w:szCs w:val="20"/>
        </w:rPr>
        <w:t xml:space="preserve"> nguyên</w:t>
      </w:r>
      <w:r w:rsidRPr="00752FA3">
        <w:rPr>
          <w:rFonts w:ascii="Arial" w:eastAsia="Times New Roman" w:hAnsi="Arial" w:cs="Arial"/>
          <w:sz w:val="20"/>
          <w:szCs w:val="20"/>
        </w:rPr>
        <w:t xml:space="preserve"> tắc minh bạch </w:t>
      </w:r>
      <w:r w:rsidR="00D3228E">
        <w:rPr>
          <w:rFonts w:ascii="Arial" w:eastAsia="Times New Roman" w:hAnsi="Arial" w:cs="Arial"/>
          <w:sz w:val="20"/>
          <w:szCs w:val="20"/>
        </w:rPr>
        <w:t xml:space="preserve">mới </w:t>
      </w:r>
      <w:r w:rsidRPr="00752FA3">
        <w:rPr>
          <w:rFonts w:ascii="Arial" w:eastAsia="Times New Roman" w:hAnsi="Arial" w:cs="Arial"/>
          <w:sz w:val="20"/>
          <w:szCs w:val="20"/>
        </w:rPr>
        <w:t xml:space="preserve">của IMF </w:t>
      </w:r>
      <w:r w:rsidR="0030467D" w:rsidRPr="00752FA3">
        <w:rPr>
          <w:rFonts w:ascii="Arial" w:eastAsia="Times New Roman" w:hAnsi="Arial" w:cs="Arial"/>
          <w:sz w:val="20"/>
          <w:szCs w:val="20"/>
        </w:rPr>
        <w:t>là một c</w:t>
      </w:r>
      <w:r w:rsidR="0030467D" w:rsidRPr="00752FA3">
        <w:rPr>
          <w:rFonts w:ascii="Arial" w:eastAsia="Times New Roman" w:hAnsi="Arial" w:cs="Arial"/>
          <w:sz w:val="20"/>
          <w:szCs w:val="20"/>
        </w:rPr>
        <w:t xml:space="preserve">ông cụ kịp thời và hữu ích cho các ngân hàng trung ương </w:t>
      </w:r>
      <w:r w:rsidR="0030467D" w:rsidRPr="00752FA3">
        <w:rPr>
          <w:rFonts w:ascii="Arial" w:eastAsia="Times New Roman" w:hAnsi="Arial" w:cs="Arial"/>
          <w:sz w:val="20"/>
          <w:szCs w:val="20"/>
        </w:rPr>
        <w:t>trong</w:t>
      </w:r>
      <w:r w:rsidR="0030467D" w:rsidRPr="00752FA3">
        <w:rPr>
          <w:rFonts w:ascii="Arial" w:eastAsia="Times New Roman" w:hAnsi="Arial" w:cs="Arial"/>
          <w:sz w:val="20"/>
          <w:szCs w:val="20"/>
        </w:rPr>
        <w:t xml:space="preserve"> thực h</w:t>
      </w:r>
      <w:r w:rsidR="00752FA3" w:rsidRPr="00752FA3">
        <w:rPr>
          <w:rFonts w:ascii="Arial" w:eastAsia="Times New Roman" w:hAnsi="Arial" w:cs="Arial"/>
          <w:sz w:val="20"/>
          <w:szCs w:val="20"/>
        </w:rPr>
        <w:t xml:space="preserve">ành minh bạch, </w:t>
      </w:r>
      <w:r w:rsidR="0030467D" w:rsidRPr="00752FA3">
        <w:rPr>
          <w:rFonts w:ascii="Arial" w:eastAsia="Times New Roman" w:hAnsi="Arial" w:cs="Arial"/>
          <w:sz w:val="20"/>
          <w:szCs w:val="20"/>
        </w:rPr>
        <w:t xml:space="preserve">tăng cường trách nhiệm giải trình, đảm bảo nâng cao hiệu quả thực thi chính sách và </w:t>
      </w:r>
      <w:r w:rsidR="00752FA3" w:rsidRPr="00752FA3">
        <w:rPr>
          <w:rFonts w:ascii="Arial" w:eastAsia="Times New Roman" w:hAnsi="Arial" w:cs="Arial"/>
          <w:sz w:val="20"/>
          <w:szCs w:val="20"/>
        </w:rPr>
        <w:t>đối thoại với các bên liên quan.</w:t>
      </w:r>
    </w:p>
    <w:p w14:paraId="497DB72F" w14:textId="6F507825" w:rsidR="00752FA3" w:rsidRPr="00BF1876" w:rsidRDefault="00BF1876" w:rsidP="00C94AE8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BF1876">
        <w:rPr>
          <w:rFonts w:ascii="Arial" w:eastAsia="Times New Roman" w:hAnsi="Arial" w:cs="Arial"/>
          <w:i/>
          <w:sz w:val="20"/>
          <w:szCs w:val="20"/>
        </w:rPr>
        <w:t>MHN (theo IMF)</w:t>
      </w:r>
    </w:p>
    <w:sectPr w:rsidR="00752FA3" w:rsidRPr="00BF1876" w:rsidSect="00BF187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D5472"/>
    <w:multiLevelType w:val="hybridMultilevel"/>
    <w:tmpl w:val="1958884E"/>
    <w:lvl w:ilvl="0" w:tplc="E07A4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C8"/>
    <w:rsid w:val="00061FAF"/>
    <w:rsid w:val="00087D6D"/>
    <w:rsid w:val="000A768C"/>
    <w:rsid w:val="000D0C8E"/>
    <w:rsid w:val="000D1189"/>
    <w:rsid w:val="001117DD"/>
    <w:rsid w:val="001218E1"/>
    <w:rsid w:val="0012236E"/>
    <w:rsid w:val="0012280F"/>
    <w:rsid w:val="00122C5D"/>
    <w:rsid w:val="0013300E"/>
    <w:rsid w:val="0016123D"/>
    <w:rsid w:val="001F5056"/>
    <w:rsid w:val="0020233C"/>
    <w:rsid w:val="00212EE8"/>
    <w:rsid w:val="002440E1"/>
    <w:rsid w:val="00246A74"/>
    <w:rsid w:val="00263103"/>
    <w:rsid w:val="00267A77"/>
    <w:rsid w:val="002D3224"/>
    <w:rsid w:val="002E46E7"/>
    <w:rsid w:val="0030467D"/>
    <w:rsid w:val="00320FA8"/>
    <w:rsid w:val="0036054C"/>
    <w:rsid w:val="00394529"/>
    <w:rsid w:val="003C1833"/>
    <w:rsid w:val="003E1E88"/>
    <w:rsid w:val="0040551B"/>
    <w:rsid w:val="00457E6B"/>
    <w:rsid w:val="004955E4"/>
    <w:rsid w:val="004B6BA6"/>
    <w:rsid w:val="0051046B"/>
    <w:rsid w:val="00524C81"/>
    <w:rsid w:val="00532275"/>
    <w:rsid w:val="0055439C"/>
    <w:rsid w:val="00560D7B"/>
    <w:rsid w:val="00583817"/>
    <w:rsid w:val="00585AFD"/>
    <w:rsid w:val="005E5483"/>
    <w:rsid w:val="005E66D7"/>
    <w:rsid w:val="006309DE"/>
    <w:rsid w:val="00671E39"/>
    <w:rsid w:val="006931FD"/>
    <w:rsid w:val="006B61C0"/>
    <w:rsid w:val="006C69C1"/>
    <w:rsid w:val="006C7D45"/>
    <w:rsid w:val="0074534E"/>
    <w:rsid w:val="00752FA3"/>
    <w:rsid w:val="00772F3A"/>
    <w:rsid w:val="00773C75"/>
    <w:rsid w:val="007A1544"/>
    <w:rsid w:val="007E2E11"/>
    <w:rsid w:val="00845F26"/>
    <w:rsid w:val="008721D5"/>
    <w:rsid w:val="008E31C2"/>
    <w:rsid w:val="0094517D"/>
    <w:rsid w:val="00951712"/>
    <w:rsid w:val="00963728"/>
    <w:rsid w:val="009A0947"/>
    <w:rsid w:val="009A5CC2"/>
    <w:rsid w:val="009E163F"/>
    <w:rsid w:val="00A07182"/>
    <w:rsid w:val="00A14734"/>
    <w:rsid w:val="00A538AD"/>
    <w:rsid w:val="00A85F5E"/>
    <w:rsid w:val="00AA1869"/>
    <w:rsid w:val="00AA5752"/>
    <w:rsid w:val="00AF503D"/>
    <w:rsid w:val="00B2205E"/>
    <w:rsid w:val="00B234B8"/>
    <w:rsid w:val="00B2590B"/>
    <w:rsid w:val="00B50202"/>
    <w:rsid w:val="00B8249E"/>
    <w:rsid w:val="00BB2336"/>
    <w:rsid w:val="00BB3267"/>
    <w:rsid w:val="00BC3970"/>
    <w:rsid w:val="00BD5F78"/>
    <w:rsid w:val="00BF1876"/>
    <w:rsid w:val="00C31400"/>
    <w:rsid w:val="00C713C8"/>
    <w:rsid w:val="00C75D9C"/>
    <w:rsid w:val="00C856FC"/>
    <w:rsid w:val="00C94AE8"/>
    <w:rsid w:val="00CA7441"/>
    <w:rsid w:val="00CD200D"/>
    <w:rsid w:val="00CE4172"/>
    <w:rsid w:val="00D1109E"/>
    <w:rsid w:val="00D223E0"/>
    <w:rsid w:val="00D3228E"/>
    <w:rsid w:val="00D56248"/>
    <w:rsid w:val="00D620E7"/>
    <w:rsid w:val="00D624EC"/>
    <w:rsid w:val="00D70445"/>
    <w:rsid w:val="00E26172"/>
    <w:rsid w:val="00E36A32"/>
    <w:rsid w:val="00E44AA0"/>
    <w:rsid w:val="00E6332A"/>
    <w:rsid w:val="00E71C4C"/>
    <w:rsid w:val="00F34345"/>
    <w:rsid w:val="00F73702"/>
    <w:rsid w:val="00F75BB0"/>
    <w:rsid w:val="00F91ABD"/>
    <w:rsid w:val="00FE4D78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C27C"/>
  <w15:chartTrackingRefBased/>
  <w15:docId w15:val="{889CB9C0-EB87-4AC6-A1C4-F9A5DD9F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4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40E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440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0E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40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MHN-Admim</cp:lastModifiedBy>
  <cp:revision>4</cp:revision>
  <dcterms:created xsi:type="dcterms:W3CDTF">2020-08-07T04:11:00Z</dcterms:created>
  <dcterms:modified xsi:type="dcterms:W3CDTF">2020-08-07T04:17:00Z</dcterms:modified>
</cp:coreProperties>
</file>