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5DF3F" w14:textId="39CD1666" w:rsidR="006F6680" w:rsidRPr="00715098" w:rsidRDefault="004E5281" w:rsidP="00856E3E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15098">
        <w:rPr>
          <w:rFonts w:ascii="Arial" w:hAnsi="Arial" w:cs="Arial"/>
          <w:b/>
          <w:sz w:val="20"/>
          <w:szCs w:val="20"/>
        </w:rPr>
        <w:t>Bối</w:t>
      </w:r>
      <w:proofErr w:type="spellEnd"/>
      <w:r w:rsidRPr="007150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sz w:val="20"/>
          <w:szCs w:val="20"/>
        </w:rPr>
        <w:t>cảnh</w:t>
      </w:r>
      <w:proofErr w:type="spellEnd"/>
      <w:r w:rsidRPr="007150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sz w:val="20"/>
          <w:szCs w:val="20"/>
        </w:rPr>
        <w:t>vĩ</w:t>
      </w:r>
      <w:proofErr w:type="spellEnd"/>
      <w:r w:rsidR="00115EC4" w:rsidRPr="0071509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sz w:val="20"/>
          <w:szCs w:val="20"/>
        </w:rPr>
        <w:t>mô</w:t>
      </w:r>
      <w:proofErr w:type="spellEnd"/>
    </w:p>
    <w:p w14:paraId="5179DAED" w14:textId="33551798" w:rsidR="002145ED" w:rsidRPr="00715098" w:rsidRDefault="002145ED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lây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nhanh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chóng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Covid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-19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gây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ra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đáng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kể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5AC7"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="00065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5AC7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thế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giới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nói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chung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5AC7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065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5AC7" w:rsidRPr="00715098">
        <w:rPr>
          <w:rFonts w:ascii="Arial" w:hAnsi="Arial" w:cs="Arial"/>
          <w:bCs/>
          <w:sz w:val="20"/>
          <w:szCs w:val="20"/>
        </w:rPr>
        <w:t>gia</w:t>
      </w:r>
      <w:proofErr w:type="spellEnd"/>
      <w:r w:rsidR="00065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ASEAN+3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nói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riêng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>.</w:t>
      </w:r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khiến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thế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giới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rơi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vào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tình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trạng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suy</w:t>
      </w:r>
      <w:proofErr w:type="spellEnd"/>
      <w:r w:rsidR="008731D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731D8" w:rsidRPr="00715098">
        <w:rPr>
          <w:rFonts w:ascii="Arial" w:hAnsi="Arial" w:cs="Arial"/>
          <w:bCs/>
          <w:sz w:val="20"/>
          <w:szCs w:val="20"/>
        </w:rPr>
        <w:t>thoái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hoạt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bị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đình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trệ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s</w:t>
      </w:r>
      <w:r w:rsidR="00783667" w:rsidRPr="00715098">
        <w:rPr>
          <w:rFonts w:ascii="Arial" w:hAnsi="Arial" w:cs="Arial"/>
          <w:bCs/>
          <w:sz w:val="20"/>
          <w:szCs w:val="20"/>
        </w:rPr>
        <w:t>ản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xuất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g</w:t>
      </w:r>
      <w:r w:rsidRPr="00715098">
        <w:rPr>
          <w:rFonts w:ascii="Arial" w:hAnsi="Arial" w:cs="Arial"/>
          <w:bCs/>
          <w:sz w:val="20"/>
          <w:szCs w:val="20"/>
        </w:rPr>
        <w:t>ián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đoạn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>,</w:t>
      </w:r>
      <w:r w:rsidR="00CD6ED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6EDF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B624D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10707" w:rsidRPr="00715098">
        <w:rPr>
          <w:rFonts w:ascii="Arial" w:hAnsi="Arial" w:cs="Arial"/>
          <w:bCs/>
          <w:sz w:val="20"/>
          <w:szCs w:val="20"/>
        </w:rPr>
        <w:t>giả</w:t>
      </w:r>
      <w:r w:rsidR="00FD53E5" w:rsidRPr="00715098">
        <w:rPr>
          <w:rFonts w:ascii="Arial" w:hAnsi="Arial" w:cs="Arial"/>
          <w:bCs/>
          <w:sz w:val="20"/>
          <w:szCs w:val="20"/>
        </w:rPr>
        <w:t>m</w:t>
      </w:r>
      <w:proofErr w:type="spellEnd"/>
      <w:r w:rsidR="0071070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mạnh</w:t>
      </w:r>
      <w:proofErr w:type="spellEnd"/>
      <w:r w:rsidR="0003275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3275C" w:rsidRPr="00715098">
        <w:rPr>
          <w:rFonts w:ascii="Arial" w:hAnsi="Arial" w:cs="Arial"/>
          <w:bCs/>
          <w:sz w:val="20"/>
          <w:szCs w:val="20"/>
        </w:rPr>
        <w:t>khiến</w:t>
      </w:r>
      <w:proofErr w:type="spellEnd"/>
      <w:r w:rsidR="0003275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3275C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xuất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khẩu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tại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Á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vào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tháng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3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4</w:t>
      </w:r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624D1" w:rsidRPr="00715098">
        <w:rPr>
          <w:rFonts w:ascii="Arial" w:hAnsi="Arial" w:cs="Arial"/>
          <w:bCs/>
          <w:sz w:val="20"/>
          <w:szCs w:val="20"/>
        </w:rPr>
        <w:t>sụt</w:t>
      </w:r>
      <w:proofErr w:type="spellEnd"/>
      <w:r w:rsidR="00B624D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624D1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nghiêm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D53E5" w:rsidRPr="00715098">
        <w:rPr>
          <w:rFonts w:ascii="Arial" w:hAnsi="Arial" w:cs="Arial"/>
          <w:bCs/>
          <w:sz w:val="20"/>
          <w:szCs w:val="20"/>
        </w:rPr>
        <w:t>trọng</w:t>
      </w:r>
      <w:proofErr w:type="spellEnd"/>
      <w:r w:rsidR="00FD53E5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FD53E5" w:rsidRPr="00715098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r w:rsidR="008510CF" w:rsidRPr="00715098">
        <w:rPr>
          <w:rFonts w:ascii="Arial" w:hAnsi="Arial" w:cs="Arial"/>
          <w:bCs/>
          <w:i/>
          <w:iCs/>
          <w:sz w:val="20"/>
          <w:szCs w:val="20"/>
        </w:rPr>
        <w:t>Bảng</w:t>
      </w:r>
      <w:proofErr w:type="spellEnd"/>
      <w:r w:rsidR="00FD53E5" w:rsidRPr="00715098">
        <w:rPr>
          <w:rFonts w:ascii="Arial" w:hAnsi="Arial" w:cs="Arial"/>
          <w:bCs/>
          <w:i/>
          <w:iCs/>
          <w:sz w:val="20"/>
          <w:szCs w:val="20"/>
        </w:rPr>
        <w:t xml:space="preserve"> 1)</w:t>
      </w:r>
      <w:r w:rsidR="00FD53E5" w:rsidRPr="00715098">
        <w:rPr>
          <w:rFonts w:ascii="Arial" w:hAnsi="Arial" w:cs="Arial"/>
          <w:bCs/>
          <w:sz w:val="20"/>
          <w:szCs w:val="20"/>
        </w:rPr>
        <w:t>.</w:t>
      </w:r>
      <w:r w:rsidR="0071070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T</w:t>
      </w:r>
      <w:r w:rsidR="00A56A0A" w:rsidRPr="00715098">
        <w:rPr>
          <w:rFonts w:ascii="Arial" w:hAnsi="Arial" w:cs="Arial"/>
          <w:bCs/>
          <w:sz w:val="20"/>
          <w:szCs w:val="20"/>
        </w:rPr>
        <w:t>ă</w:t>
      </w:r>
      <w:r w:rsidR="00D754C1" w:rsidRPr="00715098">
        <w:rPr>
          <w:rFonts w:ascii="Arial" w:hAnsi="Arial" w:cs="Arial"/>
          <w:bCs/>
          <w:sz w:val="20"/>
          <w:szCs w:val="20"/>
        </w:rPr>
        <w:t>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năm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2020</w:t>
      </w:r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Quố</w:t>
      </w:r>
      <w:r w:rsidR="00A56A0A" w:rsidRPr="00715098">
        <w:rPr>
          <w:rFonts w:ascii="Arial" w:hAnsi="Arial" w:cs="Arial"/>
          <w:bCs/>
          <w:sz w:val="20"/>
          <w:szCs w:val="20"/>
        </w:rPr>
        <w:t>c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dự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83667" w:rsidRPr="00715098">
        <w:rPr>
          <w:rFonts w:ascii="Arial" w:hAnsi="Arial" w:cs="Arial"/>
          <w:bCs/>
          <w:sz w:val="20"/>
          <w:szCs w:val="20"/>
        </w:rPr>
        <w:t>báo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xuống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mức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thấp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lịch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sử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150F4A" w:rsidRPr="00715098">
        <w:rPr>
          <w:rFonts w:ascii="Arial" w:hAnsi="Arial" w:cs="Arial"/>
          <w:bCs/>
          <w:sz w:val="20"/>
          <w:szCs w:val="20"/>
        </w:rPr>
        <w:t>(</w:t>
      </w:r>
      <w:r w:rsidR="00D754C1" w:rsidRPr="00715098">
        <w:rPr>
          <w:rFonts w:ascii="Arial" w:hAnsi="Arial" w:cs="Arial"/>
          <w:bCs/>
          <w:sz w:val="20"/>
          <w:szCs w:val="20"/>
        </w:rPr>
        <w:t>1,7%</w:t>
      </w:r>
      <w:r w:rsidR="00150F4A" w:rsidRPr="00715098">
        <w:rPr>
          <w:rFonts w:ascii="Arial" w:hAnsi="Arial" w:cs="Arial"/>
          <w:bCs/>
          <w:sz w:val="20"/>
          <w:szCs w:val="20"/>
        </w:rPr>
        <w:t>)</w:t>
      </w:r>
      <w:r w:rsidR="00D754C1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thậm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chí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dự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kiến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chịu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7C09D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C09DA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nặng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nề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cả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cuộc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khủng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hoảng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CD6ED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52B5C" w:rsidRPr="00715098">
        <w:rPr>
          <w:rFonts w:ascii="Arial" w:hAnsi="Arial" w:cs="Arial"/>
          <w:bCs/>
          <w:sz w:val="20"/>
          <w:szCs w:val="20"/>
        </w:rPr>
        <w:t>chí</w:t>
      </w:r>
      <w:r w:rsidR="00D754C1" w:rsidRPr="00715098">
        <w:rPr>
          <w:rFonts w:ascii="Arial" w:hAnsi="Arial" w:cs="Arial"/>
          <w:bCs/>
          <w:sz w:val="20"/>
          <w:szCs w:val="20"/>
        </w:rPr>
        <w:t>nh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754C1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D754C1" w:rsidRPr="00715098">
        <w:rPr>
          <w:rFonts w:ascii="Arial" w:hAnsi="Arial" w:cs="Arial"/>
          <w:bCs/>
          <w:sz w:val="20"/>
          <w:szCs w:val="20"/>
        </w:rPr>
        <w:t xml:space="preserve"> 2008</w:t>
      </w:r>
      <w:r w:rsidR="004E6B20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D754C1" w:rsidRPr="00715098">
        <w:rPr>
          <w:rFonts w:ascii="Arial" w:hAnsi="Arial" w:cs="Arial"/>
          <w:bCs/>
          <w:sz w:val="20"/>
          <w:szCs w:val="20"/>
        </w:rPr>
        <w:t>-</w:t>
      </w:r>
      <w:r w:rsidR="004E6B20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817763" w:rsidRPr="00715098">
        <w:rPr>
          <w:rFonts w:ascii="Arial" w:hAnsi="Arial" w:cs="Arial"/>
          <w:bCs/>
          <w:sz w:val="20"/>
          <w:szCs w:val="20"/>
        </w:rPr>
        <w:t>200</w:t>
      </w:r>
      <w:r w:rsidR="00D754C1" w:rsidRPr="00715098">
        <w:rPr>
          <w:rFonts w:ascii="Arial" w:hAnsi="Arial" w:cs="Arial"/>
          <w:bCs/>
          <w:sz w:val="20"/>
          <w:szCs w:val="20"/>
        </w:rPr>
        <w:t>9.</w:t>
      </w:r>
    </w:p>
    <w:p w14:paraId="1FD0ED1E" w14:textId="6276E4FA" w:rsidR="00027E24" w:rsidRPr="00715098" w:rsidRDefault="00027E24" w:rsidP="00027E24">
      <w:pPr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eastAsia="Times New Roman" w:hAnsi="Arial" w:cs="Arial"/>
          <w:noProof/>
          <w:sz w:val="20"/>
          <w:szCs w:val="20"/>
          <w:lang w:val="en-SG" w:eastAsia="en-SG"/>
        </w:rPr>
        <w:drawing>
          <wp:inline distT="0" distB="0" distL="0" distR="0" wp14:anchorId="0E7E08DF" wp14:editId="643B4AB1">
            <wp:extent cx="4327735" cy="2481942"/>
            <wp:effectExtent l="0" t="0" r="0" b="0"/>
            <wp:docPr id="85" name="Picture 85" descr="C:\Users\linh.nguyenviet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nh.nguyenviet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761" cy="2549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44F5" w14:textId="4911A623" w:rsidR="00027E24" w:rsidRPr="00715098" w:rsidRDefault="00027E24" w:rsidP="00027E24">
      <w:pPr>
        <w:pStyle w:val="MSGENFONTSTYLENAMETEMPLATEROLENUMBERMSGENFONTSTYLENAMEBYROLEPICTURECAPTION2"/>
        <w:shd w:val="clear" w:color="auto" w:fill="auto"/>
        <w:spacing w:line="240" w:lineRule="auto"/>
        <w:jc w:val="center"/>
        <w:rPr>
          <w:b w:val="0"/>
          <w:bCs w:val="0"/>
          <w:i/>
          <w:iCs/>
          <w:sz w:val="20"/>
          <w:szCs w:val="20"/>
        </w:rPr>
      </w:pPr>
      <w:proofErr w:type="spellStart"/>
      <w:r w:rsidRPr="00715098">
        <w:rPr>
          <w:b w:val="0"/>
          <w:bCs w:val="0"/>
          <w:i/>
          <w:iCs/>
          <w:sz w:val="20"/>
          <w:szCs w:val="20"/>
        </w:rPr>
        <w:t>Bảng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1.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Tăng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trưởng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xuất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khẩu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của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nhóm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ASEAN-5,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Trung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Quốc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,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Nhật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Bản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và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Hàn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Quốc</w:t>
      </w:r>
      <w:proofErr w:type="spellEnd"/>
    </w:p>
    <w:p w14:paraId="4AD08A04" w14:textId="43BC09CE" w:rsidR="004246A1" w:rsidRPr="00715098" w:rsidRDefault="00561D3B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gia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</w:t>
      </w:r>
      <w:r w:rsidR="00491A03" w:rsidRPr="00715098">
        <w:rPr>
          <w:rFonts w:ascii="Arial" w:hAnsi="Arial" w:cs="Arial"/>
          <w:bCs/>
          <w:sz w:val="20"/>
          <w:szCs w:val="20"/>
        </w:rPr>
        <w:t>âm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lý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l</w:t>
      </w:r>
      <w:r w:rsidR="00A56A0A" w:rsidRPr="00715098">
        <w:rPr>
          <w:rFonts w:ascii="Arial" w:hAnsi="Arial" w:cs="Arial"/>
          <w:bCs/>
          <w:sz w:val="20"/>
          <w:szCs w:val="20"/>
        </w:rPr>
        <w:t xml:space="preserve">o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ngại</w:t>
      </w:r>
      <w:proofErr w:type="spellEnd"/>
      <w:r w:rsidR="004F61F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rủi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ro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6EDF" w:rsidRPr="00715098">
        <w:rPr>
          <w:rFonts w:ascii="Arial" w:hAnsi="Arial" w:cs="Arial"/>
          <w:bCs/>
          <w:sz w:val="20"/>
          <w:szCs w:val="20"/>
        </w:rPr>
        <w:t>cùng</w:t>
      </w:r>
      <w:proofErr w:type="spellEnd"/>
      <w:r w:rsidR="00CD6ED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thắt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chặt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điều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kiện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chính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A56A0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56A0A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D6EDF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CD6ED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3F9F" w:rsidRPr="00715098">
        <w:rPr>
          <w:rFonts w:ascii="Arial" w:hAnsi="Arial" w:cs="Arial"/>
          <w:bCs/>
          <w:sz w:val="20"/>
          <w:szCs w:val="20"/>
        </w:rPr>
        <w:t>làm</w:t>
      </w:r>
      <w:proofErr w:type="spellEnd"/>
      <w:r w:rsidR="009E3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tình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thêm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F61F1" w:rsidRPr="00715098">
        <w:rPr>
          <w:rFonts w:ascii="Arial" w:hAnsi="Arial" w:cs="Arial"/>
          <w:bCs/>
          <w:sz w:val="20"/>
          <w:szCs w:val="20"/>
        </w:rPr>
        <w:t>khó</w:t>
      </w:r>
      <w:proofErr w:type="spellEnd"/>
      <w:r w:rsidR="004F61F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F61F1" w:rsidRPr="00715098">
        <w:rPr>
          <w:rFonts w:ascii="Arial" w:hAnsi="Arial" w:cs="Arial"/>
          <w:bCs/>
          <w:sz w:val="20"/>
          <w:szCs w:val="20"/>
        </w:rPr>
        <w:t>khăn</w:t>
      </w:r>
      <w:proofErr w:type="spellEnd"/>
      <w:r w:rsidR="004F61F1" w:rsidRPr="00715098">
        <w:rPr>
          <w:rFonts w:ascii="Arial" w:hAnsi="Arial" w:cs="Arial"/>
          <w:bCs/>
          <w:sz w:val="20"/>
          <w:szCs w:val="20"/>
        </w:rPr>
        <w:t>.</w:t>
      </w:r>
      <w:r w:rsidR="00A969C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mới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nổi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ghi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nhận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dòng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tiền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163F4" w:rsidRPr="00715098">
        <w:rPr>
          <w:rFonts w:ascii="Arial" w:hAnsi="Arial" w:cs="Arial"/>
          <w:bCs/>
          <w:sz w:val="20"/>
          <w:szCs w:val="20"/>
        </w:rPr>
        <w:t>rút</w:t>
      </w:r>
      <w:proofErr w:type="spellEnd"/>
      <w:r w:rsidR="00066E94" w:rsidRPr="00715098">
        <w:rPr>
          <w:rFonts w:ascii="Arial" w:hAnsi="Arial" w:cs="Arial"/>
          <w:bCs/>
          <w:sz w:val="20"/>
          <w:szCs w:val="20"/>
        </w:rPr>
        <w:t xml:space="preserve"> ra </w:t>
      </w:r>
      <w:proofErr w:type="spellStart"/>
      <w:r w:rsidR="00066E94" w:rsidRPr="00715098">
        <w:rPr>
          <w:rFonts w:ascii="Arial" w:hAnsi="Arial" w:cs="Arial"/>
          <w:bCs/>
          <w:sz w:val="20"/>
          <w:szCs w:val="20"/>
        </w:rPr>
        <w:t>khỏi</w:t>
      </w:r>
      <w:proofErr w:type="spellEnd"/>
      <w:r w:rsidR="00066E9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6E94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066E9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66E94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F131E" w:rsidRPr="00715098">
        <w:rPr>
          <w:rFonts w:ascii="Arial" w:hAnsi="Arial" w:cs="Arial"/>
          <w:bCs/>
          <w:sz w:val="20"/>
          <w:szCs w:val="20"/>
        </w:rPr>
        <w:t>cao</w:t>
      </w:r>
      <w:proofErr w:type="spellEnd"/>
      <w:r w:rsidR="002F131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nhất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tháng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3,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phản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ánh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việc</w:t>
      </w:r>
      <w:proofErr w:type="spellEnd"/>
      <w:r w:rsidR="00B6210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thanh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khoản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đồng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đô</w:t>
      </w:r>
      <w:proofErr w:type="spellEnd"/>
      <w:r w:rsidR="00491A03" w:rsidRPr="00715098">
        <w:rPr>
          <w:rFonts w:ascii="Arial" w:hAnsi="Arial" w:cs="Arial"/>
          <w:bCs/>
          <w:sz w:val="20"/>
          <w:szCs w:val="20"/>
        </w:rPr>
        <w:t xml:space="preserve"> la </w:t>
      </w:r>
      <w:proofErr w:type="spellStart"/>
      <w:r w:rsidR="00491A03" w:rsidRPr="00715098">
        <w:rPr>
          <w:rFonts w:ascii="Arial" w:hAnsi="Arial" w:cs="Arial"/>
          <w:bCs/>
          <w:sz w:val="20"/>
          <w:szCs w:val="20"/>
        </w:rPr>
        <w:t>Mỹ</w:t>
      </w:r>
      <w:proofErr w:type="spellEnd"/>
      <w:r w:rsidR="002F131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F131E" w:rsidRPr="00715098">
        <w:rPr>
          <w:rFonts w:ascii="Arial" w:hAnsi="Arial" w:cs="Arial"/>
          <w:bCs/>
          <w:sz w:val="20"/>
          <w:szCs w:val="20"/>
        </w:rPr>
        <w:t>bị</w:t>
      </w:r>
      <w:proofErr w:type="spellEnd"/>
      <w:r w:rsidR="002F131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F131E" w:rsidRPr="00715098">
        <w:rPr>
          <w:rFonts w:ascii="Arial" w:hAnsi="Arial" w:cs="Arial"/>
          <w:bCs/>
          <w:sz w:val="20"/>
          <w:szCs w:val="20"/>
        </w:rPr>
        <w:t>siết</w:t>
      </w:r>
      <w:proofErr w:type="spellEnd"/>
      <w:r w:rsidR="002F131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F131E" w:rsidRPr="00715098">
        <w:rPr>
          <w:rFonts w:ascii="Arial" w:hAnsi="Arial" w:cs="Arial"/>
          <w:bCs/>
          <w:sz w:val="20"/>
          <w:szCs w:val="20"/>
        </w:rPr>
        <w:t>chặt</w:t>
      </w:r>
      <w:proofErr w:type="spellEnd"/>
      <w:r w:rsidR="00A969C2" w:rsidRPr="00715098">
        <w:rPr>
          <w:rFonts w:ascii="Arial" w:hAnsi="Arial" w:cs="Arial"/>
          <w:bCs/>
          <w:sz w:val="20"/>
          <w:szCs w:val="20"/>
        </w:rPr>
        <w:t>.</w:t>
      </w:r>
      <w:r w:rsidR="00F60AA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57006" w:rsidRPr="00715098">
        <w:rPr>
          <w:rFonts w:ascii="Arial" w:hAnsi="Arial" w:cs="Arial"/>
          <w:bCs/>
          <w:sz w:val="20"/>
          <w:szCs w:val="20"/>
        </w:rPr>
        <w:t>Tình</w:t>
      </w:r>
      <w:proofErr w:type="spellEnd"/>
      <w:r w:rsidR="00C570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57006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ch</w:t>
      </w:r>
      <w:r w:rsidR="009F68A0" w:rsidRPr="00715098">
        <w:rPr>
          <w:rFonts w:ascii="Arial" w:hAnsi="Arial" w:cs="Arial"/>
          <w:bCs/>
          <w:sz w:val="20"/>
          <w:szCs w:val="20"/>
        </w:rPr>
        <w:t>í</w:t>
      </w:r>
      <w:r w:rsidR="001069BD" w:rsidRPr="00715098">
        <w:rPr>
          <w:rFonts w:ascii="Arial" w:hAnsi="Arial" w:cs="Arial"/>
          <w:bCs/>
          <w:sz w:val="20"/>
          <w:szCs w:val="20"/>
        </w:rPr>
        <w:t>nh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95DB0" w:rsidRPr="00715098">
        <w:rPr>
          <w:rFonts w:ascii="Arial" w:hAnsi="Arial" w:cs="Arial"/>
          <w:bCs/>
          <w:sz w:val="20"/>
          <w:szCs w:val="20"/>
        </w:rPr>
        <w:t>cải</w:t>
      </w:r>
      <w:proofErr w:type="spellEnd"/>
      <w:r w:rsidR="00A95DB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95DB0" w:rsidRPr="00715098">
        <w:rPr>
          <w:rFonts w:ascii="Arial" w:hAnsi="Arial" w:cs="Arial"/>
          <w:bCs/>
          <w:sz w:val="20"/>
          <w:szCs w:val="20"/>
        </w:rPr>
        <w:t>thiện</w:t>
      </w:r>
      <w:proofErr w:type="spellEnd"/>
      <w:r w:rsidR="00A95DB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sau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Cục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Dự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trữ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Liên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bang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(Fed)</w:t>
      </w:r>
      <w:r w:rsidR="00B205D9" w:rsidRPr="00715098">
        <w:rPr>
          <w:rFonts w:ascii="Arial" w:hAnsi="Arial" w:cs="Arial"/>
          <w:bCs/>
          <w:sz w:val="20"/>
          <w:szCs w:val="20"/>
        </w:rPr>
        <w:t xml:space="preserve"> cam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kết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hỗ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trợ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thanh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khoản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1069B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69BD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chính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B205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205D9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BA6241" w:rsidRPr="00715098">
        <w:rPr>
          <w:rFonts w:ascii="Arial" w:hAnsi="Arial" w:cs="Arial"/>
          <w:bCs/>
          <w:sz w:val="20"/>
          <w:szCs w:val="20"/>
        </w:rPr>
        <w:t>.</w:t>
      </w:r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>,</w:t>
      </w:r>
      <w:r w:rsidR="00680AE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số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gia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nhập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khẩu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13308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51330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13308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51330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lợi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D11E4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2D11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sụt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37B7" w:rsidRPr="00715098">
        <w:rPr>
          <w:rFonts w:ascii="Arial" w:hAnsi="Arial" w:cs="Arial"/>
          <w:bCs/>
          <w:sz w:val="20"/>
          <w:szCs w:val="20"/>
        </w:rPr>
        <w:t>giá</w:t>
      </w:r>
      <w:proofErr w:type="spellEnd"/>
      <w:r w:rsidR="00A237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dầu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thô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số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77AC7" w:rsidRPr="00715098">
        <w:rPr>
          <w:rFonts w:ascii="Arial" w:hAnsi="Arial" w:cs="Arial"/>
          <w:bCs/>
          <w:sz w:val="20"/>
          <w:szCs w:val="20"/>
        </w:rPr>
        <w:t>mặt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246A1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4246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37B7" w:rsidRPr="00715098">
        <w:rPr>
          <w:rFonts w:ascii="Arial" w:hAnsi="Arial" w:cs="Arial"/>
          <w:bCs/>
          <w:sz w:val="20"/>
          <w:szCs w:val="20"/>
        </w:rPr>
        <w:t>khác</w:t>
      </w:r>
      <w:proofErr w:type="spellEnd"/>
      <w:r w:rsidR="00A77AC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5503" w:rsidRPr="00715098">
        <w:rPr>
          <w:rFonts w:ascii="Arial" w:hAnsi="Arial" w:cs="Arial"/>
          <w:bCs/>
          <w:sz w:val="20"/>
          <w:szCs w:val="20"/>
        </w:rPr>
        <w:t>c</w:t>
      </w:r>
      <w:r w:rsidR="008B7C81" w:rsidRPr="00715098">
        <w:rPr>
          <w:rFonts w:ascii="Arial" w:hAnsi="Arial" w:cs="Arial"/>
          <w:bCs/>
          <w:sz w:val="20"/>
          <w:szCs w:val="20"/>
        </w:rPr>
        <w:t>ác</w:t>
      </w:r>
      <w:proofErr w:type="spellEnd"/>
      <w:r w:rsidR="008B7C8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nước</w:t>
      </w:r>
      <w:proofErr w:type="spellEnd"/>
      <w:r w:rsidR="00A237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37B7" w:rsidRPr="00715098">
        <w:rPr>
          <w:rFonts w:ascii="Arial" w:hAnsi="Arial" w:cs="Arial"/>
          <w:bCs/>
          <w:sz w:val="20"/>
          <w:szCs w:val="20"/>
        </w:rPr>
        <w:t>xuất</w:t>
      </w:r>
      <w:proofErr w:type="spellEnd"/>
      <w:r w:rsidR="00A237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37B7" w:rsidRPr="00715098">
        <w:rPr>
          <w:rFonts w:ascii="Arial" w:hAnsi="Arial" w:cs="Arial"/>
          <w:bCs/>
          <w:sz w:val="20"/>
          <w:szCs w:val="20"/>
        </w:rPr>
        <w:t>khẩu</w:t>
      </w:r>
      <w:proofErr w:type="spellEnd"/>
      <w:r w:rsidR="00A237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237B7" w:rsidRPr="00715098">
        <w:rPr>
          <w:rFonts w:ascii="Arial" w:hAnsi="Arial" w:cs="Arial"/>
          <w:bCs/>
          <w:sz w:val="20"/>
          <w:szCs w:val="20"/>
        </w:rPr>
        <w:t>dầu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mỏ</w:t>
      </w:r>
      <w:proofErr w:type="spellEnd"/>
      <w:r w:rsidR="00A237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chịu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nhiều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áp</w:t>
      </w:r>
      <w:proofErr w:type="spellEnd"/>
      <w:r w:rsidR="003A5AE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A5AED" w:rsidRPr="00715098">
        <w:rPr>
          <w:rFonts w:ascii="Arial" w:hAnsi="Arial" w:cs="Arial"/>
          <w:bCs/>
          <w:sz w:val="20"/>
          <w:szCs w:val="20"/>
        </w:rPr>
        <w:t>lực</w:t>
      </w:r>
      <w:proofErr w:type="spellEnd"/>
      <w:r w:rsidR="008F296D" w:rsidRPr="00715098">
        <w:rPr>
          <w:rFonts w:ascii="Arial" w:hAnsi="Arial" w:cs="Arial"/>
          <w:bCs/>
          <w:sz w:val="20"/>
          <w:szCs w:val="20"/>
        </w:rPr>
        <w:t>.</w:t>
      </w:r>
    </w:p>
    <w:p w14:paraId="3D4BA614" w14:textId="43D231A7" w:rsidR="00143927" w:rsidRPr="00715098" w:rsidRDefault="003A5AED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bối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cảnh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>,</w:t>
      </w:r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phân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tích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E202C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6E202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AMRO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4328" w:rsidRPr="00715098">
        <w:rPr>
          <w:rFonts w:ascii="Arial" w:hAnsi="Arial" w:cs="Arial"/>
          <w:bCs/>
          <w:sz w:val="20"/>
          <w:szCs w:val="20"/>
        </w:rPr>
        <w:t>sử</w:t>
      </w:r>
      <w:proofErr w:type="spellEnd"/>
      <w:r w:rsidR="0009432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4328" w:rsidRPr="00715098">
        <w:rPr>
          <w:rFonts w:ascii="Arial" w:hAnsi="Arial" w:cs="Arial"/>
          <w:bCs/>
          <w:sz w:val="20"/>
          <w:szCs w:val="20"/>
        </w:rPr>
        <w:t>dụng</w:t>
      </w:r>
      <w:proofErr w:type="spellEnd"/>
      <w:r w:rsidR="003C39A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C39AB"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="003C39A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C39AB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3C39AB" w:rsidRPr="00715098">
        <w:rPr>
          <w:rFonts w:ascii="Arial" w:hAnsi="Arial" w:cs="Arial"/>
          <w:bCs/>
          <w:sz w:val="20"/>
          <w:szCs w:val="20"/>
        </w:rPr>
        <w:t xml:space="preserve"> Vector</w:t>
      </w:r>
      <w:r w:rsidR="004F07D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F07DB" w:rsidRPr="00715098">
        <w:rPr>
          <w:rFonts w:ascii="Arial" w:hAnsi="Arial" w:cs="Arial"/>
          <w:bCs/>
          <w:sz w:val="20"/>
          <w:szCs w:val="20"/>
        </w:rPr>
        <w:t>Tự</w:t>
      </w:r>
      <w:proofErr w:type="spellEnd"/>
      <w:r w:rsidR="004F07D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F07DB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hồi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quy</w:t>
      </w:r>
      <w:proofErr w:type="spellEnd"/>
      <w:r w:rsidR="003C39A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85916" w:rsidRPr="00715098">
        <w:rPr>
          <w:rFonts w:ascii="Arial" w:hAnsi="Arial" w:cs="Arial"/>
          <w:bCs/>
          <w:sz w:val="20"/>
          <w:szCs w:val="20"/>
        </w:rPr>
        <w:t>t</w:t>
      </w:r>
      <w:r w:rsidR="003C39AB" w:rsidRPr="00715098">
        <w:rPr>
          <w:rFonts w:ascii="Arial" w:hAnsi="Arial" w:cs="Arial"/>
          <w:bCs/>
          <w:sz w:val="20"/>
          <w:szCs w:val="20"/>
        </w:rPr>
        <w:t>oàn</w:t>
      </w:r>
      <w:proofErr w:type="spellEnd"/>
      <w:r w:rsidR="003C39A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C39AB" w:rsidRPr="00715098">
        <w:rPr>
          <w:rFonts w:ascii="Arial" w:hAnsi="Arial" w:cs="Arial"/>
          <w:bCs/>
          <w:sz w:val="20"/>
          <w:szCs w:val="20"/>
        </w:rPr>
        <w:t>cầ</w:t>
      </w:r>
      <w:r w:rsidR="00143927" w:rsidRPr="00715098">
        <w:rPr>
          <w:rFonts w:ascii="Arial" w:hAnsi="Arial" w:cs="Arial"/>
          <w:bCs/>
          <w:sz w:val="20"/>
          <w:szCs w:val="20"/>
        </w:rPr>
        <w:t>u</w:t>
      </w:r>
      <w:proofErr w:type="spellEnd"/>
      <w:r w:rsidR="00143927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3C39AB" w:rsidRPr="00715098">
        <w:rPr>
          <w:rFonts w:ascii="Arial" w:hAnsi="Arial" w:cs="Arial"/>
          <w:bCs/>
          <w:sz w:val="20"/>
          <w:szCs w:val="20"/>
        </w:rPr>
        <w:t>(</w:t>
      </w:r>
      <w:proofErr w:type="spellStart"/>
      <w:r w:rsidR="004610DC" w:rsidRPr="00715098">
        <w:rPr>
          <w:rFonts w:ascii="Arial" w:hAnsi="Arial" w:cs="Arial"/>
          <w:bCs/>
          <w:sz w:val="20"/>
          <w:szCs w:val="20"/>
        </w:rPr>
        <w:t>G</w:t>
      </w:r>
      <w:r w:rsidR="003C39AB" w:rsidRPr="00715098">
        <w:rPr>
          <w:rFonts w:ascii="Arial" w:hAnsi="Arial" w:cs="Arial"/>
          <w:bCs/>
          <w:sz w:val="20"/>
          <w:szCs w:val="20"/>
        </w:rPr>
        <w:t>VAR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>)</w:t>
      </w:r>
      <w:r w:rsidR="00BA005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5667" w:rsidRPr="00715098">
        <w:rPr>
          <w:rFonts w:ascii="Arial" w:hAnsi="Arial" w:cs="Arial"/>
          <w:bCs/>
          <w:sz w:val="20"/>
          <w:szCs w:val="20"/>
        </w:rPr>
        <w:t>để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5667" w:rsidRPr="00715098">
        <w:rPr>
          <w:rFonts w:ascii="Arial" w:hAnsi="Arial" w:cs="Arial"/>
          <w:bCs/>
          <w:sz w:val="20"/>
          <w:szCs w:val="20"/>
        </w:rPr>
        <w:t>đánh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5667" w:rsidRPr="00715098">
        <w:rPr>
          <w:rFonts w:ascii="Arial" w:hAnsi="Arial" w:cs="Arial"/>
          <w:bCs/>
          <w:sz w:val="20"/>
          <w:szCs w:val="20"/>
        </w:rPr>
        <w:t>giá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F35072" w:rsidRPr="00715098">
        <w:rPr>
          <w:rFonts w:ascii="Arial" w:hAnsi="Arial" w:cs="Arial"/>
          <w:bCs/>
          <w:i/>
          <w:iCs/>
          <w:sz w:val="20"/>
          <w:szCs w:val="20"/>
        </w:rPr>
        <w:t xml:space="preserve">(spillovers)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ngược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F35072" w:rsidRPr="00715098">
        <w:rPr>
          <w:rFonts w:ascii="Arial" w:hAnsi="Arial" w:cs="Arial"/>
          <w:bCs/>
          <w:i/>
          <w:iCs/>
          <w:sz w:val="20"/>
          <w:szCs w:val="20"/>
        </w:rPr>
        <w:t>(spillbacks)</w:t>
      </w:r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số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lớn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F3507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35072" w:rsidRPr="00715098">
        <w:rPr>
          <w:rFonts w:ascii="Arial" w:hAnsi="Arial" w:cs="Arial"/>
          <w:bCs/>
          <w:sz w:val="20"/>
          <w:szCs w:val="20"/>
        </w:rPr>
        <w:t>ASEAN+3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745667"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45667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74566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A0051" w:rsidRPr="00715098">
        <w:rPr>
          <w:rFonts w:ascii="Arial" w:hAnsi="Arial" w:cs="Arial"/>
          <w:bCs/>
          <w:sz w:val="20"/>
          <w:szCs w:val="20"/>
        </w:rPr>
        <w:t>sử</w:t>
      </w:r>
      <w:proofErr w:type="spellEnd"/>
      <w:r w:rsidR="00BA005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A0051" w:rsidRPr="00715098">
        <w:rPr>
          <w:rFonts w:ascii="Arial" w:hAnsi="Arial" w:cs="Arial"/>
          <w:bCs/>
          <w:sz w:val="20"/>
          <w:szCs w:val="20"/>
        </w:rPr>
        <w:t>dụng</w:t>
      </w:r>
      <w:proofErr w:type="spellEnd"/>
      <w:r w:rsidR="00BA005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F340F" w:rsidRPr="00715098">
        <w:rPr>
          <w:rFonts w:ascii="Arial" w:hAnsi="Arial" w:cs="Arial"/>
          <w:bCs/>
          <w:sz w:val="20"/>
          <w:szCs w:val="20"/>
        </w:rPr>
        <w:t>dữ</w:t>
      </w:r>
      <w:proofErr w:type="spellEnd"/>
      <w:r w:rsidR="00FF340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F340F" w:rsidRPr="00715098">
        <w:rPr>
          <w:rFonts w:ascii="Arial" w:hAnsi="Arial" w:cs="Arial"/>
          <w:bCs/>
          <w:sz w:val="20"/>
          <w:szCs w:val="20"/>
        </w:rPr>
        <w:t>liệu</w:t>
      </w:r>
      <w:proofErr w:type="spellEnd"/>
      <w:r w:rsidR="00FF340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A0051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13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2344"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="00DF23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2344" w:rsidRPr="00715098">
        <w:rPr>
          <w:rFonts w:ascii="Arial" w:hAnsi="Arial" w:cs="Arial"/>
          <w:bCs/>
          <w:sz w:val="20"/>
          <w:szCs w:val="20"/>
        </w:rPr>
        <w:t>diện</w:t>
      </w:r>
      <w:proofErr w:type="spellEnd"/>
      <w:r w:rsidR="00DF23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2344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hai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phần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ba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97%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0963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96396" w:rsidRPr="00715098">
        <w:rPr>
          <w:rFonts w:ascii="Arial" w:hAnsi="Arial" w:cs="Arial"/>
          <w:bCs/>
          <w:sz w:val="20"/>
          <w:szCs w:val="20"/>
        </w:rPr>
        <w:t>AS</w:t>
      </w:r>
      <w:r w:rsidR="00E34D57" w:rsidRPr="00715098">
        <w:rPr>
          <w:rFonts w:ascii="Arial" w:hAnsi="Arial" w:cs="Arial"/>
          <w:bCs/>
          <w:sz w:val="20"/>
          <w:szCs w:val="20"/>
        </w:rPr>
        <w:t>EAN</w:t>
      </w:r>
      <w:r w:rsidRPr="00715098">
        <w:rPr>
          <w:rFonts w:ascii="Arial" w:hAnsi="Arial" w:cs="Arial"/>
          <w:bCs/>
          <w:sz w:val="20"/>
          <w:szCs w:val="20"/>
        </w:rPr>
        <w:t>+3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>,</w:t>
      </w:r>
      <w:r w:rsidR="006B4B2A" w:rsidRPr="00715098">
        <w:rPr>
          <w:rFonts w:ascii="Arial" w:hAnsi="Arial" w:cs="Arial"/>
          <w:bCs/>
          <w:sz w:val="20"/>
          <w:szCs w:val="20"/>
        </w:rPr>
        <w:t xml:space="preserve"> bao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gồm</w:t>
      </w:r>
      <w:proofErr w:type="spellEnd"/>
      <w:r w:rsidR="003E4C7F" w:rsidRPr="00715098">
        <w:rPr>
          <w:rFonts w:ascii="Arial" w:hAnsi="Arial" w:cs="Arial"/>
          <w:bCs/>
          <w:sz w:val="20"/>
          <w:szCs w:val="20"/>
        </w:rPr>
        <w:t>:</w:t>
      </w:r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2F50" w:rsidRPr="00715098">
        <w:rPr>
          <w:rFonts w:ascii="Arial" w:hAnsi="Arial" w:cs="Arial"/>
          <w:bCs/>
          <w:sz w:val="20"/>
          <w:szCs w:val="20"/>
        </w:rPr>
        <w:t>đồng</w:t>
      </w:r>
      <w:proofErr w:type="spellEnd"/>
      <w:r w:rsidR="002C2F5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2F50" w:rsidRPr="00715098">
        <w:rPr>
          <w:rFonts w:ascii="Arial" w:hAnsi="Arial" w:cs="Arial"/>
          <w:bCs/>
          <w:sz w:val="20"/>
          <w:szCs w:val="20"/>
        </w:rPr>
        <w:t>tiền</w:t>
      </w:r>
      <w:proofErr w:type="spellEnd"/>
      <w:r w:rsidR="002C2F5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2F50" w:rsidRPr="00715098">
        <w:rPr>
          <w:rFonts w:ascii="Arial" w:hAnsi="Arial" w:cs="Arial"/>
          <w:bCs/>
          <w:sz w:val="20"/>
          <w:szCs w:val="20"/>
        </w:rPr>
        <w:t>chung</w:t>
      </w:r>
      <w:proofErr w:type="spellEnd"/>
      <w:r w:rsidR="002C2F5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E0DD6" w:rsidRPr="00715098">
        <w:rPr>
          <w:rFonts w:ascii="Arial" w:hAnsi="Arial" w:cs="Arial"/>
          <w:bCs/>
          <w:sz w:val="20"/>
          <w:szCs w:val="20"/>
        </w:rPr>
        <w:t>c</w:t>
      </w:r>
      <w:r w:rsidR="006B4B2A" w:rsidRPr="00715098">
        <w:rPr>
          <w:rFonts w:ascii="Arial" w:hAnsi="Arial" w:cs="Arial"/>
          <w:bCs/>
          <w:sz w:val="20"/>
          <w:szCs w:val="20"/>
        </w:rPr>
        <w:t>hâu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, </w:t>
      </w:r>
      <w:r w:rsidR="00733375" w:rsidRPr="00715098">
        <w:rPr>
          <w:rFonts w:ascii="Arial" w:hAnsi="Arial" w:cs="Arial"/>
          <w:bCs/>
          <w:sz w:val="20"/>
          <w:szCs w:val="20"/>
        </w:rPr>
        <w:t>Hong Kong (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),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Ấn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Độ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>,</w:t>
      </w:r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Nhật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Bản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Hàn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>,</w:t>
      </w:r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Vương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Anh</w:t>
      </w:r>
      <w:r w:rsidR="00733375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33375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6B4B2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B4B2A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733375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6B4B2A" w:rsidRPr="00715098">
        <w:rPr>
          <w:rFonts w:ascii="Arial" w:hAnsi="Arial" w:cs="Arial"/>
          <w:bCs/>
          <w:sz w:val="20"/>
          <w:szCs w:val="20"/>
        </w:rPr>
        <w:t>ASEAN</w:t>
      </w:r>
      <w:r w:rsidR="00C45644" w:rsidRPr="00715098">
        <w:rPr>
          <w:rFonts w:ascii="Arial" w:hAnsi="Arial" w:cs="Arial"/>
          <w:bCs/>
          <w:sz w:val="20"/>
          <w:szCs w:val="20"/>
        </w:rPr>
        <w:t>-5</w:t>
      </w:r>
      <w:r w:rsidR="003E4C7F" w:rsidRPr="00715098">
        <w:rPr>
          <w:rFonts w:ascii="Arial" w:hAnsi="Arial" w:cs="Arial"/>
          <w:bCs/>
          <w:sz w:val="20"/>
          <w:szCs w:val="20"/>
        </w:rPr>
        <w:t xml:space="preserve"> (Indonesia, Malaysia, Philippines, Singapore, </w:t>
      </w:r>
      <w:proofErr w:type="spellStart"/>
      <w:r w:rsidR="003E4C7F" w:rsidRPr="00715098">
        <w:rPr>
          <w:rFonts w:ascii="Arial" w:hAnsi="Arial" w:cs="Arial"/>
          <w:bCs/>
          <w:sz w:val="20"/>
          <w:szCs w:val="20"/>
        </w:rPr>
        <w:t>Thái</w:t>
      </w:r>
      <w:proofErr w:type="spellEnd"/>
      <w:r w:rsidR="003E4C7F" w:rsidRPr="00715098">
        <w:rPr>
          <w:rFonts w:ascii="Arial" w:hAnsi="Arial" w:cs="Arial"/>
          <w:bCs/>
          <w:sz w:val="20"/>
          <w:szCs w:val="20"/>
        </w:rPr>
        <w:t xml:space="preserve"> Lan).</w:t>
      </w:r>
    </w:p>
    <w:p w14:paraId="1A2F12F4" w14:textId="09318AAF" w:rsidR="00302B30" w:rsidRPr="00715098" w:rsidRDefault="00DE0DD6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Tuy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nhiên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</w:t>
      </w:r>
      <w:r w:rsidR="002A3463" w:rsidRPr="00715098">
        <w:rPr>
          <w:rFonts w:ascii="Arial" w:hAnsi="Arial" w:cs="Arial"/>
          <w:bCs/>
          <w:sz w:val="20"/>
          <w:szCs w:val="20"/>
        </w:rPr>
        <w:t>ết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quả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633A8" w:rsidRPr="00715098">
        <w:rPr>
          <w:rFonts w:ascii="Arial" w:hAnsi="Arial" w:cs="Arial"/>
          <w:bCs/>
          <w:sz w:val="20"/>
          <w:szCs w:val="20"/>
        </w:rPr>
        <w:t>đánh</w:t>
      </w:r>
      <w:proofErr w:type="spellEnd"/>
      <w:r w:rsidR="001633A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633A8" w:rsidRPr="00715098">
        <w:rPr>
          <w:rFonts w:ascii="Arial" w:hAnsi="Arial" w:cs="Arial"/>
          <w:bCs/>
          <w:sz w:val="20"/>
          <w:szCs w:val="20"/>
        </w:rPr>
        <w:t>giá</w:t>
      </w:r>
      <w:proofErr w:type="spellEnd"/>
      <w:r w:rsidR="001633A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chỉ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45644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C456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tính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tương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đối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bối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cảnh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F5CA4" w:rsidRPr="00715098">
        <w:rPr>
          <w:rFonts w:ascii="Arial" w:hAnsi="Arial" w:cs="Arial"/>
          <w:bCs/>
          <w:sz w:val="20"/>
          <w:szCs w:val="20"/>
        </w:rPr>
        <w:t>Covid</w:t>
      </w:r>
      <w:proofErr w:type="spellEnd"/>
      <w:r w:rsidR="00EF5CA4" w:rsidRPr="00715098">
        <w:rPr>
          <w:rFonts w:ascii="Arial" w:hAnsi="Arial" w:cs="Arial"/>
          <w:bCs/>
          <w:sz w:val="20"/>
          <w:szCs w:val="20"/>
        </w:rPr>
        <w:t>-19</w:t>
      </w:r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2C18B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là</w:t>
      </w:r>
      <w:r w:rsidR="00EC5FA1" w:rsidRPr="00715098">
        <w:rPr>
          <w:rFonts w:ascii="Arial" w:hAnsi="Arial" w:cs="Arial"/>
          <w:bCs/>
          <w:sz w:val="20"/>
          <w:szCs w:val="20"/>
        </w:rPr>
        <w:t>m</w:t>
      </w:r>
      <w:proofErr w:type="spellEnd"/>
      <w:r w:rsidR="00EC5F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đảo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lộn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nhiều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quan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hệ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C5FA1" w:rsidRPr="00715098">
        <w:rPr>
          <w:rFonts w:ascii="Arial" w:hAnsi="Arial" w:cs="Arial"/>
          <w:bCs/>
          <w:sz w:val="20"/>
          <w:szCs w:val="20"/>
        </w:rPr>
        <w:t>chí</w:t>
      </w:r>
      <w:r w:rsidR="00302B30" w:rsidRPr="00715098">
        <w:rPr>
          <w:rFonts w:ascii="Arial" w:hAnsi="Arial" w:cs="Arial"/>
          <w:bCs/>
          <w:sz w:val="20"/>
          <w:szCs w:val="20"/>
        </w:rPr>
        <w:t>nh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vĩ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02B30" w:rsidRPr="00715098">
        <w:rPr>
          <w:rFonts w:ascii="Arial" w:hAnsi="Arial" w:cs="Arial"/>
          <w:bCs/>
          <w:sz w:val="20"/>
          <w:szCs w:val="20"/>
        </w:rPr>
        <w:t>hiện</w:t>
      </w:r>
      <w:proofErr w:type="spellEnd"/>
      <w:r w:rsidR="00302B3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Những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yếu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tố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này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bao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gồm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việc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tê</w:t>
      </w:r>
      <w:proofErr w:type="spellEnd"/>
      <w:r w:rsidR="002A346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3463" w:rsidRPr="00715098">
        <w:rPr>
          <w:rFonts w:ascii="Arial" w:hAnsi="Arial" w:cs="Arial"/>
          <w:bCs/>
          <w:sz w:val="20"/>
          <w:szCs w:val="20"/>
        </w:rPr>
        <w:t>liệt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do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biện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pháp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</w:t>
      </w:r>
      <w:r w:rsidR="00ED2899" w:rsidRPr="00715098">
        <w:rPr>
          <w:rFonts w:ascii="Arial" w:hAnsi="Arial" w:cs="Arial"/>
          <w:bCs/>
          <w:sz w:val="20"/>
          <w:szCs w:val="20"/>
        </w:rPr>
        <w:t>găn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chặn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lây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bệ</w:t>
      </w:r>
      <w:r w:rsidR="00A45240" w:rsidRPr="00715098">
        <w:rPr>
          <w:rFonts w:ascii="Arial" w:hAnsi="Arial" w:cs="Arial"/>
          <w:bCs/>
          <w:sz w:val="20"/>
          <w:szCs w:val="20"/>
        </w:rPr>
        <w:t>nh</w:t>
      </w:r>
      <w:proofErr w:type="spellEnd"/>
      <w:r w:rsidR="00A45240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0076B6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0076B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biện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pháp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kích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thích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quy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tính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chất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chưa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từng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nhiều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nước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triển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khai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nhằm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hỗ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trợ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cùng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gián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đoạn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chuỗi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cung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ứng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bệnh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lây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qua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D2899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ED2899" w:rsidRPr="00715098">
        <w:rPr>
          <w:rFonts w:ascii="Arial" w:hAnsi="Arial" w:cs="Arial"/>
          <w:bCs/>
          <w:sz w:val="20"/>
          <w:szCs w:val="20"/>
        </w:rPr>
        <w:t>.</w:t>
      </w:r>
    </w:p>
    <w:p w14:paraId="1D9E9E09" w14:textId="7179965C" w:rsidR="00115EC4" w:rsidRPr="00715098" w:rsidRDefault="00EC5FA1" w:rsidP="00856E3E">
      <w:pPr>
        <w:spacing w:before="120"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T</w:t>
      </w:r>
      <w:r w:rsidR="002C18B7" w:rsidRPr="00715098">
        <w:rPr>
          <w:rFonts w:ascii="Arial" w:hAnsi="Arial" w:cs="Arial"/>
          <w:b/>
          <w:iCs/>
          <w:sz w:val="20"/>
          <w:szCs w:val="20"/>
        </w:rPr>
        <w:t>ác</w:t>
      </w:r>
      <w:proofErr w:type="spellEnd"/>
      <w:r w:rsidR="002C18B7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2C18B7" w:rsidRPr="00715098">
        <w:rPr>
          <w:rFonts w:ascii="Arial" w:hAnsi="Arial" w:cs="Arial"/>
          <w:b/>
          <w:iCs/>
          <w:sz w:val="20"/>
          <w:szCs w:val="20"/>
        </w:rPr>
        <w:t>động</w:t>
      </w:r>
      <w:proofErr w:type="spellEnd"/>
      <w:r w:rsidR="002C18B7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iCs/>
          <w:sz w:val="20"/>
          <w:szCs w:val="20"/>
        </w:rPr>
        <w:t>lan</w:t>
      </w:r>
      <w:proofErr w:type="spellEnd"/>
      <w:r w:rsidR="00115EC4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iCs/>
          <w:sz w:val="20"/>
          <w:szCs w:val="20"/>
        </w:rPr>
        <w:t>tỏa</w:t>
      </w:r>
      <w:proofErr w:type="spellEnd"/>
      <w:r w:rsidR="00115EC4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iCs/>
          <w:sz w:val="20"/>
          <w:szCs w:val="20"/>
        </w:rPr>
        <w:t>trong</w:t>
      </w:r>
      <w:proofErr w:type="spellEnd"/>
      <w:r w:rsidR="00115EC4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iCs/>
          <w:sz w:val="20"/>
          <w:szCs w:val="20"/>
        </w:rPr>
        <w:t>khu</w:t>
      </w:r>
      <w:proofErr w:type="spellEnd"/>
      <w:r w:rsidR="00115EC4"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15EC4" w:rsidRPr="00715098">
        <w:rPr>
          <w:rFonts w:ascii="Arial" w:hAnsi="Arial" w:cs="Arial"/>
          <w:b/>
          <w:iCs/>
          <w:sz w:val="20"/>
          <w:szCs w:val="20"/>
        </w:rPr>
        <w:t>vực</w:t>
      </w:r>
      <w:proofErr w:type="spellEnd"/>
    </w:p>
    <w:p w14:paraId="7E070CB8" w14:textId="6BF891C8" w:rsidR="005C2226" w:rsidRPr="00715098" w:rsidRDefault="00CB5BEF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từ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Trung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Quốc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tới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nước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khu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vực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thông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qua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nhóm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G2</w:t>
      </w:r>
      <w:proofErr w:type="spellEnd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>và</w:t>
      </w:r>
      <w:proofErr w:type="spellEnd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>các</w:t>
      </w:r>
      <w:proofErr w:type="spellEnd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>kênh</w:t>
      </w:r>
      <w:proofErr w:type="spellEnd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>khu</w:t>
      </w:r>
      <w:proofErr w:type="spellEnd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="00786F25" w:rsidRPr="00715098">
        <w:rPr>
          <w:rFonts w:ascii="Arial" w:hAnsi="Arial" w:cs="Arial"/>
          <w:bCs/>
          <w:i/>
          <w:iCs/>
          <w:sz w:val="20"/>
          <w:szCs w:val="20"/>
        </w:rPr>
        <w:t>vực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>.</w:t>
      </w:r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Covid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>-19</w:t>
      </w:r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bắt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đầu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gây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ra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thiệt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hại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nặng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nề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7476" w:rsidRPr="00715098">
        <w:rPr>
          <w:rFonts w:ascii="Arial" w:hAnsi="Arial" w:cs="Arial"/>
          <w:bCs/>
          <w:sz w:val="20"/>
          <w:szCs w:val="20"/>
        </w:rPr>
        <w:t>nước</w:t>
      </w:r>
      <w:proofErr w:type="spellEnd"/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7476" w:rsidRPr="00715098">
        <w:rPr>
          <w:rFonts w:ascii="Arial" w:hAnsi="Arial" w:cs="Arial"/>
          <w:bCs/>
          <w:sz w:val="20"/>
          <w:szCs w:val="20"/>
        </w:rPr>
        <w:t>này</w:t>
      </w:r>
      <w:proofErr w:type="spellEnd"/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747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DC540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540F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DC540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C540F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7476" w:rsidRPr="00715098">
        <w:rPr>
          <w:rFonts w:ascii="Arial" w:hAnsi="Arial" w:cs="Arial"/>
          <w:bCs/>
          <w:sz w:val="20"/>
          <w:szCs w:val="20"/>
        </w:rPr>
        <w:t>đến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DC540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gia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khác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trên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thế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giới</w:t>
      </w:r>
      <w:proofErr w:type="spellEnd"/>
      <w:r w:rsidR="00EA307A" w:rsidRPr="00715098">
        <w:rPr>
          <w:rFonts w:ascii="Arial" w:hAnsi="Arial" w:cs="Arial"/>
          <w:bCs/>
          <w:sz w:val="20"/>
          <w:szCs w:val="20"/>
        </w:rPr>
        <w:t>.</w:t>
      </w:r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M</w:t>
      </w:r>
      <w:r w:rsidR="00C72D53" w:rsidRPr="00715098">
        <w:rPr>
          <w:rFonts w:ascii="Arial" w:hAnsi="Arial" w:cs="Arial"/>
          <w:bCs/>
          <w:sz w:val="20"/>
          <w:szCs w:val="20"/>
        </w:rPr>
        <w:t>ô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A307A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7476" w:rsidRPr="00715098">
        <w:rPr>
          <w:rFonts w:ascii="Arial" w:hAnsi="Arial" w:cs="Arial"/>
          <w:bCs/>
          <w:sz w:val="20"/>
          <w:szCs w:val="20"/>
        </w:rPr>
        <w:t>GVAR</w:t>
      </w:r>
      <w:proofErr w:type="spellEnd"/>
      <w:r w:rsidR="008A747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khẳng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định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vai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trò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quan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trọng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chuỗi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cung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ứng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tr</w:t>
      </w:r>
      <w:r w:rsidR="002C18B7" w:rsidRPr="00715098">
        <w:rPr>
          <w:rFonts w:ascii="Arial" w:hAnsi="Arial" w:cs="Arial"/>
          <w:bCs/>
          <w:sz w:val="20"/>
          <w:szCs w:val="20"/>
        </w:rPr>
        <w:t>ên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tiêu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72D53" w:rsidRPr="00715098">
        <w:rPr>
          <w:rFonts w:ascii="Arial" w:hAnsi="Arial" w:cs="Arial"/>
          <w:bCs/>
          <w:sz w:val="20"/>
          <w:szCs w:val="20"/>
        </w:rPr>
        <w:t>dùng</w:t>
      </w:r>
      <w:proofErr w:type="spellEnd"/>
      <w:r w:rsidR="00C72D53" w:rsidRPr="00715098">
        <w:rPr>
          <w:rFonts w:ascii="Arial" w:hAnsi="Arial" w:cs="Arial"/>
          <w:bCs/>
          <w:sz w:val="20"/>
          <w:szCs w:val="20"/>
        </w:rPr>
        <w:t>.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Kết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quả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phân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tích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thấy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mỗi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1% </w:t>
      </w:r>
      <w:r w:rsidR="00AE0871" w:rsidRPr="00715098">
        <w:rPr>
          <w:rFonts w:ascii="Arial" w:hAnsi="Arial" w:cs="Arial"/>
          <w:bCs/>
          <w:sz w:val="20"/>
          <w:szCs w:val="20"/>
        </w:rPr>
        <w:t>GDP</w:t>
      </w:r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năm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giả</w:t>
      </w:r>
      <w:r w:rsidR="000F3B11" w:rsidRPr="00715098">
        <w:rPr>
          <w:rFonts w:ascii="Arial" w:hAnsi="Arial" w:cs="Arial"/>
          <w:bCs/>
          <w:sz w:val="20"/>
          <w:szCs w:val="20"/>
        </w:rPr>
        <w:t>m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sút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kéo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theo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sụt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bình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0,8% </w:t>
      </w:r>
      <w:r w:rsidR="000512CB" w:rsidRPr="00715098">
        <w:rPr>
          <w:rFonts w:ascii="Arial" w:hAnsi="Arial" w:cs="Arial"/>
          <w:bCs/>
          <w:sz w:val="20"/>
          <w:szCs w:val="20"/>
        </w:rPr>
        <w:t>GDP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F1496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nước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AE0871" w:rsidRPr="00715098">
        <w:rPr>
          <w:rFonts w:ascii="Arial" w:hAnsi="Arial" w:cs="Arial"/>
          <w:bCs/>
          <w:sz w:val="20"/>
          <w:szCs w:val="20"/>
        </w:rPr>
        <w:t>ASEAN</w:t>
      </w:r>
      <w:r w:rsidR="00C45644" w:rsidRPr="00715098">
        <w:rPr>
          <w:rFonts w:ascii="Arial" w:hAnsi="Arial" w:cs="Arial"/>
          <w:bCs/>
          <w:sz w:val="20"/>
          <w:szCs w:val="20"/>
        </w:rPr>
        <w:t>-</w:t>
      </w:r>
      <w:r w:rsidR="00AE0871" w:rsidRPr="00715098">
        <w:rPr>
          <w:rFonts w:ascii="Arial" w:hAnsi="Arial" w:cs="Arial"/>
          <w:bCs/>
          <w:sz w:val="20"/>
          <w:szCs w:val="20"/>
        </w:rPr>
        <w:t>5</w:t>
      </w:r>
      <w:r w:rsidR="003E4C7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F149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EF1496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416087" w:rsidRPr="00715098">
        <w:rPr>
          <w:rFonts w:ascii="Arial" w:hAnsi="Arial" w:cs="Arial"/>
          <w:bCs/>
          <w:sz w:val="20"/>
          <w:szCs w:val="20"/>
        </w:rPr>
        <w:t>Plus</w:t>
      </w:r>
      <w:r w:rsidR="00C45644" w:rsidRPr="00715098">
        <w:rPr>
          <w:rFonts w:ascii="Arial" w:hAnsi="Arial" w:cs="Arial"/>
          <w:bCs/>
          <w:sz w:val="20"/>
          <w:szCs w:val="20"/>
        </w:rPr>
        <w:t>-</w:t>
      </w:r>
      <w:r w:rsidR="00416087" w:rsidRPr="00715098">
        <w:rPr>
          <w:rFonts w:ascii="Arial" w:hAnsi="Arial" w:cs="Arial"/>
          <w:bCs/>
          <w:sz w:val="20"/>
          <w:szCs w:val="20"/>
        </w:rPr>
        <w:t>2 (</w:t>
      </w:r>
      <w:proofErr w:type="spellStart"/>
      <w:r w:rsidR="00B74936" w:rsidRPr="00715098">
        <w:rPr>
          <w:rFonts w:ascii="Arial" w:hAnsi="Arial" w:cs="Arial"/>
          <w:bCs/>
          <w:sz w:val="20"/>
          <w:szCs w:val="20"/>
        </w:rPr>
        <w:t>Hàn</w:t>
      </w:r>
      <w:proofErr w:type="spellEnd"/>
      <w:r w:rsidR="00B7493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4936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41608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16087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EF149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4936" w:rsidRPr="00715098">
        <w:rPr>
          <w:rFonts w:ascii="Arial" w:hAnsi="Arial" w:cs="Arial"/>
          <w:bCs/>
          <w:sz w:val="20"/>
          <w:szCs w:val="20"/>
        </w:rPr>
        <w:t>Nhật</w:t>
      </w:r>
      <w:proofErr w:type="spellEnd"/>
      <w:r w:rsidR="00B7493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4936" w:rsidRPr="00715098">
        <w:rPr>
          <w:rFonts w:ascii="Arial" w:hAnsi="Arial" w:cs="Arial"/>
          <w:bCs/>
          <w:sz w:val="20"/>
          <w:szCs w:val="20"/>
        </w:rPr>
        <w:t>Bản</w:t>
      </w:r>
      <w:proofErr w:type="spellEnd"/>
      <w:r w:rsidR="00416087" w:rsidRPr="00715098">
        <w:rPr>
          <w:rFonts w:ascii="Arial" w:hAnsi="Arial" w:cs="Arial"/>
          <w:bCs/>
          <w:sz w:val="20"/>
          <w:szCs w:val="20"/>
        </w:rPr>
        <w:t>)</w:t>
      </w:r>
      <w:r w:rsidR="000F3B11" w:rsidRPr="00715098">
        <w:rPr>
          <w:rFonts w:ascii="Arial" w:hAnsi="Arial" w:cs="Arial"/>
          <w:bCs/>
          <w:sz w:val="20"/>
          <w:szCs w:val="20"/>
        </w:rPr>
        <w:t>.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phụ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thuộc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vào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như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AE0871" w:rsidRPr="00715098">
        <w:rPr>
          <w:rFonts w:ascii="Arial" w:hAnsi="Arial" w:cs="Arial"/>
          <w:bCs/>
          <w:sz w:val="20"/>
          <w:szCs w:val="20"/>
        </w:rPr>
        <w:t>Hong Kong</w:t>
      </w:r>
      <w:r w:rsidR="003E4C7F" w:rsidRPr="0071509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3E4C7F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3E4C7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E4C7F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3E4C7F" w:rsidRPr="00715098">
        <w:rPr>
          <w:rFonts w:ascii="Arial" w:hAnsi="Arial" w:cs="Arial"/>
          <w:bCs/>
          <w:sz w:val="20"/>
          <w:szCs w:val="20"/>
        </w:rPr>
        <w:t>)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, Malaysia,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Nhật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Bản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, 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Singapore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Thái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Lan</w:t>
      </w:r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chịu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nhiều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783667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AE0871" w:rsidRPr="00715098">
        <w:rPr>
          <w:rFonts w:ascii="Arial" w:hAnsi="Arial" w:cs="Arial"/>
          <w:bCs/>
          <w:sz w:val="20"/>
          <w:szCs w:val="20"/>
        </w:rPr>
        <w:t>(</w:t>
      </w:r>
      <w:proofErr w:type="spellStart"/>
      <w:r w:rsidR="00AB4B8E" w:rsidRPr="00715098">
        <w:rPr>
          <w:rFonts w:ascii="Arial" w:hAnsi="Arial" w:cs="Arial"/>
          <w:bCs/>
          <w:sz w:val="20"/>
          <w:szCs w:val="20"/>
        </w:rPr>
        <w:t>Bảng</w:t>
      </w:r>
      <w:proofErr w:type="spellEnd"/>
      <w:r w:rsidR="00AB4B8E" w:rsidRPr="00715098">
        <w:rPr>
          <w:rFonts w:ascii="Arial" w:hAnsi="Arial" w:cs="Arial"/>
          <w:bCs/>
          <w:sz w:val="20"/>
          <w:szCs w:val="20"/>
        </w:rPr>
        <w:t xml:space="preserve"> 2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). GDP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16087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41608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16087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416087" w:rsidRPr="0071509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đồng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tiền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chung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AE0871" w:rsidRPr="00715098">
        <w:rPr>
          <w:rFonts w:ascii="Arial" w:hAnsi="Arial" w:cs="Arial"/>
          <w:bCs/>
          <w:sz w:val="20"/>
          <w:szCs w:val="20"/>
        </w:rPr>
        <w:t>Euro</w:t>
      </w:r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416087" w:rsidRPr="00715098">
        <w:rPr>
          <w:rFonts w:ascii="Arial" w:hAnsi="Arial" w:cs="Arial"/>
          <w:bCs/>
          <w:sz w:val="20"/>
          <w:szCs w:val="20"/>
        </w:rPr>
        <w:t>)</w:t>
      </w:r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916C4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thể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lần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C6A71" w:rsidRPr="00715098">
        <w:rPr>
          <w:rFonts w:ascii="Arial" w:hAnsi="Arial" w:cs="Arial"/>
          <w:bCs/>
          <w:sz w:val="20"/>
          <w:szCs w:val="20"/>
        </w:rPr>
        <w:t>lượt</w:t>
      </w:r>
      <w:proofErr w:type="spellEnd"/>
      <w:r w:rsidR="00AE0871" w:rsidRPr="00715098">
        <w:rPr>
          <w:rFonts w:ascii="Arial" w:hAnsi="Arial" w:cs="Arial"/>
          <w:bCs/>
          <w:sz w:val="20"/>
          <w:szCs w:val="20"/>
        </w:rPr>
        <w:t xml:space="preserve"> 0,5% </w:t>
      </w:r>
      <w:proofErr w:type="spellStart"/>
      <w:r w:rsidR="00AE0871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1C6A71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AE0871" w:rsidRPr="00715098">
        <w:rPr>
          <w:rFonts w:ascii="Arial" w:hAnsi="Arial" w:cs="Arial"/>
          <w:bCs/>
          <w:sz w:val="20"/>
          <w:szCs w:val="20"/>
        </w:rPr>
        <w:t>0,2%</w:t>
      </w:r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16C47" w:rsidRPr="00715098">
        <w:rPr>
          <w:rFonts w:ascii="Arial" w:hAnsi="Arial" w:cs="Arial"/>
          <w:bCs/>
          <w:sz w:val="20"/>
          <w:szCs w:val="20"/>
        </w:rPr>
        <w:t>nếu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GDP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1%.</w:t>
      </w:r>
    </w:p>
    <w:p w14:paraId="29715D74" w14:textId="5BF99FE3" w:rsidR="00027E24" w:rsidRPr="00715098" w:rsidRDefault="00027E24" w:rsidP="00027E24">
      <w:pPr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noProof/>
          <w:sz w:val="20"/>
          <w:szCs w:val="20"/>
          <w:lang w:val="en-SG" w:eastAsia="en-SG"/>
        </w:rPr>
        <w:lastRenderedPageBreak/>
        <w:drawing>
          <wp:inline distT="0" distB="0" distL="0" distR="0" wp14:anchorId="0E1CBF92" wp14:editId="4F2ECF27">
            <wp:extent cx="5280296" cy="2154803"/>
            <wp:effectExtent l="0" t="0" r="0" b="0"/>
            <wp:docPr id="86" name="Picture 86" descr="C:\Users\linh.nguyenviet\Desktop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nh.nguyenviet\Desktop\media\image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284" cy="216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7A641" w14:textId="4689B9F1" w:rsidR="00027E24" w:rsidRPr="00533195" w:rsidRDefault="00027E24" w:rsidP="00533195">
      <w:pPr>
        <w:jc w:val="center"/>
        <w:rPr>
          <w:b/>
          <w:bCs/>
          <w:i/>
          <w:iCs/>
        </w:rPr>
      </w:pP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Bảng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2.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Tác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động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khi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GDP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Trung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Quốc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giảm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1%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tới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nhóm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ASEAN-5, Plus-2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và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G2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(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đơn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vị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%)</w:t>
      </w:r>
    </w:p>
    <w:p w14:paraId="17A0AF2C" w14:textId="6CBA1C84" w:rsidR="002A3E60" w:rsidRPr="00715098" w:rsidRDefault="00416087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Đặc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biệt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</w:t>
      </w:r>
      <w:r w:rsidR="00113BB5" w:rsidRPr="00715098">
        <w:rPr>
          <w:rFonts w:ascii="Arial" w:hAnsi="Arial" w:cs="Arial"/>
          <w:bCs/>
          <w:sz w:val="20"/>
          <w:szCs w:val="20"/>
        </w:rPr>
        <w:t>ác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cú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sốc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đối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26854" w:rsidRPr="00715098">
        <w:rPr>
          <w:rFonts w:ascii="Arial" w:hAnsi="Arial" w:cs="Arial"/>
          <w:bCs/>
          <w:sz w:val="20"/>
          <w:szCs w:val="20"/>
        </w:rPr>
        <w:t>từng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phần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lớn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hệ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quả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ngược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13BB5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trực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tiếp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113BB5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Kết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F2A4D" w:rsidRPr="00715098">
        <w:rPr>
          <w:rFonts w:ascii="Arial" w:hAnsi="Arial" w:cs="Arial"/>
          <w:bCs/>
          <w:sz w:val="20"/>
          <w:szCs w:val="20"/>
        </w:rPr>
        <w:t>quả</w:t>
      </w:r>
      <w:proofErr w:type="spellEnd"/>
      <w:r w:rsidR="009F2A4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45644" w:rsidRPr="00715098">
        <w:rPr>
          <w:rFonts w:ascii="Arial" w:hAnsi="Arial" w:cs="Arial"/>
          <w:bCs/>
          <w:sz w:val="20"/>
          <w:szCs w:val="20"/>
        </w:rPr>
        <w:t>phân</w:t>
      </w:r>
      <w:proofErr w:type="spellEnd"/>
      <w:r w:rsidR="00C456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45644" w:rsidRPr="00715098">
        <w:rPr>
          <w:rFonts w:ascii="Arial" w:hAnsi="Arial" w:cs="Arial"/>
          <w:bCs/>
          <w:sz w:val="20"/>
          <w:szCs w:val="20"/>
        </w:rPr>
        <w:t>tích</w:t>
      </w:r>
      <w:proofErr w:type="spellEnd"/>
      <w:r w:rsidR="00C456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thấy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phần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đáng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B5BEF" w:rsidRPr="00715098">
        <w:rPr>
          <w:rFonts w:ascii="Arial" w:hAnsi="Arial" w:cs="Arial"/>
          <w:bCs/>
          <w:sz w:val="20"/>
          <w:szCs w:val="20"/>
        </w:rPr>
        <w:t>kể</w:t>
      </w:r>
      <w:proofErr w:type="spellEnd"/>
      <w:r w:rsidR="00CB5BE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C45644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C4564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5396A" w:rsidRPr="00715098">
        <w:rPr>
          <w:rFonts w:ascii="Arial" w:hAnsi="Arial" w:cs="Arial"/>
          <w:bCs/>
          <w:sz w:val="20"/>
          <w:szCs w:val="20"/>
        </w:rPr>
        <w:t>tă</w:t>
      </w:r>
      <w:r w:rsidR="000F3B11" w:rsidRPr="00715098">
        <w:rPr>
          <w:rFonts w:ascii="Arial" w:hAnsi="Arial" w:cs="Arial"/>
          <w:bCs/>
          <w:sz w:val="20"/>
          <w:szCs w:val="20"/>
        </w:rPr>
        <w:t>ng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F3B11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0F3B1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chuyển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thành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ngược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trở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lại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thông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qua </w:t>
      </w:r>
      <w:proofErr w:type="spellStart"/>
      <w:r w:rsidR="00274AF1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274AF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tính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044D9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9044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044D9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9044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044D9" w:rsidRPr="00715098">
        <w:rPr>
          <w:rFonts w:ascii="Arial" w:hAnsi="Arial" w:cs="Arial"/>
          <w:bCs/>
          <w:sz w:val="20"/>
          <w:szCs w:val="20"/>
        </w:rPr>
        <w:t>phản</w:t>
      </w:r>
      <w:proofErr w:type="spellEnd"/>
      <w:r w:rsidR="009044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044D9" w:rsidRPr="00715098">
        <w:rPr>
          <w:rFonts w:ascii="Arial" w:hAnsi="Arial" w:cs="Arial"/>
          <w:bCs/>
          <w:sz w:val="20"/>
          <w:szCs w:val="20"/>
        </w:rPr>
        <w:t>hồi</w:t>
      </w:r>
      <w:proofErr w:type="spellEnd"/>
      <w:r w:rsidR="009044D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8946A0" w:rsidRPr="00715098">
        <w:rPr>
          <w:rFonts w:ascii="Arial" w:hAnsi="Arial" w:cs="Arial"/>
          <w:bCs/>
          <w:sz w:val="20"/>
          <w:szCs w:val="20"/>
        </w:rPr>
        <w:t xml:space="preserve"> ASEAN</w:t>
      </w:r>
      <w:r w:rsidR="00CB5BEF" w:rsidRPr="00715098">
        <w:rPr>
          <w:rFonts w:ascii="Arial" w:hAnsi="Arial" w:cs="Arial"/>
          <w:bCs/>
          <w:sz w:val="20"/>
          <w:szCs w:val="20"/>
        </w:rPr>
        <w:t>-</w:t>
      </w:r>
      <w:r w:rsidR="00B04697" w:rsidRPr="00715098">
        <w:rPr>
          <w:rFonts w:ascii="Arial" w:hAnsi="Arial" w:cs="Arial"/>
          <w:bCs/>
          <w:sz w:val="20"/>
          <w:szCs w:val="20"/>
        </w:rPr>
        <w:t xml:space="preserve">5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B04697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CB5BEF" w:rsidRPr="00715098">
        <w:rPr>
          <w:rFonts w:ascii="Arial" w:hAnsi="Arial" w:cs="Arial"/>
          <w:bCs/>
          <w:sz w:val="20"/>
          <w:szCs w:val="20"/>
        </w:rPr>
        <w:t>Plus-2</w:t>
      </w:r>
      <w:r w:rsidR="00B04697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B04697" w:rsidRPr="00715098">
        <w:rPr>
          <w:rFonts w:ascii="Arial" w:hAnsi="Arial" w:cs="Arial"/>
          <w:bCs/>
          <w:sz w:val="20"/>
          <w:szCs w:val="20"/>
        </w:rPr>
        <w:t>t</w:t>
      </w:r>
      <w:r w:rsidR="00592186" w:rsidRPr="00715098">
        <w:rPr>
          <w:rFonts w:ascii="Arial" w:hAnsi="Arial" w:cs="Arial"/>
          <w:bCs/>
          <w:sz w:val="20"/>
          <w:szCs w:val="20"/>
        </w:rPr>
        <w:t>ác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lên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rõ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rệt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9044D9" w:rsidRPr="00715098">
        <w:rPr>
          <w:rFonts w:ascii="Arial" w:hAnsi="Arial" w:cs="Arial"/>
          <w:bCs/>
          <w:sz w:val="20"/>
          <w:szCs w:val="20"/>
        </w:rPr>
        <w:t>Bảng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093AE3" w:rsidRPr="00715098">
        <w:rPr>
          <w:rFonts w:ascii="Arial" w:hAnsi="Arial" w:cs="Arial"/>
          <w:bCs/>
          <w:sz w:val="20"/>
          <w:szCs w:val="20"/>
        </w:rPr>
        <w:t>3</w:t>
      </w:r>
      <w:r w:rsidR="00B35106" w:rsidRPr="00715098">
        <w:rPr>
          <w:rFonts w:ascii="Arial" w:hAnsi="Arial" w:cs="Arial"/>
          <w:bCs/>
          <w:sz w:val="20"/>
          <w:szCs w:val="20"/>
        </w:rPr>
        <w:t xml:space="preserve">),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phản</w:t>
      </w:r>
      <w:proofErr w:type="spellEnd"/>
      <w:r w:rsidR="0059218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92186" w:rsidRPr="00715098">
        <w:rPr>
          <w:rFonts w:ascii="Arial" w:hAnsi="Arial" w:cs="Arial"/>
          <w:bCs/>
          <w:sz w:val="20"/>
          <w:szCs w:val="20"/>
        </w:rPr>
        <w:t>ánh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mối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quan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hệ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chính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3AB0" w:rsidRPr="00715098">
        <w:rPr>
          <w:rFonts w:ascii="Arial" w:hAnsi="Arial" w:cs="Arial"/>
          <w:bCs/>
          <w:sz w:val="20"/>
          <w:szCs w:val="20"/>
        </w:rPr>
        <w:t>chặt</w:t>
      </w:r>
      <w:proofErr w:type="spellEnd"/>
      <w:r w:rsidR="002C3AB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3AB0" w:rsidRPr="00715098">
        <w:rPr>
          <w:rFonts w:ascii="Arial" w:hAnsi="Arial" w:cs="Arial"/>
          <w:bCs/>
          <w:sz w:val="20"/>
          <w:szCs w:val="20"/>
        </w:rPr>
        <w:t>chẽ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274AF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74AF1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mức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độ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hội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nhập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A6613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0A6613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A6613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đặc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biệt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35106" w:rsidRPr="00715098">
        <w:rPr>
          <w:rFonts w:ascii="Arial" w:hAnsi="Arial" w:cs="Arial"/>
          <w:bCs/>
          <w:sz w:val="20"/>
          <w:szCs w:val="20"/>
        </w:rPr>
        <w:t>Quố</w:t>
      </w:r>
      <w:r w:rsidR="009044D9" w:rsidRPr="00715098">
        <w:rPr>
          <w:rFonts w:ascii="Arial" w:hAnsi="Arial" w:cs="Arial"/>
          <w:bCs/>
          <w:sz w:val="20"/>
          <w:szCs w:val="20"/>
        </w:rPr>
        <w:t>c</w:t>
      </w:r>
      <w:proofErr w:type="spellEnd"/>
      <w:r w:rsidR="00B35106" w:rsidRPr="00715098">
        <w:rPr>
          <w:rFonts w:ascii="Arial" w:hAnsi="Arial" w:cs="Arial"/>
          <w:bCs/>
          <w:sz w:val="20"/>
          <w:szCs w:val="20"/>
        </w:rPr>
        <w:t>.</w:t>
      </w:r>
    </w:p>
    <w:p w14:paraId="79699774" w14:textId="77777777" w:rsidR="00027E24" w:rsidRPr="00715098" w:rsidRDefault="00027E24" w:rsidP="00027E24">
      <w:pPr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noProof/>
          <w:sz w:val="20"/>
          <w:szCs w:val="20"/>
          <w:lang w:val="en-SG" w:eastAsia="en-SG"/>
        </w:rPr>
        <w:drawing>
          <wp:inline distT="0" distB="0" distL="0" distR="0" wp14:anchorId="658E7344" wp14:editId="24E8F6EF">
            <wp:extent cx="5266706" cy="2541082"/>
            <wp:effectExtent l="0" t="0" r="0" b="0"/>
            <wp:docPr id="87" name="Picture 87" descr="C:\Users\linh.nguyenviet\Desktop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inh.nguyenviet\Desktop\media\image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846" cy="2564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4DFC7" w14:textId="38366767" w:rsidR="00027E24" w:rsidRPr="00785439" w:rsidRDefault="00027E24" w:rsidP="00785439">
      <w:pPr>
        <w:jc w:val="center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Bảng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3.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Tác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động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khi</w:t>
      </w:r>
      <w:proofErr w:type="spellEnd"/>
      <w:r w:rsidRPr="0078543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785439">
        <w:rPr>
          <w:rFonts w:ascii="Arial" w:hAnsi="Arial" w:cs="Arial"/>
          <w:i/>
          <w:iCs/>
          <w:sz w:val="20"/>
          <w:szCs w:val="20"/>
        </w:rPr>
        <w:t xml:space="preserve">GDP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Trung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Quốc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giảm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1%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tới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nhóm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ASEAN-5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và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Plus-2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theo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khu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vực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địa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lý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đơn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85439">
        <w:rPr>
          <w:rFonts w:ascii="Arial" w:hAnsi="Arial" w:cs="Arial"/>
          <w:i/>
          <w:iCs/>
          <w:sz w:val="20"/>
          <w:szCs w:val="20"/>
        </w:rPr>
        <w:t>vị</w:t>
      </w:r>
      <w:proofErr w:type="spellEnd"/>
      <w:r w:rsidRPr="00785439">
        <w:rPr>
          <w:rFonts w:ascii="Arial" w:hAnsi="Arial" w:cs="Arial"/>
          <w:i/>
          <w:iCs/>
          <w:sz w:val="20"/>
          <w:szCs w:val="20"/>
        </w:rPr>
        <w:t xml:space="preserve"> %)</w:t>
      </w:r>
    </w:p>
    <w:p w14:paraId="0A6CE069" w14:textId="7B79FBE4" w:rsidR="00383F62" w:rsidRPr="00715098" w:rsidRDefault="00786F25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từ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nhóm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G2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thông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qua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kênh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khu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vực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bối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cảnh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Covid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-19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gây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ra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gián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đoạn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nghiêm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trọng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hoạt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E535B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9E535B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4B3D2E" w:rsidRPr="00715098">
        <w:rPr>
          <w:rFonts w:ascii="Arial" w:hAnsi="Arial" w:cs="Arial"/>
          <w:bCs/>
          <w:sz w:val="20"/>
          <w:szCs w:val="20"/>
        </w:rPr>
        <w:t>ở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nước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phương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Tây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bắt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nguồn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đồng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tiền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chung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63BC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2A63B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A63BC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đến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nề</w:t>
      </w:r>
      <w:r w:rsidR="001B581C" w:rsidRPr="00715098">
        <w:rPr>
          <w:rFonts w:ascii="Arial" w:hAnsi="Arial" w:cs="Arial"/>
          <w:bCs/>
          <w:sz w:val="20"/>
          <w:szCs w:val="20"/>
        </w:rPr>
        <w:t>n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Ước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tính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AMRO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4B3D2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B3D2E" w:rsidRPr="00715098">
        <w:rPr>
          <w:rFonts w:ascii="Arial" w:hAnsi="Arial" w:cs="Arial"/>
          <w:bCs/>
          <w:sz w:val="20"/>
          <w:szCs w:val="20"/>
        </w:rPr>
        <w:t>thấ</w:t>
      </w:r>
      <w:r w:rsidR="001B581C" w:rsidRPr="00715098">
        <w:rPr>
          <w:rFonts w:ascii="Arial" w:hAnsi="Arial" w:cs="Arial"/>
          <w:bCs/>
          <w:sz w:val="20"/>
          <w:szCs w:val="20"/>
        </w:rPr>
        <w:t>y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phản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ứng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trước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cú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sốc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GDP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0C71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A30C7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512CB" w:rsidRPr="00715098">
        <w:rPr>
          <w:rFonts w:ascii="Arial" w:hAnsi="Arial" w:cs="Arial"/>
          <w:bCs/>
          <w:sz w:val="20"/>
          <w:szCs w:val="20"/>
        </w:rPr>
        <w:t>lớn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. </w:t>
      </w:r>
      <w:r w:rsidR="007B53DE" w:rsidRPr="00715098">
        <w:rPr>
          <w:rFonts w:ascii="Arial" w:hAnsi="Arial" w:cs="Arial"/>
          <w:bCs/>
          <w:sz w:val="20"/>
          <w:szCs w:val="20"/>
        </w:rPr>
        <w:t xml:space="preserve">Theo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mức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s</w:t>
      </w:r>
      <w:r w:rsidR="001B581C" w:rsidRPr="00715098">
        <w:rPr>
          <w:rFonts w:ascii="Arial" w:hAnsi="Arial" w:cs="Arial"/>
          <w:bCs/>
          <w:sz w:val="20"/>
          <w:szCs w:val="20"/>
        </w:rPr>
        <w:t>ụ</w:t>
      </w:r>
      <w:r w:rsidR="000512CB" w:rsidRPr="00715098">
        <w:rPr>
          <w:rFonts w:ascii="Arial" w:hAnsi="Arial" w:cs="Arial"/>
          <w:bCs/>
          <w:sz w:val="20"/>
          <w:szCs w:val="20"/>
        </w:rPr>
        <w:t>t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gi</w:t>
      </w:r>
      <w:r w:rsidR="00D46C61" w:rsidRPr="00715098">
        <w:rPr>
          <w:rFonts w:ascii="Arial" w:hAnsi="Arial" w:cs="Arial"/>
          <w:bCs/>
          <w:sz w:val="20"/>
          <w:szCs w:val="20"/>
        </w:rPr>
        <w:t>ả</w:t>
      </w:r>
      <w:r w:rsidR="001B581C" w:rsidRPr="00715098">
        <w:rPr>
          <w:rFonts w:ascii="Arial" w:hAnsi="Arial" w:cs="Arial"/>
          <w:bCs/>
          <w:sz w:val="20"/>
          <w:szCs w:val="20"/>
        </w:rPr>
        <w:t>m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1% </w:t>
      </w:r>
      <w:r w:rsidR="000512CB" w:rsidRPr="00715098">
        <w:rPr>
          <w:rFonts w:ascii="Arial" w:hAnsi="Arial" w:cs="Arial"/>
          <w:bCs/>
          <w:sz w:val="20"/>
          <w:szCs w:val="20"/>
        </w:rPr>
        <w:t>GDP</w:t>
      </w:r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năm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E79D5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BE79D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E79D5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BE79D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dẫn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đến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sụ</w:t>
      </w:r>
      <w:r w:rsidR="000512CB" w:rsidRPr="00715098">
        <w:rPr>
          <w:rFonts w:ascii="Arial" w:hAnsi="Arial" w:cs="Arial"/>
          <w:bCs/>
          <w:sz w:val="20"/>
          <w:szCs w:val="20"/>
        </w:rPr>
        <w:t>t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tương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đương</w:t>
      </w:r>
      <w:proofErr w:type="spellEnd"/>
      <w:r w:rsidR="000512CB" w:rsidRPr="00715098">
        <w:rPr>
          <w:rFonts w:ascii="Arial" w:hAnsi="Arial" w:cs="Arial"/>
          <w:bCs/>
          <w:sz w:val="20"/>
          <w:szCs w:val="20"/>
        </w:rPr>
        <w:t xml:space="preserve"> 1%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0512CB" w:rsidRPr="00715098">
        <w:rPr>
          <w:rFonts w:ascii="Arial" w:hAnsi="Arial" w:cs="Arial"/>
          <w:bCs/>
          <w:sz w:val="20"/>
          <w:szCs w:val="20"/>
        </w:rPr>
        <w:t>GDP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E79D5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BE79D5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ASEAN-5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7B53DE" w:rsidRPr="00715098">
        <w:rPr>
          <w:rFonts w:ascii="Arial" w:hAnsi="Arial" w:cs="Arial"/>
          <w:bCs/>
          <w:sz w:val="20"/>
          <w:szCs w:val="20"/>
        </w:rPr>
        <w:t>Plus-2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AC796F" w:rsidRPr="00715098">
        <w:rPr>
          <w:rFonts w:ascii="Arial" w:hAnsi="Arial" w:cs="Arial"/>
          <w:bCs/>
          <w:sz w:val="20"/>
          <w:szCs w:val="20"/>
        </w:rPr>
        <w:t>Bảng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9F5E7F" w:rsidRPr="00715098">
        <w:rPr>
          <w:rFonts w:ascii="Arial" w:hAnsi="Arial" w:cs="Arial"/>
          <w:bCs/>
          <w:sz w:val="20"/>
          <w:szCs w:val="20"/>
        </w:rPr>
        <w:t>4</w:t>
      </w:r>
      <w:r w:rsidR="00783667" w:rsidRPr="00715098">
        <w:rPr>
          <w:rFonts w:ascii="Arial" w:hAnsi="Arial" w:cs="Arial"/>
          <w:bCs/>
          <w:sz w:val="20"/>
          <w:szCs w:val="20"/>
        </w:rPr>
        <w:t xml:space="preserve"> &amp; 5</w:t>
      </w:r>
      <w:r w:rsidR="001B581C" w:rsidRPr="00715098">
        <w:rPr>
          <w:rFonts w:ascii="Arial" w:hAnsi="Arial" w:cs="Arial"/>
          <w:bCs/>
          <w:sz w:val="20"/>
          <w:szCs w:val="20"/>
        </w:rPr>
        <w:t>)</w:t>
      </w:r>
      <w:r w:rsidR="003F052F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lớn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so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phản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ánh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mối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quan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hệ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chặt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chẽ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hơn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giữa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856E3E" w:rsidRPr="00715098">
        <w:rPr>
          <w:rFonts w:ascii="Arial" w:hAnsi="Arial" w:cs="Arial"/>
          <w:bCs/>
          <w:sz w:val="20"/>
          <w:szCs w:val="20"/>
        </w:rPr>
        <w:t>.</w:t>
      </w:r>
    </w:p>
    <w:p w14:paraId="11C15371" w14:textId="6088E986" w:rsidR="00027E24" w:rsidRPr="00715098" w:rsidRDefault="00027E24" w:rsidP="00027E24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b/>
          <w:noProof/>
          <w:sz w:val="20"/>
          <w:szCs w:val="20"/>
          <w:lang w:val="en-SG" w:eastAsia="en-SG"/>
        </w:rPr>
        <w:lastRenderedPageBreak/>
        <w:drawing>
          <wp:inline distT="0" distB="0" distL="0" distR="0" wp14:anchorId="2B6A4F09" wp14:editId="13F87DEC">
            <wp:extent cx="5475605" cy="2377440"/>
            <wp:effectExtent l="0" t="0" r="0" b="3810"/>
            <wp:docPr id="15" name="Picture 15" descr="C:\Users\linh.nguyenviet\Desktop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nh.nguyenviet\Desktop\media\image1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083" cy="237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7F161" w14:textId="70EC04C5" w:rsidR="00027E24" w:rsidRPr="00715098" w:rsidRDefault="00027E24" w:rsidP="0078543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B</w:t>
      </w:r>
      <w:r w:rsidRPr="00715098">
        <w:rPr>
          <w:rFonts w:ascii="Arial" w:hAnsi="Arial" w:cs="Arial"/>
          <w:i/>
          <w:iCs/>
          <w:sz w:val="20"/>
          <w:szCs w:val="20"/>
        </w:rPr>
        <w:t>ảng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4.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lan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tỏa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khi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GDP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của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G2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giảm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1%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tới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nền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kinh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tế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đơn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i/>
          <w:iCs/>
          <w:sz w:val="20"/>
          <w:szCs w:val="20"/>
        </w:rPr>
        <w:t>vị</w:t>
      </w:r>
      <w:proofErr w:type="spellEnd"/>
      <w:r w:rsidRPr="00715098">
        <w:rPr>
          <w:rFonts w:ascii="Arial" w:hAnsi="Arial" w:cs="Arial"/>
          <w:i/>
          <w:iCs/>
          <w:sz w:val="20"/>
          <w:szCs w:val="20"/>
        </w:rPr>
        <w:t xml:space="preserve"> %)</w:t>
      </w:r>
    </w:p>
    <w:p w14:paraId="7C02F135" w14:textId="77777777" w:rsidR="00027E24" w:rsidRPr="00715098" w:rsidRDefault="00027E24" w:rsidP="00027E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5098">
        <w:rPr>
          <w:rFonts w:ascii="Arial" w:hAnsi="Arial" w:cs="Arial"/>
          <w:noProof/>
          <w:sz w:val="20"/>
          <w:szCs w:val="20"/>
          <w:lang w:val="en-SG" w:eastAsia="en-SG"/>
        </w:rPr>
        <w:drawing>
          <wp:inline distT="0" distB="0" distL="0" distR="0" wp14:anchorId="07E35B30" wp14:editId="011DD72F">
            <wp:extent cx="5391150" cy="2615979"/>
            <wp:effectExtent l="0" t="0" r="0" b="0"/>
            <wp:docPr id="88" name="Picture 88" descr="C:\Users\linh.nguyenviet\Desktop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inh.nguyenviet\Desktop\media\image1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165" cy="262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0D2C9" w14:textId="655CD1DC" w:rsidR="008C360B" w:rsidRPr="00715098" w:rsidRDefault="00027E24" w:rsidP="00027E24">
      <w:pPr>
        <w:pStyle w:val="MSGENFONTSTYLENAMETEMPLATEROLEMSGENFONTSTYLENAMEBYROLEPICTURECAPTION0"/>
        <w:shd w:val="clear" w:color="auto" w:fill="auto"/>
        <w:spacing w:line="240" w:lineRule="auto"/>
        <w:ind w:firstLine="0"/>
        <w:jc w:val="center"/>
        <w:rPr>
          <w:b w:val="0"/>
          <w:bCs w:val="0"/>
          <w:i/>
          <w:iCs/>
          <w:sz w:val="20"/>
          <w:szCs w:val="20"/>
        </w:rPr>
      </w:pPr>
      <w:proofErr w:type="spellStart"/>
      <w:r w:rsidRPr="00715098">
        <w:rPr>
          <w:b w:val="0"/>
          <w:bCs w:val="0"/>
          <w:i/>
          <w:iCs/>
          <w:sz w:val="20"/>
          <w:szCs w:val="20"/>
        </w:rPr>
        <w:t>Bảng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5.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Tác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động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khi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GDP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của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G2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giảm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1%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tới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các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nền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kinh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tế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phân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theo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khu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vực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địa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lý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(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đơn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715098">
        <w:rPr>
          <w:b w:val="0"/>
          <w:bCs w:val="0"/>
          <w:i/>
          <w:iCs/>
          <w:sz w:val="20"/>
          <w:szCs w:val="20"/>
        </w:rPr>
        <w:t>vị</w:t>
      </w:r>
      <w:proofErr w:type="spellEnd"/>
      <w:r w:rsidRPr="00715098">
        <w:rPr>
          <w:b w:val="0"/>
          <w:bCs w:val="0"/>
          <w:i/>
          <w:iCs/>
          <w:sz w:val="20"/>
          <w:szCs w:val="20"/>
        </w:rPr>
        <w:t xml:space="preserve"> %)</w:t>
      </w:r>
    </w:p>
    <w:p w14:paraId="6F02D5E4" w14:textId="0A4027C5" w:rsidR="0032229E" w:rsidRPr="00715098" w:rsidRDefault="005D5F9F" w:rsidP="00856E3E">
      <w:pPr>
        <w:spacing w:before="120" w:after="0" w:line="240" w:lineRule="auto"/>
        <w:jc w:val="both"/>
        <w:rPr>
          <w:rFonts w:ascii="Arial" w:hAnsi="Arial" w:cs="Arial"/>
          <w:bCs/>
          <w:noProof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Trái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ngược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cú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sốc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GDP</w:t>
      </w:r>
      <w:r w:rsidR="007D74D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D74DB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trực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tiế</w:t>
      </w:r>
      <w:r w:rsidR="0001790B" w:rsidRPr="00715098">
        <w:rPr>
          <w:rFonts w:ascii="Arial" w:hAnsi="Arial" w:cs="Arial"/>
          <w:bCs/>
          <w:sz w:val="20"/>
          <w:szCs w:val="20"/>
        </w:rPr>
        <w:t>p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đến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hầu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hết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lý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do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thể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kể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mặc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dù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A351F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A351F0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đã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phát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triển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hai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thập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kỷ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qua,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nhưng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vẫn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chiếm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ít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B53DE" w:rsidRPr="00715098">
        <w:rPr>
          <w:rFonts w:ascii="Arial" w:hAnsi="Arial" w:cs="Arial"/>
          <w:bCs/>
          <w:sz w:val="20"/>
          <w:szCs w:val="20"/>
        </w:rPr>
        <w:t>nhất</w:t>
      </w:r>
      <w:proofErr w:type="spellEnd"/>
      <w:r w:rsidR="007B53DE" w:rsidRPr="00715098">
        <w:rPr>
          <w:rFonts w:ascii="Arial" w:hAnsi="Arial" w:cs="Arial"/>
          <w:bCs/>
          <w:sz w:val="20"/>
          <w:szCs w:val="20"/>
        </w:rPr>
        <w:t xml:space="preserve"> 1/3</w:t>
      </w:r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lượng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70DE9" w:rsidRPr="00715098">
        <w:rPr>
          <w:rFonts w:ascii="Arial" w:hAnsi="Arial" w:cs="Arial"/>
          <w:bCs/>
          <w:sz w:val="20"/>
          <w:szCs w:val="20"/>
        </w:rPr>
        <w:t>xuất</w:t>
      </w:r>
      <w:proofErr w:type="spellEnd"/>
      <w:r w:rsidR="00470DE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70DE9" w:rsidRPr="00715098">
        <w:rPr>
          <w:rFonts w:ascii="Arial" w:hAnsi="Arial" w:cs="Arial"/>
          <w:bCs/>
          <w:sz w:val="20"/>
          <w:szCs w:val="20"/>
        </w:rPr>
        <w:t>khẩu</w:t>
      </w:r>
      <w:proofErr w:type="spellEnd"/>
      <w:r w:rsidR="00470DE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1B581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B581C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Điều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này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thấy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vẫn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bị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đáng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kể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sức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hai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này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phần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lớn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thông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qua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3F052F" w:rsidRPr="00715098">
        <w:rPr>
          <w:rFonts w:ascii="Arial" w:hAnsi="Arial" w:cs="Arial"/>
          <w:bCs/>
          <w:sz w:val="20"/>
          <w:szCs w:val="20"/>
        </w:rPr>
        <w:t xml:space="preserve">ASEAN 5,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Nhật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Bản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Hàn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3F052F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3F052F" w:rsidRPr="00715098">
        <w:rPr>
          <w:rFonts w:ascii="Arial" w:hAnsi="Arial" w:cs="Arial"/>
          <w:bCs/>
          <w:sz w:val="20"/>
          <w:szCs w:val="20"/>
        </w:rPr>
        <w:t xml:space="preserve">. </w:t>
      </w:r>
    </w:p>
    <w:p w14:paraId="5AD486EF" w14:textId="5D9BB081" w:rsidR="002C6516" w:rsidRPr="00715098" w:rsidRDefault="0043416F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bCs/>
          <w:sz w:val="20"/>
          <w:szCs w:val="20"/>
        </w:rPr>
        <w:t xml:space="preserve">Theo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kết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quả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dự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báo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>,</w:t>
      </w:r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suy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thoái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545AC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9545A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thể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đáng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kể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đối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tăng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trưởng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9545A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545AC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ASEAN+3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đặc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biệt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quý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2</w:t>
      </w:r>
      <w:r w:rsidR="005D5F9F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sau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đó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s</w:t>
      </w:r>
      <w:r w:rsidR="001003FA" w:rsidRPr="00715098">
        <w:rPr>
          <w:rFonts w:ascii="Arial" w:hAnsi="Arial" w:cs="Arial"/>
          <w:bCs/>
          <w:sz w:val="20"/>
          <w:szCs w:val="20"/>
        </w:rPr>
        <w:t>ẽ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545AC" w:rsidRPr="00715098">
        <w:rPr>
          <w:rFonts w:ascii="Arial" w:hAnsi="Arial" w:cs="Arial"/>
          <w:bCs/>
          <w:sz w:val="20"/>
          <w:szCs w:val="20"/>
        </w:rPr>
        <w:t>dần</w:t>
      </w:r>
      <w:proofErr w:type="spellEnd"/>
      <w:r w:rsidR="009545A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phục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hồi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545AC" w:rsidRPr="00715098">
        <w:rPr>
          <w:rFonts w:ascii="Arial" w:hAnsi="Arial" w:cs="Arial"/>
          <w:bCs/>
          <w:sz w:val="20"/>
          <w:szCs w:val="20"/>
        </w:rPr>
        <w:t>trở</w:t>
      </w:r>
      <w:proofErr w:type="spellEnd"/>
      <w:r w:rsidR="009545AC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545AC" w:rsidRPr="00715098">
        <w:rPr>
          <w:rFonts w:ascii="Arial" w:hAnsi="Arial" w:cs="Arial"/>
          <w:bCs/>
          <w:sz w:val="20"/>
          <w:szCs w:val="20"/>
        </w:rPr>
        <w:t>lại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8A5290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8A529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A5290" w:rsidRPr="00715098">
        <w:rPr>
          <w:rFonts w:ascii="Arial" w:hAnsi="Arial" w:cs="Arial"/>
          <w:bCs/>
          <w:sz w:val="20"/>
          <w:szCs w:val="20"/>
        </w:rPr>
        <w:t>giả</w:t>
      </w:r>
      <w:proofErr w:type="spellEnd"/>
      <w:r w:rsidR="008A5290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định</w:t>
      </w:r>
      <w:proofErr w:type="spellEnd"/>
      <w:r w:rsidR="008A5290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3F052F" w:rsidRPr="00715098">
        <w:rPr>
          <w:rFonts w:ascii="Arial" w:hAnsi="Arial" w:cs="Arial"/>
          <w:bCs/>
          <w:sz w:val="20"/>
          <w:szCs w:val="20"/>
        </w:rPr>
        <w:t>GDP</w:t>
      </w:r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bình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6,6%,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GVAR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ước</w:t>
      </w:r>
      <w:proofErr w:type="spellEnd"/>
      <w:r w:rsidR="00E77D49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tính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GDP</w:t>
      </w:r>
      <w:r w:rsidR="00C45B18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ASEAN-5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E77D49" w:rsidRPr="00715098">
        <w:rPr>
          <w:rFonts w:ascii="Arial" w:hAnsi="Arial" w:cs="Arial"/>
          <w:bCs/>
          <w:sz w:val="20"/>
          <w:szCs w:val="20"/>
        </w:rPr>
        <w:t>Plus-3</w:t>
      </w:r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thể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bị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tớ</w:t>
      </w:r>
      <w:r w:rsidR="00F243EB" w:rsidRPr="00715098">
        <w:rPr>
          <w:rFonts w:ascii="Arial" w:hAnsi="Arial" w:cs="Arial"/>
          <w:bCs/>
          <w:sz w:val="20"/>
          <w:szCs w:val="20"/>
        </w:rPr>
        <w:t>i</w:t>
      </w:r>
      <w:proofErr w:type="spellEnd"/>
      <w:r w:rsidR="00F243EB" w:rsidRPr="00715098">
        <w:rPr>
          <w:rFonts w:ascii="Arial" w:hAnsi="Arial" w:cs="Arial"/>
          <w:bCs/>
          <w:sz w:val="20"/>
          <w:szCs w:val="20"/>
        </w:rPr>
        <w:t xml:space="preserve"> 5,0%</w:t>
      </w:r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năm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0F2FDE" w:rsidRPr="00715098">
        <w:rPr>
          <w:rFonts w:ascii="Arial" w:hAnsi="Arial" w:cs="Arial"/>
          <w:bCs/>
          <w:sz w:val="20"/>
          <w:szCs w:val="20"/>
        </w:rPr>
        <w:t>C</w:t>
      </w:r>
      <w:r w:rsidR="005D5F9F" w:rsidRPr="00715098">
        <w:rPr>
          <w:rFonts w:ascii="Arial" w:hAnsi="Arial" w:cs="Arial"/>
          <w:bCs/>
          <w:sz w:val="20"/>
          <w:szCs w:val="20"/>
        </w:rPr>
        <w:t>ác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C57FD" w:rsidRPr="00715098">
        <w:rPr>
          <w:rFonts w:ascii="Arial" w:hAnsi="Arial" w:cs="Arial"/>
          <w:bCs/>
          <w:sz w:val="20"/>
          <w:szCs w:val="20"/>
        </w:rPr>
        <w:t>nhóm</w:t>
      </w:r>
      <w:proofErr w:type="spellEnd"/>
      <w:r w:rsidR="00BC57F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dự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kiến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​​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giai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đoạn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phục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hồi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chữ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V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năm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nay,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sau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5D5F9F" w:rsidRPr="00715098">
        <w:rPr>
          <w:rFonts w:ascii="Arial" w:hAnsi="Arial" w:cs="Arial"/>
          <w:bCs/>
          <w:sz w:val="20"/>
          <w:szCs w:val="20"/>
        </w:rPr>
        <w:t>chạ</w:t>
      </w:r>
      <w:r w:rsidR="001003FA" w:rsidRPr="00715098">
        <w:rPr>
          <w:rFonts w:ascii="Arial" w:hAnsi="Arial" w:cs="Arial"/>
          <w:bCs/>
          <w:sz w:val="20"/>
          <w:szCs w:val="20"/>
        </w:rPr>
        <w:t>m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đáy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vào</w:t>
      </w:r>
      <w:proofErr w:type="spellEnd"/>
      <w:r w:rsidR="001003F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003FA" w:rsidRPr="00715098">
        <w:rPr>
          <w:rFonts w:ascii="Arial" w:hAnsi="Arial" w:cs="Arial"/>
          <w:bCs/>
          <w:sz w:val="20"/>
          <w:szCs w:val="20"/>
        </w:rPr>
        <w:t>q</w:t>
      </w:r>
      <w:r w:rsidR="005D5F9F" w:rsidRPr="00715098">
        <w:rPr>
          <w:rFonts w:ascii="Arial" w:hAnsi="Arial" w:cs="Arial"/>
          <w:bCs/>
          <w:sz w:val="20"/>
          <w:szCs w:val="20"/>
        </w:rPr>
        <w:t>uý</w:t>
      </w:r>
      <w:proofErr w:type="spellEnd"/>
      <w:r w:rsidR="005D5F9F" w:rsidRPr="00715098">
        <w:rPr>
          <w:rFonts w:ascii="Arial" w:hAnsi="Arial" w:cs="Arial"/>
          <w:bCs/>
          <w:sz w:val="20"/>
          <w:szCs w:val="20"/>
        </w:rPr>
        <w:t xml:space="preserve"> 2</w:t>
      </w:r>
      <w:r w:rsidR="00981900" w:rsidRPr="00715098">
        <w:rPr>
          <w:rFonts w:ascii="Arial" w:hAnsi="Arial" w:cs="Arial"/>
          <w:bCs/>
          <w:sz w:val="20"/>
          <w:szCs w:val="20"/>
        </w:rPr>
        <w:t>,</w:t>
      </w:r>
      <w:r w:rsidR="005D5F9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ảnh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hưởng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8F2ED8" w:rsidRPr="00715098">
        <w:rPr>
          <w:rFonts w:ascii="Arial" w:hAnsi="Arial" w:cs="Arial"/>
          <w:bCs/>
          <w:sz w:val="20"/>
          <w:szCs w:val="20"/>
        </w:rPr>
        <w:t>khác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chấm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dứt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73742" w:rsidRPr="00715098">
        <w:rPr>
          <w:rFonts w:ascii="Arial" w:hAnsi="Arial" w:cs="Arial"/>
          <w:bCs/>
          <w:sz w:val="20"/>
          <w:szCs w:val="20"/>
        </w:rPr>
        <w:t>quý</w:t>
      </w:r>
      <w:proofErr w:type="spellEnd"/>
      <w:r w:rsidR="00B73742" w:rsidRPr="00715098">
        <w:rPr>
          <w:rFonts w:ascii="Arial" w:hAnsi="Arial" w:cs="Arial"/>
          <w:bCs/>
          <w:sz w:val="20"/>
          <w:szCs w:val="20"/>
        </w:rPr>
        <w:t xml:space="preserve"> 2</w:t>
      </w:r>
      <w:r w:rsidR="00E77D49" w:rsidRPr="00715098">
        <w:rPr>
          <w:rFonts w:ascii="Arial" w:hAnsi="Arial" w:cs="Arial"/>
          <w:bCs/>
          <w:sz w:val="20"/>
          <w:szCs w:val="20"/>
        </w:rPr>
        <w:t>/</w:t>
      </w:r>
      <w:r w:rsidR="00B73742" w:rsidRPr="00715098">
        <w:rPr>
          <w:rFonts w:ascii="Arial" w:hAnsi="Arial" w:cs="Arial"/>
          <w:bCs/>
          <w:sz w:val="20"/>
          <w:szCs w:val="20"/>
        </w:rPr>
        <w:t>2021</w:t>
      </w:r>
      <w:r w:rsidR="005D5F9F" w:rsidRPr="00715098">
        <w:rPr>
          <w:rFonts w:ascii="Arial" w:hAnsi="Arial" w:cs="Arial"/>
          <w:bCs/>
          <w:sz w:val="20"/>
          <w:szCs w:val="20"/>
        </w:rPr>
        <w:t>.</w:t>
      </w:r>
    </w:p>
    <w:p w14:paraId="26496973" w14:textId="640DA717" w:rsidR="006F6680" w:rsidRPr="00715098" w:rsidRDefault="002C6516" w:rsidP="00856E3E">
      <w:pPr>
        <w:spacing w:before="120" w:after="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động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lan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tỏa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="001B2301" w:rsidRPr="00715098">
        <w:rPr>
          <w:rFonts w:ascii="Arial" w:hAnsi="Arial" w:cs="Arial"/>
          <w:b/>
          <w:iCs/>
          <w:sz w:val="20"/>
          <w:szCs w:val="20"/>
        </w:rPr>
        <w:t>theo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Cs/>
          <w:sz w:val="20"/>
          <w:szCs w:val="20"/>
        </w:rPr>
        <w:t>ngành</w:t>
      </w:r>
      <w:proofErr w:type="spellEnd"/>
      <w:r w:rsidRPr="00715098">
        <w:rPr>
          <w:rFonts w:ascii="Arial" w:hAnsi="Arial" w:cs="Arial"/>
          <w:b/>
          <w:iCs/>
          <w:sz w:val="20"/>
          <w:szCs w:val="20"/>
        </w:rPr>
        <w:t xml:space="preserve"> </w:t>
      </w:r>
    </w:p>
    <w:p w14:paraId="7366846E" w14:textId="7FEF7817" w:rsidR="00FC56B4" w:rsidRPr="00715098" w:rsidRDefault="009D4B07" w:rsidP="00856E3E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spellStart"/>
      <w:r w:rsidRPr="00715098">
        <w:rPr>
          <w:rFonts w:ascii="Arial" w:hAnsi="Arial" w:cs="Arial"/>
          <w:bCs/>
          <w:sz w:val="20"/>
          <w:szCs w:val="20"/>
        </w:rPr>
        <w:t>T</w:t>
      </w:r>
      <w:r w:rsidR="002C6516" w:rsidRPr="00715098">
        <w:rPr>
          <w:rFonts w:ascii="Arial" w:hAnsi="Arial" w:cs="Arial"/>
          <w:bCs/>
          <w:sz w:val="20"/>
          <w:szCs w:val="20"/>
        </w:rPr>
        <w:t>ác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như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2C6516" w:rsidRPr="00715098">
        <w:rPr>
          <w:rFonts w:ascii="Arial" w:hAnsi="Arial" w:cs="Arial"/>
          <w:bCs/>
          <w:sz w:val="20"/>
          <w:szCs w:val="20"/>
        </w:rPr>
        <w:t xml:space="preserve">sang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E77D49" w:rsidRPr="00715098">
        <w:rPr>
          <w:rFonts w:ascii="Arial" w:hAnsi="Arial" w:cs="Arial"/>
          <w:bCs/>
          <w:sz w:val="20"/>
          <w:szCs w:val="20"/>
        </w:rPr>
        <w:t>ASEAN+3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chủ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yếu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A125A" w:rsidRPr="00715098">
        <w:rPr>
          <w:rFonts w:ascii="Arial" w:hAnsi="Arial" w:cs="Arial"/>
          <w:bCs/>
          <w:sz w:val="20"/>
          <w:szCs w:val="20"/>
        </w:rPr>
        <w:t>thông</w:t>
      </w:r>
      <w:proofErr w:type="spellEnd"/>
      <w:r w:rsidR="001A125A" w:rsidRPr="00715098">
        <w:rPr>
          <w:rFonts w:ascii="Arial" w:hAnsi="Arial" w:cs="Arial"/>
          <w:bCs/>
          <w:sz w:val="20"/>
          <w:szCs w:val="20"/>
        </w:rPr>
        <w:t xml:space="preserve"> qua</w:t>
      </w:r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mặc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dù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thương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mại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vụ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kênh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quan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trọng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. </w:t>
      </w:r>
      <w:proofErr w:type="spellStart"/>
      <w:r w:rsidR="007E71DB" w:rsidRPr="00715098">
        <w:rPr>
          <w:rFonts w:ascii="Arial" w:hAnsi="Arial" w:cs="Arial"/>
          <w:bCs/>
          <w:sz w:val="20"/>
          <w:szCs w:val="20"/>
        </w:rPr>
        <w:t>G</w:t>
      </w:r>
      <w:r w:rsidR="002C6516" w:rsidRPr="00715098">
        <w:rPr>
          <w:rFonts w:ascii="Arial" w:hAnsi="Arial" w:cs="Arial"/>
          <w:bCs/>
          <w:sz w:val="20"/>
          <w:szCs w:val="20"/>
        </w:rPr>
        <w:t>iao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chiếm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khoảng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60% </w:t>
      </w:r>
      <w:proofErr w:type="spellStart"/>
      <w:r w:rsidR="007E71DB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7E71D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71DB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7E71DB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Trung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Quốc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r w:rsidR="00433DFF" w:rsidRPr="00715098">
        <w:rPr>
          <w:rFonts w:ascii="Arial" w:hAnsi="Arial" w:cs="Arial"/>
          <w:bCs/>
          <w:sz w:val="20"/>
          <w:szCs w:val="20"/>
        </w:rPr>
        <w:t xml:space="preserve">(so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với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khoảng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 65%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đến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vự</w:t>
      </w:r>
      <w:r w:rsidR="007E71DB" w:rsidRPr="00715098">
        <w:rPr>
          <w:rFonts w:ascii="Arial" w:hAnsi="Arial" w:cs="Arial"/>
          <w:bCs/>
          <w:sz w:val="20"/>
          <w:szCs w:val="20"/>
        </w:rPr>
        <w:t>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khi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biến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thị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trường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tài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chính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chiếm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khoảng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20%</w:t>
      </w:r>
      <w:r w:rsidR="00FC56B4" w:rsidRPr="00715098"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 w:rsidR="00FC56B4" w:rsidRPr="00715098">
        <w:rPr>
          <w:rFonts w:ascii="Arial" w:hAnsi="Arial" w:cs="Arial"/>
          <w:bCs/>
          <w:sz w:val="20"/>
          <w:szCs w:val="20"/>
        </w:rPr>
        <w:t>Bảng</w:t>
      </w:r>
      <w:proofErr w:type="spellEnd"/>
      <w:r w:rsidR="00FC56B4" w:rsidRPr="00715098">
        <w:rPr>
          <w:rFonts w:ascii="Arial" w:hAnsi="Arial" w:cs="Arial"/>
          <w:bCs/>
          <w:sz w:val="20"/>
          <w:szCs w:val="20"/>
        </w:rPr>
        <w:t xml:space="preserve"> 6)</w:t>
      </w:r>
      <w:r w:rsidR="002C6516" w:rsidRPr="00715098">
        <w:rPr>
          <w:rFonts w:ascii="Arial" w:hAnsi="Arial" w:cs="Arial"/>
          <w:bCs/>
          <w:sz w:val="20"/>
          <w:szCs w:val="20"/>
        </w:rPr>
        <w:t>.</w:t>
      </w:r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Tương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tự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giao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hàng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hóa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chiếm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2/3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từ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G2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ASEAN-5 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Plus-3 (</w:t>
      </w:r>
      <w:proofErr w:type="spellStart"/>
      <w:r w:rsidR="007A1C95" w:rsidRPr="00715098">
        <w:rPr>
          <w:rFonts w:ascii="Arial" w:hAnsi="Arial" w:cs="Arial"/>
          <w:bCs/>
          <w:sz w:val="20"/>
          <w:szCs w:val="20"/>
        </w:rPr>
        <w:t>Bảng</w:t>
      </w:r>
      <w:proofErr w:type="spellEnd"/>
      <w:r w:rsidR="007A1C95" w:rsidRPr="00715098">
        <w:rPr>
          <w:rFonts w:ascii="Arial" w:hAnsi="Arial" w:cs="Arial"/>
          <w:bCs/>
          <w:sz w:val="20"/>
          <w:szCs w:val="20"/>
        </w:rPr>
        <w:t xml:space="preserve"> 7).</w:t>
      </w:r>
    </w:p>
    <w:p w14:paraId="09F0E6C4" w14:textId="2ACAC184" w:rsidR="00715098" w:rsidRPr="00715098" w:rsidRDefault="00715098" w:rsidP="00785439">
      <w:pPr>
        <w:spacing w:before="120"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bCs/>
          <w:noProof/>
          <w:sz w:val="20"/>
          <w:szCs w:val="20"/>
        </w:rPr>
        <w:lastRenderedPageBreak/>
        <w:drawing>
          <wp:inline distT="0" distB="0" distL="0" distR="0" wp14:anchorId="22095B35" wp14:editId="68F8C5D7">
            <wp:extent cx="5692605" cy="240924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147" cy="24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4848E" w14:textId="066DDA92" w:rsidR="00715098" w:rsidRPr="00533195" w:rsidRDefault="00715098" w:rsidP="00533195">
      <w:pPr>
        <w:jc w:val="center"/>
        <w:rPr>
          <w:b/>
          <w:bCs/>
        </w:rPr>
      </w:pP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Bảng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6.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Tác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động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lan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tỏa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của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Trung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Quốc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tới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các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nền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kinh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tế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theo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ngành</w:t>
      </w:r>
      <w:proofErr w:type="spellEnd"/>
    </w:p>
    <w:p w14:paraId="6EFDF87D" w14:textId="63DAB322" w:rsidR="00715098" w:rsidRPr="00715098" w:rsidRDefault="00715098" w:rsidP="00785439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15098">
        <w:rPr>
          <w:rFonts w:ascii="Arial" w:hAnsi="Arial" w:cs="Arial"/>
          <w:bCs/>
          <w:noProof/>
          <w:sz w:val="20"/>
          <w:szCs w:val="20"/>
        </w:rPr>
        <w:drawing>
          <wp:inline distT="0" distB="0" distL="0" distR="0" wp14:anchorId="57C2B916" wp14:editId="323716AE">
            <wp:extent cx="5722347" cy="252851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4071" cy="2538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4DD63" w14:textId="77777777" w:rsidR="00715098" w:rsidRPr="00533195" w:rsidRDefault="00715098" w:rsidP="00533195">
      <w:pPr>
        <w:jc w:val="center"/>
        <w:rPr>
          <w:b/>
          <w:bCs/>
        </w:rPr>
      </w:pP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Bảng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7.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Tác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động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lan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tỏa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của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G2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tới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các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nề</w:t>
      </w:r>
      <w:bookmarkStart w:id="0" w:name="_GoBack"/>
      <w:bookmarkEnd w:id="0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kinh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tế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theo</w:t>
      </w:r>
      <w:proofErr w:type="spellEnd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 xml:space="preserve"> </w:t>
      </w:r>
      <w:proofErr w:type="spellStart"/>
      <w:r w:rsidRPr="00533195">
        <w:rPr>
          <w:rStyle w:val="MSGENFONTSTYLENAMETEMPLATEROLEMSGENFONTSTYLENAMEBYROLEPICTURECAPTIONExact"/>
          <w:b w:val="0"/>
          <w:bCs w:val="0"/>
          <w:i/>
          <w:iCs/>
          <w:sz w:val="20"/>
          <w:szCs w:val="20"/>
        </w:rPr>
        <w:t>ngành</w:t>
      </w:r>
      <w:proofErr w:type="spellEnd"/>
    </w:p>
    <w:p w14:paraId="0B7B1859" w14:textId="122E1415" w:rsidR="00EC5FA1" w:rsidRPr="00715098" w:rsidRDefault="007A1C95" w:rsidP="00856E3E">
      <w:pPr>
        <w:spacing w:before="120"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715098">
        <w:rPr>
          <w:rFonts w:ascii="Arial" w:hAnsi="Arial" w:cs="Arial"/>
          <w:bCs/>
          <w:sz w:val="20"/>
          <w:szCs w:val="20"/>
        </w:rPr>
        <w:t xml:space="preserve">Theo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đánh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giá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AMRO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t</w:t>
      </w:r>
      <w:r w:rsidR="002C6516" w:rsidRPr="00715098">
        <w:rPr>
          <w:rFonts w:ascii="Arial" w:hAnsi="Arial" w:cs="Arial"/>
          <w:bCs/>
          <w:sz w:val="20"/>
          <w:szCs w:val="20"/>
        </w:rPr>
        <w:t>riển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vọng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khu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vực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ASEAN + 3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sẽ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tiếp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tục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quyết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định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bởi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diễn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biến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đại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dịch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trong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thời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gian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tới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cũng</w:t>
      </w:r>
      <w:proofErr w:type="spellEnd"/>
      <w:r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Cs/>
          <w:sz w:val="20"/>
          <w:szCs w:val="20"/>
        </w:rPr>
        <w:t>như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00FD" w:rsidRPr="00715098">
        <w:rPr>
          <w:rFonts w:ascii="Arial" w:hAnsi="Arial" w:cs="Arial"/>
          <w:bCs/>
          <w:sz w:val="20"/>
          <w:szCs w:val="20"/>
        </w:rPr>
        <w:t>tình</w:t>
      </w:r>
      <w:proofErr w:type="spellEnd"/>
      <w:r w:rsidR="007E00F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00FD" w:rsidRPr="00715098">
        <w:rPr>
          <w:rFonts w:ascii="Arial" w:hAnsi="Arial" w:cs="Arial"/>
          <w:bCs/>
          <w:sz w:val="20"/>
          <w:szCs w:val="20"/>
        </w:rPr>
        <w:t>hình</w:t>
      </w:r>
      <w:proofErr w:type="spellEnd"/>
      <w:r w:rsidR="007E00F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00FD" w:rsidRPr="00715098">
        <w:rPr>
          <w:rFonts w:ascii="Arial" w:hAnsi="Arial" w:cs="Arial"/>
          <w:bCs/>
          <w:sz w:val="20"/>
          <w:szCs w:val="20"/>
        </w:rPr>
        <w:t>thực</w:t>
      </w:r>
      <w:proofErr w:type="spellEnd"/>
      <w:r w:rsidR="007E00FD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00FD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1D61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61A1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1D61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61A1" w:rsidRPr="00715098">
        <w:rPr>
          <w:rFonts w:ascii="Arial" w:hAnsi="Arial" w:cs="Arial"/>
          <w:bCs/>
          <w:sz w:val="20"/>
          <w:szCs w:val="20"/>
        </w:rPr>
        <w:t>một</w:t>
      </w:r>
      <w:proofErr w:type="spellEnd"/>
      <w:r w:rsidR="001D61A1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1D61A1" w:rsidRPr="00715098">
        <w:rPr>
          <w:rFonts w:ascii="Arial" w:hAnsi="Arial" w:cs="Arial"/>
          <w:bCs/>
          <w:sz w:val="20"/>
          <w:szCs w:val="20"/>
        </w:rPr>
        <w:t>số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nền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đặc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biệt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là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Hoa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433DFF" w:rsidRPr="00715098">
        <w:rPr>
          <w:rFonts w:ascii="Arial" w:hAnsi="Arial" w:cs="Arial"/>
          <w:bCs/>
          <w:sz w:val="20"/>
          <w:szCs w:val="20"/>
        </w:rPr>
        <w:t>Kỳ</w:t>
      </w:r>
      <w:proofErr w:type="spellEnd"/>
      <w:r w:rsidR="00433DFF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châu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C6516" w:rsidRPr="00715098">
        <w:rPr>
          <w:rFonts w:ascii="Arial" w:hAnsi="Arial" w:cs="Arial"/>
          <w:bCs/>
          <w:sz w:val="20"/>
          <w:szCs w:val="20"/>
        </w:rPr>
        <w:t>Âu</w:t>
      </w:r>
      <w:proofErr w:type="spellEnd"/>
      <w:r w:rsidR="002C6516" w:rsidRPr="00715098">
        <w:rPr>
          <w:rFonts w:ascii="Arial" w:hAnsi="Arial" w:cs="Arial"/>
          <w:bCs/>
          <w:sz w:val="20"/>
          <w:szCs w:val="20"/>
        </w:rPr>
        <w:t>.</w:t>
      </w:r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Tuy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nhiên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các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tác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lan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tỏa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và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hiệu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ứng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ngược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có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thể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được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giảm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thiểu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thông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qua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phối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hợp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hành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động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chính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sách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ở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quy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mô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toàn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cầu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để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tạo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điều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kiện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cho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sự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phục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hồi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đồng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bộ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của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kinh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tế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thế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992EE4" w:rsidRPr="00715098">
        <w:rPr>
          <w:rFonts w:ascii="Arial" w:hAnsi="Arial" w:cs="Arial"/>
          <w:bCs/>
          <w:sz w:val="20"/>
          <w:szCs w:val="20"/>
        </w:rPr>
        <w:t>giới</w:t>
      </w:r>
      <w:proofErr w:type="spellEnd"/>
      <w:r w:rsidR="00992EE4" w:rsidRPr="00715098">
        <w:rPr>
          <w:rFonts w:ascii="Arial" w:hAnsi="Arial" w:cs="Arial"/>
          <w:bCs/>
          <w:sz w:val="20"/>
          <w:szCs w:val="20"/>
        </w:rPr>
        <w:t>.</w:t>
      </w:r>
    </w:p>
    <w:p w14:paraId="34D1F9FE" w14:textId="0CC51970" w:rsidR="00715098" w:rsidRPr="00715098" w:rsidRDefault="00856E3E" w:rsidP="00856E3E">
      <w:pPr>
        <w:spacing w:before="120" w:after="0" w:line="240" w:lineRule="auto"/>
        <w:jc w:val="both"/>
        <w:rPr>
          <w:rFonts w:ascii="Arial" w:hAnsi="Arial" w:cs="Arial"/>
          <w:noProof/>
          <w:sz w:val="20"/>
          <w:szCs w:val="20"/>
          <w:lang w:val="en-SG" w:eastAsia="en-SG"/>
        </w:rPr>
      </w:pPr>
      <w:proofErr w:type="spellStart"/>
      <w:r w:rsidRPr="00715098">
        <w:rPr>
          <w:rFonts w:ascii="Arial" w:hAnsi="Arial" w:cs="Arial"/>
          <w:b/>
          <w:i/>
          <w:iCs/>
          <w:sz w:val="20"/>
          <w:szCs w:val="20"/>
        </w:rPr>
        <w:t>Vụ</w:t>
      </w:r>
      <w:proofErr w:type="spellEnd"/>
      <w:r w:rsidRPr="0071509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/>
          <w:iCs/>
          <w:sz w:val="20"/>
          <w:szCs w:val="20"/>
        </w:rPr>
        <w:t>Hợp</w:t>
      </w:r>
      <w:proofErr w:type="spellEnd"/>
      <w:r w:rsidRPr="0071509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/>
          <w:iCs/>
          <w:sz w:val="20"/>
          <w:szCs w:val="20"/>
        </w:rPr>
        <w:t>tác</w:t>
      </w:r>
      <w:proofErr w:type="spellEnd"/>
      <w:r w:rsidRPr="0071509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/>
          <w:iCs/>
          <w:sz w:val="20"/>
          <w:szCs w:val="20"/>
        </w:rPr>
        <w:t>quốc</w:t>
      </w:r>
      <w:proofErr w:type="spellEnd"/>
      <w:r w:rsidRPr="0071509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715098">
        <w:rPr>
          <w:rFonts w:ascii="Arial" w:hAnsi="Arial" w:cs="Arial"/>
          <w:b/>
          <w:i/>
          <w:iCs/>
          <w:sz w:val="20"/>
          <w:szCs w:val="20"/>
        </w:rPr>
        <w:t>tế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(</w:t>
      </w:r>
      <w:proofErr w:type="spellStart"/>
      <w:r w:rsidRPr="00715098">
        <w:rPr>
          <w:rFonts w:ascii="Arial" w:hAnsi="Arial" w:cs="Arial"/>
          <w:bCs/>
          <w:i/>
          <w:iCs/>
          <w:sz w:val="20"/>
          <w:szCs w:val="20"/>
        </w:rPr>
        <w:t>theo</w:t>
      </w:r>
      <w:proofErr w:type="spellEnd"/>
      <w:r w:rsidRPr="007150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2" w:history="1">
        <w:proofErr w:type="spellStart"/>
        <w:r w:rsidRPr="00785439">
          <w:rPr>
            <w:rStyle w:val="Hyperlink"/>
            <w:rFonts w:ascii="Arial" w:hAnsi="Arial" w:cs="Arial"/>
            <w:bCs/>
            <w:i/>
            <w:iCs/>
            <w:color w:val="000000" w:themeColor="text1"/>
            <w:sz w:val="20"/>
            <w:szCs w:val="20"/>
            <w:u w:val="none"/>
          </w:rPr>
          <w:t>AMRO</w:t>
        </w:r>
        <w:proofErr w:type="spellEnd"/>
      </w:hyperlink>
      <w:r w:rsidR="00783667" w:rsidRPr="00785439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)</w:t>
      </w:r>
      <w:r w:rsidR="007A1C95" w:rsidRPr="00785439">
        <w:rPr>
          <w:rFonts w:ascii="Arial" w:hAnsi="Arial" w:cs="Arial"/>
          <w:noProof/>
          <w:color w:val="000000" w:themeColor="text1"/>
          <w:sz w:val="20"/>
          <w:szCs w:val="20"/>
          <w:lang w:val="en-SG" w:eastAsia="en-SG"/>
        </w:rPr>
        <w:t xml:space="preserve"> </w:t>
      </w:r>
    </w:p>
    <w:sectPr w:rsidR="00715098" w:rsidRPr="00715098" w:rsidSect="008C360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E780B"/>
    <w:multiLevelType w:val="hybridMultilevel"/>
    <w:tmpl w:val="13702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F1F4D"/>
    <w:multiLevelType w:val="hybridMultilevel"/>
    <w:tmpl w:val="E248A0B2"/>
    <w:lvl w:ilvl="0" w:tplc="4D3A0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5259"/>
    <w:multiLevelType w:val="hybridMultilevel"/>
    <w:tmpl w:val="785AB5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74C20"/>
    <w:multiLevelType w:val="hybridMultilevel"/>
    <w:tmpl w:val="051EB416"/>
    <w:lvl w:ilvl="0" w:tplc="435C76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E0692"/>
    <w:multiLevelType w:val="hybridMultilevel"/>
    <w:tmpl w:val="4D16D842"/>
    <w:lvl w:ilvl="0" w:tplc="DF7C2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83"/>
    <w:rsid w:val="000076B6"/>
    <w:rsid w:val="0001768E"/>
    <w:rsid w:val="0001790B"/>
    <w:rsid w:val="0002474A"/>
    <w:rsid w:val="00027E24"/>
    <w:rsid w:val="0003275C"/>
    <w:rsid w:val="0003570F"/>
    <w:rsid w:val="00043C30"/>
    <w:rsid w:val="00043C56"/>
    <w:rsid w:val="000512CB"/>
    <w:rsid w:val="000520DF"/>
    <w:rsid w:val="00065AC7"/>
    <w:rsid w:val="00066E94"/>
    <w:rsid w:val="00066EB9"/>
    <w:rsid w:val="0006786A"/>
    <w:rsid w:val="0007243B"/>
    <w:rsid w:val="0008162B"/>
    <w:rsid w:val="00087A3A"/>
    <w:rsid w:val="00093AE3"/>
    <w:rsid w:val="00094328"/>
    <w:rsid w:val="00094DDE"/>
    <w:rsid w:val="00095503"/>
    <w:rsid w:val="00096396"/>
    <w:rsid w:val="00097789"/>
    <w:rsid w:val="000A1779"/>
    <w:rsid w:val="000A6613"/>
    <w:rsid w:val="000B343B"/>
    <w:rsid w:val="000E50B1"/>
    <w:rsid w:val="000F2FDE"/>
    <w:rsid w:val="000F38B6"/>
    <w:rsid w:val="000F3B11"/>
    <w:rsid w:val="000F5734"/>
    <w:rsid w:val="001003FA"/>
    <w:rsid w:val="001069BD"/>
    <w:rsid w:val="00113BB5"/>
    <w:rsid w:val="00115EC4"/>
    <w:rsid w:val="00116059"/>
    <w:rsid w:val="001179B5"/>
    <w:rsid w:val="00122715"/>
    <w:rsid w:val="00143927"/>
    <w:rsid w:val="00146C22"/>
    <w:rsid w:val="00150F4A"/>
    <w:rsid w:val="001633A8"/>
    <w:rsid w:val="00163A25"/>
    <w:rsid w:val="00165738"/>
    <w:rsid w:val="00183DF7"/>
    <w:rsid w:val="001A125A"/>
    <w:rsid w:val="001B2301"/>
    <w:rsid w:val="001B581C"/>
    <w:rsid w:val="001B7D49"/>
    <w:rsid w:val="001C6A71"/>
    <w:rsid w:val="001D00A6"/>
    <w:rsid w:val="001D61A1"/>
    <w:rsid w:val="001E4BF5"/>
    <w:rsid w:val="001F6FD8"/>
    <w:rsid w:val="002015AB"/>
    <w:rsid w:val="002145ED"/>
    <w:rsid w:val="00222438"/>
    <w:rsid w:val="0023220E"/>
    <w:rsid w:val="00252133"/>
    <w:rsid w:val="00274AF1"/>
    <w:rsid w:val="0028466F"/>
    <w:rsid w:val="00285916"/>
    <w:rsid w:val="002A0E59"/>
    <w:rsid w:val="002A3463"/>
    <w:rsid w:val="002A3E60"/>
    <w:rsid w:val="002A62B1"/>
    <w:rsid w:val="002A63BC"/>
    <w:rsid w:val="002B706E"/>
    <w:rsid w:val="002C0664"/>
    <w:rsid w:val="002C18B7"/>
    <w:rsid w:val="002C2F50"/>
    <w:rsid w:val="002C3AB0"/>
    <w:rsid w:val="002C3DC6"/>
    <w:rsid w:val="002C3EFE"/>
    <w:rsid w:val="002C6516"/>
    <w:rsid w:val="002D11E4"/>
    <w:rsid w:val="002D4AB1"/>
    <w:rsid w:val="002F131E"/>
    <w:rsid w:val="00302B30"/>
    <w:rsid w:val="00310324"/>
    <w:rsid w:val="00310822"/>
    <w:rsid w:val="0032229E"/>
    <w:rsid w:val="0033687C"/>
    <w:rsid w:val="00337D29"/>
    <w:rsid w:val="003504DF"/>
    <w:rsid w:val="00351937"/>
    <w:rsid w:val="00353425"/>
    <w:rsid w:val="00355F6B"/>
    <w:rsid w:val="0035759D"/>
    <w:rsid w:val="003647D2"/>
    <w:rsid w:val="00374961"/>
    <w:rsid w:val="0037504C"/>
    <w:rsid w:val="00377129"/>
    <w:rsid w:val="00383F62"/>
    <w:rsid w:val="00387BAF"/>
    <w:rsid w:val="003921AF"/>
    <w:rsid w:val="00393375"/>
    <w:rsid w:val="003A5AED"/>
    <w:rsid w:val="003C39AB"/>
    <w:rsid w:val="003D6210"/>
    <w:rsid w:val="003E345A"/>
    <w:rsid w:val="003E4C7F"/>
    <w:rsid w:val="003F052F"/>
    <w:rsid w:val="00403FA5"/>
    <w:rsid w:val="00416087"/>
    <w:rsid w:val="004246A1"/>
    <w:rsid w:val="004337B5"/>
    <w:rsid w:val="00433DFF"/>
    <w:rsid w:val="0043416F"/>
    <w:rsid w:val="004536AE"/>
    <w:rsid w:val="00453EDF"/>
    <w:rsid w:val="004610DC"/>
    <w:rsid w:val="00470DE9"/>
    <w:rsid w:val="00471EE5"/>
    <w:rsid w:val="004912D4"/>
    <w:rsid w:val="00491A03"/>
    <w:rsid w:val="00494A4F"/>
    <w:rsid w:val="004B27F4"/>
    <w:rsid w:val="004B3D2E"/>
    <w:rsid w:val="004C47D8"/>
    <w:rsid w:val="004E5281"/>
    <w:rsid w:val="004E6B20"/>
    <w:rsid w:val="004F07DB"/>
    <w:rsid w:val="004F5B49"/>
    <w:rsid w:val="004F61F1"/>
    <w:rsid w:val="00513308"/>
    <w:rsid w:val="0051394C"/>
    <w:rsid w:val="00522262"/>
    <w:rsid w:val="00532DFA"/>
    <w:rsid w:val="00533195"/>
    <w:rsid w:val="00534561"/>
    <w:rsid w:val="00537042"/>
    <w:rsid w:val="00561D3B"/>
    <w:rsid w:val="005640E3"/>
    <w:rsid w:val="00564961"/>
    <w:rsid w:val="005710C6"/>
    <w:rsid w:val="00572338"/>
    <w:rsid w:val="00592186"/>
    <w:rsid w:val="0059779D"/>
    <w:rsid w:val="005A4848"/>
    <w:rsid w:val="005B2BED"/>
    <w:rsid w:val="005C2226"/>
    <w:rsid w:val="005D5F9F"/>
    <w:rsid w:val="00642726"/>
    <w:rsid w:val="006469A6"/>
    <w:rsid w:val="00652B5C"/>
    <w:rsid w:val="0066536D"/>
    <w:rsid w:val="00667142"/>
    <w:rsid w:val="00677E51"/>
    <w:rsid w:val="00680AE3"/>
    <w:rsid w:val="006833A5"/>
    <w:rsid w:val="006A460C"/>
    <w:rsid w:val="006A6A0D"/>
    <w:rsid w:val="006B10E9"/>
    <w:rsid w:val="006B1A66"/>
    <w:rsid w:val="006B4A7C"/>
    <w:rsid w:val="006B4B2A"/>
    <w:rsid w:val="006C211E"/>
    <w:rsid w:val="006C5CE6"/>
    <w:rsid w:val="006D6933"/>
    <w:rsid w:val="006E202C"/>
    <w:rsid w:val="006F3C8A"/>
    <w:rsid w:val="006F6680"/>
    <w:rsid w:val="006F7623"/>
    <w:rsid w:val="00710707"/>
    <w:rsid w:val="00715098"/>
    <w:rsid w:val="00733375"/>
    <w:rsid w:val="00745667"/>
    <w:rsid w:val="007635AF"/>
    <w:rsid w:val="00763BBE"/>
    <w:rsid w:val="0076725D"/>
    <w:rsid w:val="00783667"/>
    <w:rsid w:val="00785439"/>
    <w:rsid w:val="00786F25"/>
    <w:rsid w:val="007A1C95"/>
    <w:rsid w:val="007B53DE"/>
    <w:rsid w:val="007B5953"/>
    <w:rsid w:val="007C09DA"/>
    <w:rsid w:val="007C7337"/>
    <w:rsid w:val="007D74DB"/>
    <w:rsid w:val="007E00FD"/>
    <w:rsid w:val="007E71DB"/>
    <w:rsid w:val="007F475E"/>
    <w:rsid w:val="008063E6"/>
    <w:rsid w:val="008067C5"/>
    <w:rsid w:val="008104B5"/>
    <w:rsid w:val="00817763"/>
    <w:rsid w:val="00830662"/>
    <w:rsid w:val="008371E5"/>
    <w:rsid w:val="008510CF"/>
    <w:rsid w:val="00856E3E"/>
    <w:rsid w:val="008731D8"/>
    <w:rsid w:val="008819E0"/>
    <w:rsid w:val="00881E5D"/>
    <w:rsid w:val="008872FF"/>
    <w:rsid w:val="008946A0"/>
    <w:rsid w:val="00896587"/>
    <w:rsid w:val="008A5290"/>
    <w:rsid w:val="008A7476"/>
    <w:rsid w:val="008B4E7C"/>
    <w:rsid w:val="008B7C81"/>
    <w:rsid w:val="008C360B"/>
    <w:rsid w:val="008E2EB2"/>
    <w:rsid w:val="008F126B"/>
    <w:rsid w:val="008F296D"/>
    <w:rsid w:val="008F2ED8"/>
    <w:rsid w:val="009038AF"/>
    <w:rsid w:val="00903FBC"/>
    <w:rsid w:val="009044D9"/>
    <w:rsid w:val="00907938"/>
    <w:rsid w:val="00914A70"/>
    <w:rsid w:val="00916C47"/>
    <w:rsid w:val="00923BD5"/>
    <w:rsid w:val="00931697"/>
    <w:rsid w:val="00937E96"/>
    <w:rsid w:val="009419F3"/>
    <w:rsid w:val="00943C82"/>
    <w:rsid w:val="00945F28"/>
    <w:rsid w:val="009545AC"/>
    <w:rsid w:val="009547A6"/>
    <w:rsid w:val="00957516"/>
    <w:rsid w:val="00961264"/>
    <w:rsid w:val="00975FBC"/>
    <w:rsid w:val="00981900"/>
    <w:rsid w:val="00986EF0"/>
    <w:rsid w:val="00992EE4"/>
    <w:rsid w:val="009A1A35"/>
    <w:rsid w:val="009A7972"/>
    <w:rsid w:val="009B091F"/>
    <w:rsid w:val="009B5041"/>
    <w:rsid w:val="009D4B07"/>
    <w:rsid w:val="009E3F9F"/>
    <w:rsid w:val="009E535B"/>
    <w:rsid w:val="009F10EE"/>
    <w:rsid w:val="009F2565"/>
    <w:rsid w:val="009F2A4D"/>
    <w:rsid w:val="009F2AF4"/>
    <w:rsid w:val="009F5E7F"/>
    <w:rsid w:val="009F5E81"/>
    <w:rsid w:val="009F68A0"/>
    <w:rsid w:val="00A15DAA"/>
    <w:rsid w:val="00A17E60"/>
    <w:rsid w:val="00A237B7"/>
    <w:rsid w:val="00A30C71"/>
    <w:rsid w:val="00A32391"/>
    <w:rsid w:val="00A351F0"/>
    <w:rsid w:val="00A42820"/>
    <w:rsid w:val="00A45240"/>
    <w:rsid w:val="00A46070"/>
    <w:rsid w:val="00A52A10"/>
    <w:rsid w:val="00A56A0A"/>
    <w:rsid w:val="00A66C2E"/>
    <w:rsid w:val="00A73518"/>
    <w:rsid w:val="00A77AC7"/>
    <w:rsid w:val="00A9183B"/>
    <w:rsid w:val="00A91EAB"/>
    <w:rsid w:val="00A95DB0"/>
    <w:rsid w:val="00A969C2"/>
    <w:rsid w:val="00A96EB3"/>
    <w:rsid w:val="00A971CE"/>
    <w:rsid w:val="00AA57B5"/>
    <w:rsid w:val="00AB4B8E"/>
    <w:rsid w:val="00AC0FEB"/>
    <w:rsid w:val="00AC3256"/>
    <w:rsid w:val="00AC6FDD"/>
    <w:rsid w:val="00AC796F"/>
    <w:rsid w:val="00AE0871"/>
    <w:rsid w:val="00AF4FE8"/>
    <w:rsid w:val="00AF7CE6"/>
    <w:rsid w:val="00B04697"/>
    <w:rsid w:val="00B1038D"/>
    <w:rsid w:val="00B15C20"/>
    <w:rsid w:val="00B205D9"/>
    <w:rsid w:val="00B35106"/>
    <w:rsid w:val="00B44413"/>
    <w:rsid w:val="00B54B42"/>
    <w:rsid w:val="00B57516"/>
    <w:rsid w:val="00B6126A"/>
    <w:rsid w:val="00B62109"/>
    <w:rsid w:val="00B624D1"/>
    <w:rsid w:val="00B73742"/>
    <w:rsid w:val="00B74936"/>
    <w:rsid w:val="00B835AF"/>
    <w:rsid w:val="00B9298C"/>
    <w:rsid w:val="00B94193"/>
    <w:rsid w:val="00B95B9E"/>
    <w:rsid w:val="00BA0051"/>
    <w:rsid w:val="00BA6241"/>
    <w:rsid w:val="00BB5DC9"/>
    <w:rsid w:val="00BC3574"/>
    <w:rsid w:val="00BC57FD"/>
    <w:rsid w:val="00BD629F"/>
    <w:rsid w:val="00BE79D5"/>
    <w:rsid w:val="00BF1C07"/>
    <w:rsid w:val="00BF233B"/>
    <w:rsid w:val="00C011D9"/>
    <w:rsid w:val="00C029E4"/>
    <w:rsid w:val="00C03102"/>
    <w:rsid w:val="00C11D3A"/>
    <w:rsid w:val="00C1662E"/>
    <w:rsid w:val="00C255CE"/>
    <w:rsid w:val="00C45644"/>
    <w:rsid w:val="00C45B18"/>
    <w:rsid w:val="00C4634C"/>
    <w:rsid w:val="00C51DEE"/>
    <w:rsid w:val="00C55971"/>
    <w:rsid w:val="00C57006"/>
    <w:rsid w:val="00C575C2"/>
    <w:rsid w:val="00C57B3F"/>
    <w:rsid w:val="00C71603"/>
    <w:rsid w:val="00C72D53"/>
    <w:rsid w:val="00CB3617"/>
    <w:rsid w:val="00CB5A79"/>
    <w:rsid w:val="00CB5BEF"/>
    <w:rsid w:val="00CC1E69"/>
    <w:rsid w:val="00CC2252"/>
    <w:rsid w:val="00CD6EDF"/>
    <w:rsid w:val="00CF30E8"/>
    <w:rsid w:val="00D10370"/>
    <w:rsid w:val="00D26854"/>
    <w:rsid w:val="00D27C73"/>
    <w:rsid w:val="00D33DC0"/>
    <w:rsid w:val="00D4017E"/>
    <w:rsid w:val="00D46C61"/>
    <w:rsid w:val="00D50FC3"/>
    <w:rsid w:val="00D754C1"/>
    <w:rsid w:val="00D8050D"/>
    <w:rsid w:val="00D84217"/>
    <w:rsid w:val="00D87653"/>
    <w:rsid w:val="00D904A4"/>
    <w:rsid w:val="00DA1D0F"/>
    <w:rsid w:val="00DA7F8F"/>
    <w:rsid w:val="00DC540F"/>
    <w:rsid w:val="00DD7223"/>
    <w:rsid w:val="00DE0DD6"/>
    <w:rsid w:val="00DE564B"/>
    <w:rsid w:val="00DF2344"/>
    <w:rsid w:val="00DF3C12"/>
    <w:rsid w:val="00DF4616"/>
    <w:rsid w:val="00E152A5"/>
    <w:rsid w:val="00E16B4C"/>
    <w:rsid w:val="00E223EC"/>
    <w:rsid w:val="00E23E4C"/>
    <w:rsid w:val="00E27BD7"/>
    <w:rsid w:val="00E34D57"/>
    <w:rsid w:val="00E466AF"/>
    <w:rsid w:val="00E501EA"/>
    <w:rsid w:val="00E5396A"/>
    <w:rsid w:val="00E56383"/>
    <w:rsid w:val="00E63F4F"/>
    <w:rsid w:val="00E71631"/>
    <w:rsid w:val="00E72A7E"/>
    <w:rsid w:val="00E77D49"/>
    <w:rsid w:val="00E90221"/>
    <w:rsid w:val="00EA307A"/>
    <w:rsid w:val="00EA473E"/>
    <w:rsid w:val="00EA4783"/>
    <w:rsid w:val="00EB2C92"/>
    <w:rsid w:val="00EB610D"/>
    <w:rsid w:val="00EC5FA1"/>
    <w:rsid w:val="00ED2899"/>
    <w:rsid w:val="00ED387A"/>
    <w:rsid w:val="00ED41FE"/>
    <w:rsid w:val="00EE09C3"/>
    <w:rsid w:val="00EE689B"/>
    <w:rsid w:val="00EF1496"/>
    <w:rsid w:val="00EF2496"/>
    <w:rsid w:val="00EF5CA4"/>
    <w:rsid w:val="00F00EDD"/>
    <w:rsid w:val="00F163F4"/>
    <w:rsid w:val="00F243EB"/>
    <w:rsid w:val="00F35072"/>
    <w:rsid w:val="00F45FA2"/>
    <w:rsid w:val="00F47CE3"/>
    <w:rsid w:val="00F60AA8"/>
    <w:rsid w:val="00F62440"/>
    <w:rsid w:val="00F72019"/>
    <w:rsid w:val="00F94FD3"/>
    <w:rsid w:val="00FA03B9"/>
    <w:rsid w:val="00FA05C6"/>
    <w:rsid w:val="00FA3F4D"/>
    <w:rsid w:val="00FB2C77"/>
    <w:rsid w:val="00FC47F4"/>
    <w:rsid w:val="00FC56B4"/>
    <w:rsid w:val="00FD4EA7"/>
    <w:rsid w:val="00FD53E5"/>
    <w:rsid w:val="00FE184A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9D72C"/>
  <w15:docId w15:val="{E6A45FCE-9761-4F73-A800-8D366B23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0CF"/>
    <w:rPr>
      <w:rFonts w:ascii="Tahoma" w:hAnsi="Tahoma" w:cs="Tahoma"/>
      <w:sz w:val="16"/>
      <w:szCs w:val="16"/>
    </w:rPr>
  </w:style>
  <w:style w:type="character" w:customStyle="1" w:styleId="MSGENFONTSTYLENAMETEMPLATEROLENUMBERMSGENFONTSTYLENAMEBYROLEPICTURECAPTION2Exact">
    <w:name w:val="MSG_EN_FONT_STYLE_NAME_TEMPLATE_ROLE_NUMBER MSG_EN_FONT_STYLE_NAME_BY_ROLE_PICTURE_CAPTION 2 Exact"/>
    <w:basedOn w:val="DefaultParagraphFont"/>
    <w:link w:val="MSGENFONTSTYLENAMETEMPLATEROLENUMBERMSGENFONTSTYLENAMEBYROLEPICTURECAPTION2"/>
    <w:rsid w:val="008510CF"/>
    <w:rPr>
      <w:rFonts w:ascii="Arial" w:eastAsia="Arial" w:hAnsi="Arial" w:cs="Arial"/>
      <w:b/>
      <w:bCs/>
      <w:shd w:val="clear" w:color="auto" w:fill="FFFFFF"/>
    </w:rPr>
  </w:style>
  <w:style w:type="character" w:customStyle="1" w:styleId="MSGENFONTSTYLENAMETEMPLATEROLEMSGENFONTSTYLENAMEBYROLEPICTURECAPTIONExact">
    <w:name w:val="MSG_EN_FONT_STYLE_NAME_TEMPLATE_ROLE MSG_EN_FONT_STYLE_NAME_BY_ROLE_PICTURE_CAPTION Exact"/>
    <w:basedOn w:val="DefaultParagraphFont"/>
    <w:rsid w:val="008510C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MSGENFONTSTYLENAMETEMPLATEROLEMSGENFONTSTYLENAMEBYROLEPICTURECAPTION">
    <w:name w:val="MSG_EN_FONT_STYLE_NAME_TEMPLATE_ROLE MSG_EN_FONT_STYLE_NAME_BY_ROLE_PICTURE_CAPTION_"/>
    <w:basedOn w:val="DefaultParagraphFont"/>
    <w:link w:val="MSGENFONTSTYLENAMETEMPLATEROLEMSGENFONTSTYLENAMEBYROLEPICTURECAPTION0"/>
    <w:rsid w:val="008510CF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PICTURECAPTION2">
    <w:name w:val="MSG_EN_FONT_STYLE_NAME_TEMPLATE_ROLE_NUMBER MSG_EN_FONT_STYLE_NAME_BY_ROLE_PICTURE_CAPTION 2"/>
    <w:basedOn w:val="Normal"/>
    <w:link w:val="MSGENFONTSTYLENAMETEMPLATEROLENUMBERMSGENFONTSTYLENAMEBYROLEPICTURECAPTION2Exact"/>
    <w:rsid w:val="008510CF"/>
    <w:pPr>
      <w:widowControl w:val="0"/>
      <w:shd w:val="clear" w:color="auto" w:fill="FFFFFF"/>
      <w:spacing w:after="0" w:line="254" w:lineRule="exact"/>
      <w:jc w:val="both"/>
    </w:pPr>
    <w:rPr>
      <w:rFonts w:ascii="Arial" w:eastAsia="Arial" w:hAnsi="Arial" w:cs="Arial"/>
      <w:b/>
      <w:bCs/>
    </w:rPr>
  </w:style>
  <w:style w:type="paragraph" w:customStyle="1" w:styleId="MSGENFONTSTYLENAMETEMPLATEROLEMSGENFONTSTYLENAMEBYROLEPICTURECAPTION0">
    <w:name w:val="MSG_EN_FONT_STYLE_NAME_TEMPLATE_ROLE MSG_EN_FONT_STYLE_NAME_BY_ROLE_PICTURE_CAPTION"/>
    <w:basedOn w:val="Normal"/>
    <w:link w:val="MSGENFONTSTYLENAMETEMPLATEROLEMSGENFONTSTYLENAMEBYROLEPICTURECAPTION"/>
    <w:rsid w:val="008510CF"/>
    <w:pPr>
      <w:widowControl w:val="0"/>
      <w:shd w:val="clear" w:color="auto" w:fill="FFFFFF"/>
      <w:spacing w:after="0" w:line="254" w:lineRule="exact"/>
      <w:ind w:hanging="640"/>
    </w:pPr>
    <w:rPr>
      <w:rFonts w:ascii="Arial" w:eastAsia="Arial" w:hAnsi="Arial" w:cs="Arial"/>
      <w:b/>
      <w:bCs/>
      <w:sz w:val="17"/>
      <w:szCs w:val="17"/>
    </w:rPr>
  </w:style>
  <w:style w:type="character" w:customStyle="1" w:styleId="MSGENFONTSTYLENAMETEMPLATEROLEMSGENFONTSTYLENAMEBYROLEPICTURECAPTIONMSGENFONTSTYLEMODIFERSIZE11">
    <w:name w:val="MSG_EN_FONT_STYLE_NAME_TEMPLATE_ROLE MSG_EN_FONT_STYLE_NAME_BY_ROLE_PICTURE_CAPTION + MSG_EN_FONT_STYLE_MODIFER_SIZE 11"/>
    <w:aliases w:val="MSG_EN_FONT_STYLE_MODIFER_SMALL_CAPS Exact"/>
    <w:basedOn w:val="MSGENFONTSTYLENAMETEMPLATEROLEMSGENFONTSTYLENAMEBYROLEPICTURECAPTION"/>
    <w:rsid w:val="00AB4B8E"/>
    <w:rPr>
      <w:rFonts w:ascii="Arial" w:eastAsia="Arial" w:hAnsi="Arial" w:cs="Arial"/>
      <w:b/>
      <w:bCs/>
      <w:i w:val="0"/>
      <w:iCs w:val="0"/>
      <w:smallCaps/>
      <w:strike w:val="0"/>
      <w:sz w:val="22"/>
      <w:szCs w:val="22"/>
      <w:u w:val="none"/>
      <w:shd w:val="clear" w:color="auto" w:fill="FFFFFF"/>
    </w:rPr>
  </w:style>
  <w:style w:type="paragraph" w:styleId="Caption">
    <w:name w:val="caption"/>
    <w:basedOn w:val="Normal"/>
    <w:next w:val="Normal"/>
    <w:uiPriority w:val="35"/>
    <w:unhideWhenUsed/>
    <w:qFormat/>
    <w:rsid w:val="006833A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C36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6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36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amro-asia.org/wp-content/uploads/2020/06/AMRO-Analytical-Note_Estimating-Growth-Spillovers-and-Spillbacks-to-the-ASEAN3-Region_26-June-20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Ha Trang (HTQT)</dc:creator>
  <cp:lastModifiedBy>Nam Mai</cp:lastModifiedBy>
  <cp:revision>4</cp:revision>
  <dcterms:created xsi:type="dcterms:W3CDTF">2020-08-31T01:41:00Z</dcterms:created>
  <dcterms:modified xsi:type="dcterms:W3CDTF">2020-08-31T01:48:00Z</dcterms:modified>
</cp:coreProperties>
</file>