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4F8BC" w14:textId="4314B7CD" w:rsidR="00064C55" w:rsidRPr="00030DB6" w:rsidRDefault="00064C55" w:rsidP="00030DB6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ưu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tiên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trong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quá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trình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mở</w:t>
      </w:r>
      <w:proofErr w:type="spellEnd"/>
      <w:r w:rsidRPr="00030D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b/>
          <w:bCs/>
          <w:sz w:val="20"/>
          <w:szCs w:val="20"/>
        </w:rPr>
        <w:t>cửa</w:t>
      </w:r>
      <w:proofErr w:type="spellEnd"/>
      <w:r w:rsidR="001248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b/>
          <w:bCs/>
          <w:sz w:val="20"/>
          <w:szCs w:val="20"/>
        </w:rPr>
        <w:t>trở</w:t>
      </w:r>
      <w:proofErr w:type="spellEnd"/>
      <w:r w:rsidR="0012481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b/>
          <w:bCs/>
          <w:sz w:val="20"/>
          <w:szCs w:val="20"/>
        </w:rPr>
        <w:t>lại</w:t>
      </w:r>
      <w:proofErr w:type="spellEnd"/>
    </w:p>
    <w:p w14:paraId="773E3C55" w14:textId="617E2EEC" w:rsidR="00064C55" w:rsidRPr="00030DB6" w:rsidRDefault="00064C55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Trong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đoạn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sz w:val="20"/>
          <w:szCs w:val="20"/>
        </w:rPr>
        <w:t>mở</w:t>
      </w:r>
      <w:proofErr w:type="spellEnd"/>
      <w:r w:rsidR="0012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sz w:val="20"/>
          <w:szCs w:val="20"/>
        </w:rPr>
        <w:t>cửa</w:t>
      </w:r>
      <w:proofErr w:type="spellEnd"/>
      <w:r w:rsidR="0012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sz w:val="20"/>
          <w:szCs w:val="20"/>
        </w:rPr>
        <w:t>trở</w:t>
      </w:r>
      <w:proofErr w:type="spellEnd"/>
      <w:r w:rsidR="0012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sz w:val="20"/>
          <w:szCs w:val="20"/>
        </w:rPr>
        <w:t>lại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A0021">
        <w:rPr>
          <w:rFonts w:ascii="Arial" w:hAnsi="Arial" w:cs="Arial"/>
          <w:sz w:val="20"/>
          <w:szCs w:val="20"/>
        </w:rPr>
        <w:t>tùy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>
        <w:rPr>
          <w:rFonts w:ascii="Arial" w:hAnsi="Arial" w:cs="Arial"/>
          <w:sz w:val="20"/>
          <w:szCs w:val="20"/>
        </w:rPr>
        <w:t>vào</w:t>
      </w:r>
      <w:proofErr w:type="spellEnd"/>
      <w:r w:rsidR="00DA002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 w:rsidRPr="00030DB6">
        <w:rPr>
          <w:rFonts w:ascii="Arial" w:hAnsi="Arial" w:cs="Arial"/>
          <w:sz w:val="20"/>
          <w:szCs w:val="20"/>
        </w:rPr>
        <w:t>tình</w:t>
      </w:r>
      <w:proofErr w:type="spellEnd"/>
      <w:r w:rsidR="00DA002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 w:rsidRPr="00030DB6">
        <w:rPr>
          <w:rFonts w:ascii="Arial" w:hAnsi="Arial" w:cs="Arial"/>
          <w:sz w:val="20"/>
          <w:szCs w:val="20"/>
        </w:rPr>
        <w:t>hình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r w:rsidR="00DA0021" w:rsidRPr="00030DB6">
        <w:rPr>
          <w:rFonts w:ascii="Arial" w:hAnsi="Arial" w:cs="Arial"/>
          <w:sz w:val="20"/>
          <w:szCs w:val="20"/>
        </w:rPr>
        <w:t xml:space="preserve">ở </w:t>
      </w:r>
      <w:proofErr w:type="spellStart"/>
      <w:r w:rsidR="00DA0021" w:rsidRPr="00030DB6">
        <w:rPr>
          <w:rFonts w:ascii="Arial" w:hAnsi="Arial" w:cs="Arial"/>
          <w:sz w:val="20"/>
          <w:szCs w:val="20"/>
        </w:rPr>
        <w:t>một</w:t>
      </w:r>
      <w:proofErr w:type="spellEnd"/>
      <w:r w:rsidR="00DA002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 w:rsidRPr="00030DB6">
        <w:rPr>
          <w:rFonts w:ascii="Arial" w:hAnsi="Arial" w:cs="Arial"/>
          <w:sz w:val="20"/>
          <w:szCs w:val="20"/>
        </w:rPr>
        <w:t>số</w:t>
      </w:r>
      <w:proofErr w:type="spellEnd"/>
      <w:r w:rsidR="00DA002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 w:rsidRPr="00030DB6">
        <w:rPr>
          <w:rFonts w:ascii="Arial" w:hAnsi="Arial" w:cs="Arial"/>
          <w:sz w:val="20"/>
          <w:szCs w:val="20"/>
        </w:rPr>
        <w:t>quốc</w:t>
      </w:r>
      <w:proofErr w:type="spellEnd"/>
      <w:r w:rsidR="00DA002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 w:rsidRPr="00030DB6">
        <w:rPr>
          <w:rFonts w:ascii="Arial" w:hAnsi="Arial" w:cs="Arial"/>
          <w:sz w:val="20"/>
          <w:szCs w:val="20"/>
        </w:rPr>
        <w:t>gia</w:t>
      </w:r>
      <w:proofErr w:type="spellEnd"/>
      <w:r w:rsidR="00DA0021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biện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pháp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ngăn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chặn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dịch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bệnh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sz w:val="20"/>
          <w:szCs w:val="20"/>
        </w:rPr>
        <w:t>tuy</w:t>
      </w:r>
      <w:proofErr w:type="spellEnd"/>
      <w:r w:rsidR="0012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812">
        <w:rPr>
          <w:rFonts w:ascii="Arial" w:hAnsi="Arial" w:cs="Arial"/>
          <w:sz w:val="20"/>
          <w:szCs w:val="20"/>
        </w:rPr>
        <w:t>đã</w:t>
      </w:r>
      <w:proofErr w:type="spellEnd"/>
      <w:r w:rsidR="0012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4293">
        <w:rPr>
          <w:rFonts w:ascii="Arial" w:hAnsi="Arial" w:cs="Arial"/>
          <w:sz w:val="20"/>
          <w:szCs w:val="20"/>
        </w:rPr>
        <w:t>được</w:t>
      </w:r>
      <w:proofErr w:type="spellEnd"/>
      <w:r w:rsidR="00A74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nới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lỏng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0DB6">
        <w:rPr>
          <w:rFonts w:ascii="Arial" w:hAnsi="Arial" w:cs="Arial"/>
          <w:sz w:val="20"/>
          <w:szCs w:val="20"/>
        </w:rPr>
        <w:t>nhưng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có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áp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dụng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lại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trước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nguy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cơ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dịch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bùng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phát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trở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lại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r w:rsidR="00DA0021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DA0021">
        <w:rPr>
          <w:rFonts w:ascii="Arial" w:hAnsi="Arial" w:cs="Arial"/>
          <w:sz w:val="20"/>
          <w:szCs w:val="20"/>
        </w:rPr>
        <w:t>đó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A0021">
        <w:rPr>
          <w:rFonts w:ascii="Arial" w:hAnsi="Arial" w:cs="Arial"/>
          <w:sz w:val="20"/>
          <w:szCs w:val="20"/>
        </w:rPr>
        <w:t>các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>
        <w:rPr>
          <w:rFonts w:ascii="Arial" w:hAnsi="Arial" w:cs="Arial"/>
          <w:sz w:val="20"/>
          <w:szCs w:val="20"/>
        </w:rPr>
        <w:t>ư</w:t>
      </w:r>
      <w:r w:rsidRPr="00030DB6">
        <w:rPr>
          <w:rFonts w:ascii="Arial" w:hAnsi="Arial" w:cs="Arial"/>
          <w:sz w:val="20"/>
          <w:szCs w:val="20"/>
        </w:rPr>
        <w:t>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tiên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đoạn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>
        <w:rPr>
          <w:rFonts w:ascii="Arial" w:hAnsi="Arial" w:cs="Arial"/>
          <w:sz w:val="20"/>
          <w:szCs w:val="20"/>
        </w:rPr>
        <w:t>mở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>
        <w:rPr>
          <w:rFonts w:ascii="Arial" w:hAnsi="Arial" w:cs="Arial"/>
          <w:sz w:val="20"/>
          <w:szCs w:val="20"/>
        </w:rPr>
        <w:t>cửa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>
        <w:rPr>
          <w:rFonts w:ascii="Arial" w:hAnsi="Arial" w:cs="Arial"/>
          <w:sz w:val="20"/>
          <w:szCs w:val="20"/>
        </w:rPr>
        <w:t>từng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0021">
        <w:rPr>
          <w:rFonts w:ascii="Arial" w:hAnsi="Arial" w:cs="Arial"/>
          <w:sz w:val="20"/>
          <w:szCs w:val="20"/>
        </w:rPr>
        <w:t>bước</w:t>
      </w:r>
      <w:proofErr w:type="spellEnd"/>
      <w:r w:rsidR="00DA00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là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tiếp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tục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đảm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6B3">
        <w:rPr>
          <w:rFonts w:ascii="Arial" w:hAnsi="Arial" w:cs="Arial"/>
          <w:sz w:val="20"/>
          <w:szCs w:val="20"/>
        </w:rPr>
        <w:t>bảo</w:t>
      </w:r>
      <w:proofErr w:type="spellEnd"/>
      <w:r w:rsidR="00C426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quá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trình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phục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hồi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vững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</w:p>
    <w:p w14:paraId="4EB8380F" w14:textId="77777777" w:rsidR="0084228D" w:rsidRDefault="00C426B3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172C81" w:rsidRPr="00030DB6">
        <w:rPr>
          <w:rFonts w:ascii="Arial" w:hAnsi="Arial" w:cs="Arial"/>
          <w:sz w:val="20"/>
          <w:szCs w:val="20"/>
        </w:rPr>
        <w:t>hính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tiền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tệ</w:t>
      </w:r>
      <w:proofErr w:type="spellEnd"/>
      <w:r w:rsidR="009B7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5806">
        <w:rPr>
          <w:rFonts w:ascii="Arial" w:hAnsi="Arial" w:cs="Arial"/>
          <w:sz w:val="20"/>
          <w:szCs w:val="20"/>
        </w:rPr>
        <w:t>mở</w:t>
      </w:r>
      <w:proofErr w:type="spellEnd"/>
      <w:r w:rsidR="003658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5806">
        <w:rPr>
          <w:rFonts w:ascii="Arial" w:hAnsi="Arial" w:cs="Arial"/>
          <w:sz w:val="20"/>
          <w:szCs w:val="20"/>
        </w:rPr>
        <w:t>rộng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93">
        <w:rPr>
          <w:rFonts w:ascii="Arial" w:hAnsi="Arial" w:cs="Arial"/>
          <w:sz w:val="20"/>
          <w:szCs w:val="20"/>
        </w:rPr>
        <w:t>cần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duy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trì</w:t>
      </w:r>
      <w:proofErr w:type="spellEnd"/>
      <w:r w:rsidR="00AB3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812">
        <w:rPr>
          <w:rFonts w:ascii="Arial" w:hAnsi="Arial" w:cs="Arial"/>
          <w:sz w:val="20"/>
          <w:szCs w:val="20"/>
        </w:rPr>
        <w:t>để</w:t>
      </w:r>
      <w:proofErr w:type="spellEnd"/>
      <w:r w:rsidR="00AB3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812">
        <w:rPr>
          <w:rFonts w:ascii="Arial" w:hAnsi="Arial" w:cs="Arial"/>
          <w:sz w:val="20"/>
          <w:szCs w:val="20"/>
        </w:rPr>
        <w:t>hỗ</w:t>
      </w:r>
      <w:proofErr w:type="spellEnd"/>
      <w:r w:rsidR="00AB3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812">
        <w:rPr>
          <w:rFonts w:ascii="Arial" w:hAnsi="Arial" w:cs="Arial"/>
          <w:sz w:val="20"/>
          <w:szCs w:val="20"/>
        </w:rPr>
        <w:t>trợ</w:t>
      </w:r>
      <w:proofErr w:type="spellEnd"/>
      <w:r w:rsidR="00AB3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812">
        <w:rPr>
          <w:rFonts w:ascii="Arial" w:hAnsi="Arial" w:cs="Arial"/>
          <w:sz w:val="20"/>
          <w:szCs w:val="20"/>
        </w:rPr>
        <w:t>phục</w:t>
      </w:r>
      <w:proofErr w:type="spellEnd"/>
      <w:r w:rsidR="00AB3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812">
        <w:rPr>
          <w:rFonts w:ascii="Arial" w:hAnsi="Arial" w:cs="Arial"/>
          <w:sz w:val="20"/>
          <w:szCs w:val="20"/>
        </w:rPr>
        <w:t>hồi</w:t>
      </w:r>
      <w:proofErr w:type="spellEnd"/>
      <w:r w:rsidR="00AB3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812">
        <w:rPr>
          <w:rFonts w:ascii="Arial" w:hAnsi="Arial" w:cs="Arial"/>
          <w:sz w:val="20"/>
          <w:szCs w:val="20"/>
        </w:rPr>
        <w:t>kinh</w:t>
      </w:r>
      <w:proofErr w:type="spellEnd"/>
      <w:r w:rsidR="00AB3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812">
        <w:rPr>
          <w:rFonts w:ascii="Arial" w:hAnsi="Arial" w:cs="Arial"/>
          <w:sz w:val="20"/>
          <w:szCs w:val="20"/>
        </w:rPr>
        <w:t>tế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="00532C8B">
        <w:rPr>
          <w:rFonts w:ascii="Arial" w:hAnsi="Arial" w:cs="Arial"/>
          <w:sz w:val="20"/>
          <w:szCs w:val="20"/>
        </w:rPr>
        <w:t>khi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cắt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giảm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mạnh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các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mức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lãi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suất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chính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sách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r w:rsidR="00532C8B">
        <w:rPr>
          <w:rFonts w:ascii="Arial" w:hAnsi="Arial" w:cs="Arial"/>
          <w:sz w:val="20"/>
          <w:szCs w:val="20"/>
        </w:rPr>
        <w:t xml:space="preserve">ở </w:t>
      </w:r>
      <w:proofErr w:type="spellStart"/>
      <w:r w:rsidR="00532C8B">
        <w:rPr>
          <w:rFonts w:ascii="Arial" w:hAnsi="Arial" w:cs="Arial"/>
          <w:sz w:val="20"/>
          <w:szCs w:val="20"/>
        </w:rPr>
        <w:t>giai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đoạn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đầu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khủng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hoảng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hầu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hết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nền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kinh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tế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phát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triển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đang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phải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đối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mặt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với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tình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trạng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giới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hạn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thấp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hơn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hiệu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quả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của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tiền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tệ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mặc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dù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nhiều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thị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trường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mới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nổi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vẫn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có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dư</w:t>
      </w:r>
      <w:proofErr w:type="spellEnd"/>
      <w:r w:rsidR="00532C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C8B">
        <w:rPr>
          <w:rFonts w:ascii="Arial" w:hAnsi="Arial" w:cs="Arial"/>
          <w:sz w:val="20"/>
          <w:szCs w:val="20"/>
        </w:rPr>
        <w:t>địa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cắt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giảm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>.</w:t>
      </w:r>
      <w:r w:rsidR="003E4DB5">
        <w:rPr>
          <w:rFonts w:ascii="Arial" w:hAnsi="Arial" w:cs="Arial"/>
          <w:sz w:val="20"/>
          <w:szCs w:val="20"/>
        </w:rPr>
        <w:t xml:space="preserve"> </w:t>
      </w:r>
    </w:p>
    <w:p w14:paraId="13C1C5D9" w14:textId="3BBABF5F" w:rsidR="00064C55" w:rsidRPr="00030DB6" w:rsidRDefault="0084228D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="00172C81" w:rsidRPr="00030DB6">
        <w:rPr>
          <w:rFonts w:ascii="Arial" w:hAnsi="Arial" w:cs="Arial"/>
          <w:sz w:val="20"/>
          <w:szCs w:val="20"/>
        </w:rPr>
        <w:t>ỗ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trợ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thanh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khoản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thiết</w:t>
      </w:r>
      <w:proofErr w:type="spellEnd"/>
      <w:r w:rsidR="004425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52F">
        <w:rPr>
          <w:rFonts w:ascii="Arial" w:hAnsi="Arial" w:cs="Arial"/>
          <w:sz w:val="20"/>
          <w:szCs w:val="20"/>
        </w:rPr>
        <w:t>yếu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cho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thị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trường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tổ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chức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tài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chính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cần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52F">
        <w:rPr>
          <w:rFonts w:ascii="Arial" w:hAnsi="Arial" w:cs="Arial"/>
          <w:sz w:val="20"/>
          <w:szCs w:val="20"/>
        </w:rPr>
        <w:t>tiếp</w:t>
      </w:r>
      <w:proofErr w:type="spellEnd"/>
      <w:r w:rsidR="004425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52F">
        <w:rPr>
          <w:rFonts w:ascii="Arial" w:hAnsi="Arial" w:cs="Arial"/>
          <w:sz w:val="20"/>
          <w:szCs w:val="20"/>
        </w:rPr>
        <w:t>tục</w:t>
      </w:r>
      <w:proofErr w:type="spellEnd"/>
      <w:r w:rsidR="004425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để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khuyến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khích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chức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tài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quay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trở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lại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thị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trường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khi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điều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kiện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vốn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trở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B2F">
        <w:rPr>
          <w:rFonts w:ascii="Arial" w:hAnsi="Arial" w:cs="Arial"/>
          <w:sz w:val="20"/>
          <w:szCs w:val="20"/>
        </w:rPr>
        <w:t>lại</w:t>
      </w:r>
      <w:proofErr w:type="spellEnd"/>
      <w:r w:rsidR="00DA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bình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2C81" w:rsidRPr="00030DB6">
        <w:rPr>
          <w:rFonts w:ascii="Arial" w:hAnsi="Arial" w:cs="Arial"/>
          <w:sz w:val="20"/>
          <w:szCs w:val="20"/>
        </w:rPr>
        <w:t>thường</w:t>
      </w:r>
      <w:proofErr w:type="spellEnd"/>
      <w:r w:rsidR="00172C81" w:rsidRPr="00030DB6">
        <w:rPr>
          <w:rFonts w:ascii="Arial" w:hAnsi="Arial" w:cs="Arial"/>
          <w:sz w:val="20"/>
          <w:szCs w:val="20"/>
        </w:rPr>
        <w:t>.</w:t>
      </w:r>
      <w:r w:rsidR="003E4D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95E">
        <w:rPr>
          <w:rFonts w:ascii="Arial" w:hAnsi="Arial" w:cs="Arial"/>
          <w:sz w:val="20"/>
          <w:szCs w:val="20"/>
        </w:rPr>
        <w:t>Các</w:t>
      </w:r>
      <w:proofErr w:type="spellEnd"/>
      <w:r w:rsidR="000A59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95E">
        <w:rPr>
          <w:rFonts w:ascii="Arial" w:hAnsi="Arial" w:cs="Arial"/>
          <w:sz w:val="20"/>
          <w:szCs w:val="20"/>
        </w:rPr>
        <w:t>ngân</w:t>
      </w:r>
      <w:proofErr w:type="spellEnd"/>
      <w:r w:rsidR="000A59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95E">
        <w:rPr>
          <w:rFonts w:ascii="Arial" w:hAnsi="Arial" w:cs="Arial"/>
          <w:sz w:val="20"/>
          <w:szCs w:val="20"/>
        </w:rPr>
        <w:t>hàng</w:t>
      </w:r>
      <w:proofErr w:type="spellEnd"/>
      <w:r w:rsidR="000A59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95E">
        <w:rPr>
          <w:rFonts w:ascii="Arial" w:hAnsi="Arial" w:cs="Arial"/>
          <w:sz w:val="20"/>
          <w:szCs w:val="20"/>
        </w:rPr>
        <w:t>n</w:t>
      </w:r>
      <w:r w:rsidR="00C1539C" w:rsidRPr="00030DB6">
        <w:rPr>
          <w:rFonts w:ascii="Arial" w:hAnsi="Arial" w:cs="Arial"/>
          <w:sz w:val="20"/>
          <w:szCs w:val="20"/>
        </w:rPr>
        <w:t>ên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95E">
        <w:rPr>
          <w:rFonts w:ascii="Arial" w:hAnsi="Arial" w:cs="Arial"/>
          <w:sz w:val="20"/>
          <w:szCs w:val="20"/>
        </w:rPr>
        <w:t>được</w:t>
      </w:r>
      <w:proofErr w:type="spellEnd"/>
      <w:r w:rsidR="000A59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khuyến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khích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tiếp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tục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cho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vay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</w:t>
      </w:r>
      <w:r w:rsidR="000A595E">
        <w:rPr>
          <w:rFonts w:ascii="Arial" w:hAnsi="Arial" w:cs="Arial"/>
          <w:sz w:val="20"/>
          <w:szCs w:val="20"/>
        </w:rPr>
        <w:t>ận</w:t>
      </w:r>
      <w:proofErr w:type="spellEnd"/>
      <w:r w:rsidR="000A59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95E">
        <w:rPr>
          <w:rFonts w:ascii="Arial" w:hAnsi="Arial" w:cs="Arial"/>
          <w:sz w:val="20"/>
          <w:szCs w:val="20"/>
        </w:rPr>
        <w:t>dụng</w:t>
      </w:r>
      <w:proofErr w:type="spellEnd"/>
      <w:r w:rsidR="000A59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linh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1539C" w:rsidRPr="00030DB6">
        <w:rPr>
          <w:rFonts w:ascii="Arial" w:hAnsi="Arial" w:cs="Arial"/>
          <w:sz w:val="20"/>
          <w:szCs w:val="20"/>
        </w:rPr>
        <w:t>hoạt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các</w:t>
      </w:r>
      <w:proofErr w:type="spellEnd"/>
      <w:proofErr w:type="gram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khuôn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khổ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tiêu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chuẩn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kế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toán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toàn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phân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loại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khoản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vay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việc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trích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lập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dự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39C" w:rsidRPr="00030DB6">
        <w:rPr>
          <w:rFonts w:ascii="Arial" w:hAnsi="Arial" w:cs="Arial"/>
          <w:sz w:val="20"/>
          <w:szCs w:val="20"/>
        </w:rPr>
        <w:t>phòng</w:t>
      </w:r>
      <w:proofErr w:type="spellEnd"/>
      <w:r w:rsidR="00C1539C" w:rsidRPr="00030DB6">
        <w:rPr>
          <w:rFonts w:ascii="Arial" w:hAnsi="Arial" w:cs="Arial"/>
          <w:sz w:val="20"/>
          <w:szCs w:val="20"/>
        </w:rPr>
        <w:t>.</w:t>
      </w:r>
    </w:p>
    <w:p w14:paraId="618CAE35" w14:textId="14FE006A" w:rsidR="0098772F" w:rsidRPr="00030DB6" w:rsidRDefault="0098772F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định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phát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triển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chiến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hiệu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quả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228D">
        <w:rPr>
          <w:rFonts w:ascii="Arial" w:hAnsi="Arial" w:cs="Arial"/>
          <w:sz w:val="20"/>
          <w:szCs w:val="20"/>
        </w:rPr>
        <w:t>ứng</w:t>
      </w:r>
      <w:proofErr w:type="spellEnd"/>
      <w:r w:rsidR="008422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228D">
        <w:rPr>
          <w:rFonts w:ascii="Arial" w:hAnsi="Arial" w:cs="Arial"/>
          <w:sz w:val="20"/>
          <w:szCs w:val="20"/>
        </w:rPr>
        <w:t>phó</w:t>
      </w:r>
      <w:proofErr w:type="spellEnd"/>
      <w:r w:rsidR="008422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228D">
        <w:rPr>
          <w:rFonts w:ascii="Arial" w:hAnsi="Arial" w:cs="Arial"/>
          <w:sz w:val="20"/>
          <w:szCs w:val="20"/>
        </w:rPr>
        <w:t>với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áp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lực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95E">
        <w:rPr>
          <w:rFonts w:ascii="Arial" w:hAnsi="Arial" w:cs="Arial"/>
          <w:sz w:val="20"/>
          <w:szCs w:val="20"/>
        </w:rPr>
        <w:t>v</w:t>
      </w:r>
      <w:r w:rsidR="0084228D">
        <w:rPr>
          <w:rFonts w:ascii="Arial" w:hAnsi="Arial" w:cs="Arial"/>
          <w:sz w:val="20"/>
          <w:szCs w:val="20"/>
        </w:rPr>
        <w:t>ề</w:t>
      </w:r>
      <w:proofErr w:type="spellEnd"/>
      <w:r w:rsidR="000A59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toán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của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doanh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nghiệp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hộ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đình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  <w:r w:rsidR="000920E0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biện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pháp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giảm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bớt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thẳng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khoản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chỉ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có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tính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tạm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thời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sẽ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làm</w:t>
      </w:r>
      <w:proofErr w:type="spellEnd"/>
      <w:r w:rsidR="000920E0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0DB6">
        <w:rPr>
          <w:rFonts w:ascii="Arial" w:hAnsi="Arial" w:cs="Arial"/>
          <w:sz w:val="20"/>
          <w:szCs w:val="20"/>
        </w:rPr>
        <w:t>trong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doanh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nghiệp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hộ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đình</w:t>
      </w:r>
      <w:proofErr w:type="spellEnd"/>
      <w:r w:rsidR="000920E0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vẫn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đối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mặt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khăn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về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khi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hết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thời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gian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hoãn</w:t>
      </w:r>
      <w:proofErr w:type="spellEnd"/>
      <w:r w:rsidR="009D48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4812">
        <w:rPr>
          <w:rFonts w:ascii="Arial" w:hAnsi="Arial" w:cs="Arial"/>
          <w:sz w:val="20"/>
          <w:szCs w:val="20"/>
        </w:rPr>
        <w:t>nợ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định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BD65AE">
        <w:rPr>
          <w:rFonts w:ascii="Arial" w:hAnsi="Arial" w:cs="Arial"/>
          <w:sz w:val="20"/>
          <w:szCs w:val="20"/>
        </w:rPr>
        <w:t>đó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chuyển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trọng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tâm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toán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</w:p>
    <w:p w14:paraId="0FF94FEB" w14:textId="1FF7C5CB" w:rsidR="0098772F" w:rsidRPr="00030DB6" w:rsidRDefault="0098772F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kinh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tế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thị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trường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mới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nổi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đang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phát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triển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đang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gặp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khăn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về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cần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187B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thức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30DB6">
        <w:rPr>
          <w:rFonts w:ascii="Arial" w:hAnsi="Arial" w:cs="Arial"/>
          <w:sz w:val="20"/>
          <w:szCs w:val="20"/>
        </w:rPr>
        <w:t>Tài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="000920E0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7987">
        <w:rPr>
          <w:rFonts w:ascii="Arial" w:hAnsi="Arial" w:cs="Arial"/>
          <w:sz w:val="20"/>
          <w:szCs w:val="20"/>
        </w:rPr>
        <w:t>làm</w:t>
      </w:r>
      <w:proofErr w:type="spellEnd"/>
      <w:r w:rsidR="008B79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thâm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hụt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khóa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một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thức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187B">
        <w:rPr>
          <w:rFonts w:ascii="Arial" w:hAnsi="Arial" w:cs="Arial"/>
          <w:sz w:val="20"/>
          <w:szCs w:val="20"/>
        </w:rPr>
        <w:t>cho</w:t>
      </w:r>
      <w:proofErr w:type="spellEnd"/>
      <w:r w:rsidR="008318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187B">
        <w:rPr>
          <w:rFonts w:ascii="Arial" w:hAnsi="Arial" w:cs="Arial"/>
          <w:sz w:val="20"/>
          <w:szCs w:val="20"/>
        </w:rPr>
        <w:t>nhiều</w:t>
      </w:r>
      <w:proofErr w:type="spellEnd"/>
      <w:r w:rsidR="008318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187B">
        <w:rPr>
          <w:rFonts w:ascii="Arial" w:hAnsi="Arial" w:cs="Arial"/>
          <w:sz w:val="20"/>
          <w:szCs w:val="20"/>
        </w:rPr>
        <w:t>nước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D65AE">
        <w:rPr>
          <w:rFonts w:ascii="Arial" w:hAnsi="Arial" w:cs="Arial"/>
          <w:sz w:val="20"/>
          <w:szCs w:val="20"/>
        </w:rPr>
        <w:t>N</w:t>
      </w:r>
      <w:r w:rsidRPr="00030DB6">
        <w:rPr>
          <w:rFonts w:ascii="Arial" w:hAnsi="Arial" w:cs="Arial"/>
          <w:sz w:val="20"/>
          <w:szCs w:val="20"/>
        </w:rPr>
        <w:t>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công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vì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thế</w:t>
      </w:r>
      <w:proofErr w:type="spellEnd"/>
      <w:r w:rsidR="000920E0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trở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không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vững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030DB6">
        <w:rPr>
          <w:rFonts w:ascii="Arial" w:hAnsi="Arial" w:cs="Arial"/>
          <w:sz w:val="20"/>
          <w:szCs w:val="20"/>
        </w:rPr>
        <w:t>một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số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quốc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r w:rsidR="00BD65AE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BD65AE">
        <w:rPr>
          <w:rFonts w:ascii="Arial" w:hAnsi="Arial" w:cs="Arial"/>
          <w:sz w:val="20"/>
          <w:szCs w:val="20"/>
        </w:rPr>
        <w:t>đó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sự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hỗ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trợ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từ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các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tổ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chức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tài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chính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quốc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tế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như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IMF </w:t>
      </w:r>
      <w:proofErr w:type="spellStart"/>
      <w:r w:rsidR="00BD65AE">
        <w:rPr>
          <w:rFonts w:ascii="Arial" w:hAnsi="Arial" w:cs="Arial"/>
          <w:sz w:val="20"/>
          <w:szCs w:val="20"/>
        </w:rPr>
        <w:t>và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tái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cơ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cấu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nợ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với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các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chủ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nợ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quốc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tế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sẽ</w:t>
      </w:r>
      <w:proofErr w:type="spellEnd"/>
      <w:r w:rsidR="000920E0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cần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thiết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bảo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ổn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định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vĩ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mô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</w:p>
    <w:p w14:paraId="4E99B685" w14:textId="43ED98E5" w:rsidR="00E605F9" w:rsidRPr="0083187B" w:rsidRDefault="0083187B" w:rsidP="00030DB6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83187B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187B">
        <w:rPr>
          <w:rFonts w:ascii="Arial" w:hAnsi="Arial" w:cs="Arial"/>
          <w:b/>
          <w:bCs/>
          <w:sz w:val="20"/>
          <w:szCs w:val="20"/>
        </w:rPr>
        <w:t>phản</w:t>
      </w:r>
      <w:proofErr w:type="spellEnd"/>
      <w:r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187B">
        <w:rPr>
          <w:rFonts w:ascii="Arial" w:hAnsi="Arial" w:cs="Arial"/>
          <w:b/>
          <w:bCs/>
          <w:sz w:val="20"/>
          <w:szCs w:val="20"/>
        </w:rPr>
        <w:t>ứng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sách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nếu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quá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trình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phục</w:t>
      </w:r>
      <w:proofErr w:type="spellEnd"/>
      <w:r w:rsidR="00BD65A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b/>
          <w:bCs/>
          <w:sz w:val="20"/>
          <w:szCs w:val="20"/>
        </w:rPr>
        <w:t>hồi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bị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trì</w:t>
      </w:r>
      <w:proofErr w:type="spellEnd"/>
      <w:r w:rsidR="00E605F9" w:rsidRPr="0083187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605F9" w:rsidRPr="0083187B">
        <w:rPr>
          <w:rFonts w:ascii="Arial" w:hAnsi="Arial" w:cs="Arial"/>
          <w:b/>
          <w:bCs/>
          <w:sz w:val="20"/>
          <w:szCs w:val="20"/>
        </w:rPr>
        <w:t>hoãn</w:t>
      </w:r>
      <w:proofErr w:type="spellEnd"/>
    </w:p>
    <w:p w14:paraId="7E1751EF" w14:textId="1222DD3C" w:rsidR="00E605F9" w:rsidRPr="00030DB6" w:rsidRDefault="00E605F9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Trong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trường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hợp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triển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vọng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kinh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tế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xấu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D65AE">
        <w:rPr>
          <w:rFonts w:ascii="Arial" w:hAnsi="Arial" w:cs="Arial"/>
          <w:sz w:val="20"/>
          <w:szCs w:val="20"/>
        </w:rPr>
        <w:t>có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thể</w:t>
      </w:r>
      <w:proofErr w:type="spellEnd"/>
      <w:r w:rsidR="00BD65AE">
        <w:rPr>
          <w:rFonts w:ascii="Arial" w:hAnsi="Arial" w:cs="Arial"/>
          <w:sz w:val="20"/>
          <w:szCs w:val="20"/>
        </w:rPr>
        <w:t xml:space="preserve"> </w:t>
      </w:r>
      <w:r w:rsidRPr="00030DB6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đợt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bùng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phát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187B">
        <w:rPr>
          <w:rFonts w:ascii="Arial" w:hAnsi="Arial" w:cs="Arial"/>
          <w:sz w:val="20"/>
          <w:szCs w:val="20"/>
        </w:rPr>
        <w:t>dịch</w:t>
      </w:r>
      <w:proofErr w:type="spellEnd"/>
      <w:r w:rsidR="008318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mới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định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chuẩn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bị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65AE">
        <w:rPr>
          <w:rFonts w:ascii="Arial" w:hAnsi="Arial" w:cs="Arial"/>
          <w:sz w:val="20"/>
          <w:szCs w:val="20"/>
        </w:rPr>
        <w:t>tăng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quy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mô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khoản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nhưng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0774">
        <w:rPr>
          <w:rFonts w:ascii="Arial" w:hAnsi="Arial" w:cs="Arial"/>
          <w:sz w:val="20"/>
          <w:szCs w:val="20"/>
        </w:rPr>
        <w:t>theo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mục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tiêu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trọng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tâm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biện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pháp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khóa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mục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tiêu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là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một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cách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hỗ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trợ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hiệu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quả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cho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doanh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nghiệp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nhân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dễ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bị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tổn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thương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nhất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54A29">
        <w:rPr>
          <w:rFonts w:ascii="Arial" w:hAnsi="Arial" w:cs="Arial"/>
          <w:sz w:val="20"/>
          <w:szCs w:val="20"/>
        </w:rPr>
        <w:t>Các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tiêu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chuẩn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sẽ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cần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thắt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chặt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từ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từ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đảm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bảo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hầu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hết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tập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trung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cho</w:t>
      </w:r>
      <w:proofErr w:type="spellEnd"/>
      <w:r w:rsidR="00C27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6DF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doanh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nghiệp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có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khả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năng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hồi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phục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</w:p>
    <w:p w14:paraId="6D4DDE99" w14:textId="579DB333" w:rsidR="00E605F9" w:rsidRPr="00030DB6" w:rsidRDefault="00E605F9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phải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nới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lỏng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nữa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khi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cần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dòng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vốn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tín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dụng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kinh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tế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Cho </w:t>
      </w:r>
      <w:proofErr w:type="spellStart"/>
      <w:r w:rsidRPr="00030DB6">
        <w:rPr>
          <w:rFonts w:ascii="Arial" w:hAnsi="Arial" w:cs="Arial"/>
          <w:sz w:val="20"/>
          <w:szCs w:val="20"/>
        </w:rPr>
        <w:t>vay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khẩn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cấp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các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biện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pháp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 w:rsidRPr="00030DB6">
        <w:rPr>
          <w:rFonts w:ascii="Arial" w:hAnsi="Arial" w:cs="Arial"/>
          <w:sz w:val="20"/>
          <w:szCs w:val="20"/>
        </w:rPr>
        <w:t>nới</w:t>
      </w:r>
      <w:proofErr w:type="spellEnd"/>
      <w:r w:rsidR="00054A29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 w:rsidRPr="00030DB6">
        <w:rPr>
          <w:rFonts w:ascii="Arial" w:hAnsi="Arial" w:cs="Arial"/>
          <w:sz w:val="20"/>
          <w:szCs w:val="20"/>
        </w:rPr>
        <w:t>lỏng</w:t>
      </w:r>
      <w:proofErr w:type="spellEnd"/>
      <w:r w:rsidR="00054A29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r w:rsidR="00535615">
        <w:rPr>
          <w:rFonts w:ascii="Arial" w:hAnsi="Arial" w:cs="Arial"/>
          <w:sz w:val="20"/>
          <w:szCs w:val="20"/>
        </w:rPr>
        <w:t xml:space="preserve">phi </w:t>
      </w:r>
      <w:proofErr w:type="spellStart"/>
      <w:r w:rsidR="00535615">
        <w:rPr>
          <w:rFonts w:ascii="Arial" w:hAnsi="Arial" w:cs="Arial"/>
          <w:sz w:val="20"/>
          <w:szCs w:val="20"/>
        </w:rPr>
        <w:t>truyền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thống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phải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tái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kích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hoạt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hoặc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mở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rộng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0DB6">
        <w:rPr>
          <w:rFonts w:ascii="Arial" w:hAnsi="Arial" w:cs="Arial"/>
          <w:sz w:val="20"/>
          <w:szCs w:val="20"/>
        </w:rPr>
        <w:t>tùy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thuộc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bối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cảnh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các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nước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91596">
        <w:rPr>
          <w:rFonts w:ascii="Arial" w:hAnsi="Arial" w:cs="Arial"/>
          <w:sz w:val="20"/>
          <w:szCs w:val="20"/>
        </w:rPr>
        <w:t>trong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1596">
        <w:rPr>
          <w:rFonts w:ascii="Arial" w:hAnsi="Arial" w:cs="Arial"/>
          <w:sz w:val="20"/>
          <w:szCs w:val="20"/>
        </w:rPr>
        <w:t>trường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1596">
        <w:rPr>
          <w:rFonts w:ascii="Arial" w:hAnsi="Arial" w:cs="Arial"/>
          <w:sz w:val="20"/>
          <w:szCs w:val="20"/>
        </w:rPr>
        <w:t>hợp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kịch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bản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bất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lợi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1596">
        <w:rPr>
          <w:rFonts w:ascii="Arial" w:hAnsi="Arial" w:cs="Arial"/>
          <w:sz w:val="20"/>
          <w:szCs w:val="20"/>
        </w:rPr>
        <w:t>xảy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491596">
        <w:rPr>
          <w:rFonts w:ascii="Arial" w:hAnsi="Arial" w:cs="Arial"/>
          <w:sz w:val="20"/>
          <w:szCs w:val="20"/>
        </w:rPr>
        <w:t>với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1596">
        <w:rPr>
          <w:rFonts w:ascii="Arial" w:hAnsi="Arial" w:cs="Arial"/>
          <w:sz w:val="20"/>
          <w:szCs w:val="20"/>
        </w:rPr>
        <w:t>nền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1596">
        <w:rPr>
          <w:rFonts w:ascii="Arial" w:hAnsi="Arial" w:cs="Arial"/>
          <w:sz w:val="20"/>
          <w:szCs w:val="20"/>
        </w:rPr>
        <w:t>kinh</w:t>
      </w:r>
      <w:proofErr w:type="spellEnd"/>
      <w:r w:rsidR="004915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1596">
        <w:rPr>
          <w:rFonts w:ascii="Arial" w:hAnsi="Arial" w:cs="Arial"/>
          <w:sz w:val="20"/>
          <w:szCs w:val="20"/>
        </w:rPr>
        <w:t>tế</w:t>
      </w:r>
      <w:proofErr w:type="spellEnd"/>
      <w:r w:rsidR="00491596">
        <w:rPr>
          <w:rFonts w:ascii="Arial" w:hAnsi="Arial" w:cs="Arial"/>
          <w:sz w:val="20"/>
          <w:szCs w:val="20"/>
        </w:rPr>
        <w:t>.</w:t>
      </w:r>
    </w:p>
    <w:p w14:paraId="558DBA84" w14:textId="5FCB96B9" w:rsidR="00E605F9" w:rsidRPr="00030DB6" w:rsidRDefault="00E605F9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định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cung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A29">
        <w:rPr>
          <w:rFonts w:ascii="Arial" w:hAnsi="Arial" w:cs="Arial"/>
          <w:sz w:val="20"/>
          <w:szCs w:val="20"/>
        </w:rPr>
        <w:t>cấp</w:t>
      </w:r>
      <w:proofErr w:type="spellEnd"/>
      <w:r w:rsidR="0005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toán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giảm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thiểu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rủi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ro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thống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905E8">
        <w:rPr>
          <w:rFonts w:ascii="Arial" w:hAnsi="Arial" w:cs="Arial"/>
          <w:sz w:val="20"/>
          <w:szCs w:val="20"/>
        </w:rPr>
        <w:t>Cung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cấp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tiền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giảm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thuế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có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thể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được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áp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dụng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cho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các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đối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tượng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mục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tiêu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như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doanh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nghiệp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hộ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đình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bị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tác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động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nhiều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nhất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30DB6">
        <w:rPr>
          <w:rFonts w:ascii="Arial" w:hAnsi="Arial" w:cs="Arial"/>
          <w:sz w:val="20"/>
          <w:szCs w:val="20"/>
        </w:rPr>
        <w:t>Ngoài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phủ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mở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rộng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quy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mô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toán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doanh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nghiệp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có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khả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năng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phục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hồi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và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được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xem</w:t>
      </w:r>
      <w:proofErr w:type="spellEnd"/>
      <w:r w:rsidR="003905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05E8">
        <w:rPr>
          <w:rFonts w:ascii="Arial" w:hAnsi="Arial" w:cs="Arial"/>
          <w:sz w:val="20"/>
          <w:szCs w:val="20"/>
        </w:rPr>
        <w:t>có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vai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trò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chiến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hoặc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tầm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quan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trọng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thống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để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hạn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chế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hậu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quả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bất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lợi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cho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tài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chính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vĩ</w:t>
      </w:r>
      <w:proofErr w:type="spellEnd"/>
      <w:r w:rsidR="0053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sz w:val="20"/>
          <w:szCs w:val="20"/>
        </w:rPr>
        <w:t>mô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</w:p>
    <w:p w14:paraId="094BE095" w14:textId="15E908BB" w:rsidR="00E301D3" w:rsidRPr="00535615" w:rsidRDefault="00E301D3" w:rsidP="00030DB6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ưu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tiên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sách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khi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dịch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35615">
        <w:rPr>
          <w:rFonts w:ascii="Arial" w:hAnsi="Arial" w:cs="Arial"/>
          <w:b/>
          <w:bCs/>
          <w:sz w:val="20"/>
          <w:szCs w:val="20"/>
        </w:rPr>
        <w:t>bệnh</w:t>
      </w:r>
      <w:proofErr w:type="spellEnd"/>
      <w:r w:rsid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được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kiểm</w:t>
      </w:r>
      <w:proofErr w:type="spellEnd"/>
      <w:r w:rsidRPr="005356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35615">
        <w:rPr>
          <w:rFonts w:ascii="Arial" w:hAnsi="Arial" w:cs="Arial"/>
          <w:b/>
          <w:bCs/>
          <w:sz w:val="20"/>
          <w:szCs w:val="20"/>
        </w:rPr>
        <w:t>soát</w:t>
      </w:r>
      <w:proofErr w:type="spellEnd"/>
    </w:p>
    <w:p w14:paraId="6A50A1F1" w14:textId="7486E176" w:rsidR="00E301D3" w:rsidRPr="00030DB6" w:rsidRDefault="00E301D3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Khi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dịch</w:t>
      </w:r>
      <w:proofErr w:type="spellEnd"/>
      <w:r w:rsid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bệnh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kiểm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soát</w:t>
      </w:r>
      <w:proofErr w:type="spellEnd"/>
      <w:r w:rsidR="006879E4" w:rsidRP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 w:rsidRPr="00030DB6">
        <w:rPr>
          <w:rFonts w:ascii="Arial" w:hAnsi="Arial" w:cs="Arial"/>
          <w:sz w:val="20"/>
          <w:szCs w:val="20"/>
        </w:rPr>
        <w:t>hoàn</w:t>
      </w:r>
      <w:proofErr w:type="spellEnd"/>
      <w:r w:rsidR="006879E4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 w:rsidRPr="00030DB6">
        <w:rPr>
          <w:rFonts w:ascii="Arial" w:hAnsi="Arial" w:cs="Arial"/>
          <w:sz w:val="20"/>
          <w:szCs w:val="20"/>
        </w:rPr>
        <w:t>toàn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879E4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cần</w:t>
      </w:r>
      <w:proofErr w:type="spellEnd"/>
      <w:r w:rsid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xây</w:t>
      </w:r>
      <w:proofErr w:type="spellEnd"/>
      <w:r w:rsid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dựng</w:t>
      </w:r>
      <w:proofErr w:type="spellEnd"/>
      <w:r w:rsid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dựa</w:t>
      </w:r>
      <w:proofErr w:type="spellEnd"/>
      <w:r w:rsid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trên</w:t>
      </w:r>
      <w:proofErr w:type="spellEnd"/>
      <w:r w:rsid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hành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động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thực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hiện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trong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giai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đoạn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mở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9E4">
        <w:rPr>
          <w:rFonts w:ascii="Arial" w:hAnsi="Arial" w:cs="Arial"/>
          <w:sz w:val="20"/>
          <w:szCs w:val="20"/>
        </w:rPr>
        <w:t>cửa</w:t>
      </w:r>
      <w:proofErr w:type="spellEnd"/>
      <w:r w:rsidR="006879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lại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dần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dần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0DB6">
        <w:rPr>
          <w:rFonts w:ascii="Arial" w:hAnsi="Arial" w:cs="Arial"/>
          <w:sz w:val="20"/>
          <w:szCs w:val="20"/>
        </w:rPr>
        <w:t>nhưng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tập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trung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nhiều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giải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quyết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vấn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đề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về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toán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đảm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bảo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sự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phục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hồi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vững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hoàn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thành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chuyển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đổi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cấu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trúc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của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kinh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tế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r w:rsidR="003A42AD">
        <w:rPr>
          <w:rFonts w:ascii="Arial" w:hAnsi="Arial" w:cs="Arial"/>
          <w:sz w:val="20"/>
          <w:szCs w:val="20"/>
        </w:rPr>
        <w:t xml:space="preserve">sang </w:t>
      </w:r>
      <w:proofErr w:type="spellStart"/>
      <w:r w:rsidR="003A42AD">
        <w:rPr>
          <w:rFonts w:ascii="Arial" w:hAnsi="Arial" w:cs="Arial"/>
          <w:sz w:val="20"/>
          <w:szCs w:val="20"/>
        </w:rPr>
        <w:t>trạng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thái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bình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thường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mới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sau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đại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dịch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  <w:r w:rsidR="00BB0300">
        <w:rPr>
          <w:rFonts w:ascii="Arial" w:hAnsi="Arial" w:cs="Arial"/>
          <w:sz w:val="20"/>
          <w:szCs w:val="20"/>
        </w:rPr>
        <w:t xml:space="preserve"> </w:t>
      </w:r>
    </w:p>
    <w:p w14:paraId="0EA733F7" w14:textId="43595BEA" w:rsidR="00E301D3" w:rsidRPr="00030DB6" w:rsidRDefault="00E301D3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mở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rộng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duy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trì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đến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mục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tiêu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của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716A">
        <w:rPr>
          <w:rFonts w:ascii="Arial" w:hAnsi="Arial" w:cs="Arial"/>
          <w:sz w:val="20"/>
          <w:szCs w:val="20"/>
        </w:rPr>
        <w:t>NHTW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đã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đạt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được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75B6C">
        <w:rPr>
          <w:rFonts w:ascii="Arial" w:hAnsi="Arial" w:cs="Arial"/>
          <w:sz w:val="20"/>
          <w:szCs w:val="20"/>
        </w:rPr>
        <w:t>Trong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bối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cảnh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các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kỳ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vọng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l</w:t>
      </w:r>
      <w:r w:rsidRPr="00030DB6">
        <w:rPr>
          <w:rFonts w:ascii="Arial" w:hAnsi="Arial" w:cs="Arial"/>
          <w:sz w:val="20"/>
          <w:szCs w:val="20"/>
        </w:rPr>
        <w:t>ạm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phát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tiếp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tục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030DB6">
        <w:rPr>
          <w:rFonts w:ascii="Arial" w:hAnsi="Arial" w:cs="Arial"/>
          <w:sz w:val="20"/>
          <w:szCs w:val="20"/>
        </w:rPr>
        <w:t>mức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thấp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lãi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suất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thực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giảm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A42AD">
        <w:rPr>
          <w:rFonts w:ascii="Arial" w:hAnsi="Arial" w:cs="Arial"/>
          <w:sz w:val="20"/>
          <w:szCs w:val="20"/>
        </w:rPr>
        <w:t>nhiều</w:t>
      </w:r>
      <w:proofErr w:type="spellEnd"/>
      <w:r w:rsidR="003A4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42AD">
        <w:rPr>
          <w:rFonts w:ascii="Arial" w:hAnsi="Arial" w:cs="Arial"/>
          <w:sz w:val="20"/>
          <w:szCs w:val="20"/>
        </w:rPr>
        <w:t>NHTW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(bao </w:t>
      </w:r>
      <w:proofErr w:type="spellStart"/>
      <w:r w:rsidRPr="00030DB6">
        <w:rPr>
          <w:rFonts w:ascii="Arial" w:hAnsi="Arial" w:cs="Arial"/>
          <w:sz w:val="20"/>
          <w:szCs w:val="20"/>
        </w:rPr>
        <w:t>gồm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Cục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Dự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trữ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Liên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bang </w:t>
      </w:r>
      <w:proofErr w:type="spellStart"/>
      <w:r w:rsidRPr="00030DB6">
        <w:rPr>
          <w:rFonts w:ascii="Arial" w:hAnsi="Arial" w:cs="Arial"/>
          <w:sz w:val="20"/>
          <w:szCs w:val="20"/>
        </w:rPr>
        <w:t>Hoa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716A">
        <w:rPr>
          <w:rFonts w:ascii="Arial" w:hAnsi="Arial" w:cs="Arial"/>
          <w:sz w:val="20"/>
          <w:szCs w:val="20"/>
        </w:rPr>
        <w:t>NHTW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Châu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Âu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30DB6">
        <w:rPr>
          <w:rFonts w:ascii="Arial" w:hAnsi="Arial" w:cs="Arial"/>
          <w:sz w:val="20"/>
          <w:szCs w:val="20"/>
        </w:rPr>
        <w:t>đang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xem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xét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điều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chỉnh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khuôn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khổ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tiền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="00BB03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300">
        <w:rPr>
          <w:rFonts w:ascii="Arial" w:hAnsi="Arial" w:cs="Arial"/>
          <w:sz w:val="20"/>
          <w:szCs w:val="20"/>
        </w:rPr>
        <w:t>hoạt</w:t>
      </w:r>
      <w:proofErr w:type="spellEnd"/>
      <w:r w:rsidR="00BB03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300">
        <w:rPr>
          <w:rFonts w:ascii="Arial" w:hAnsi="Arial" w:cs="Arial"/>
          <w:sz w:val="20"/>
          <w:szCs w:val="20"/>
        </w:rPr>
        <w:t>động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300">
        <w:rPr>
          <w:rFonts w:ascii="Arial" w:hAnsi="Arial" w:cs="Arial"/>
          <w:sz w:val="20"/>
          <w:szCs w:val="20"/>
        </w:rPr>
        <w:t>truyền</w:t>
      </w:r>
      <w:proofErr w:type="spellEnd"/>
      <w:r w:rsidR="00BB03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300">
        <w:rPr>
          <w:rFonts w:ascii="Arial" w:hAnsi="Arial" w:cs="Arial"/>
          <w:sz w:val="20"/>
          <w:szCs w:val="20"/>
        </w:rPr>
        <w:t>thông</w:t>
      </w:r>
      <w:proofErr w:type="spellEnd"/>
      <w:r w:rsidR="00BB03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đảm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bảo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hiệu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lực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của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B75B6C">
        <w:rPr>
          <w:rFonts w:ascii="Arial" w:hAnsi="Arial" w:cs="Arial"/>
          <w:sz w:val="20"/>
          <w:szCs w:val="20"/>
        </w:rPr>
        <w:t>.</w:t>
      </w:r>
    </w:p>
    <w:p w14:paraId="4D930F11" w14:textId="3298D4B0" w:rsidR="00975C91" w:rsidRPr="00030DB6" w:rsidRDefault="00965B8A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Hỗ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khoản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toàn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hệ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thống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dừng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lại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điều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kiện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thị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trường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trở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lại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bình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thường</w:t>
      </w:r>
      <w:proofErr w:type="spellEnd"/>
      <w:r w:rsidRPr="00030DB6">
        <w:rPr>
          <w:rFonts w:ascii="Arial" w:hAnsi="Arial" w:cs="Arial"/>
          <w:sz w:val="20"/>
          <w:szCs w:val="20"/>
        </w:rPr>
        <w:t>.</w:t>
      </w:r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tài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trợ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vốn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có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kỳ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hạn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300">
        <w:rPr>
          <w:rFonts w:ascii="Arial" w:hAnsi="Arial" w:cs="Arial"/>
          <w:sz w:val="20"/>
          <w:szCs w:val="20"/>
        </w:rPr>
        <w:t>cho</w:t>
      </w:r>
      <w:proofErr w:type="spellEnd"/>
      <w:r w:rsidR="00BB03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ngân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hàng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có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thể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duy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trì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khi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cần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thiết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để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hỗ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trợ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dòng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0300">
        <w:rPr>
          <w:rFonts w:ascii="Arial" w:hAnsi="Arial" w:cs="Arial"/>
          <w:sz w:val="20"/>
          <w:szCs w:val="20"/>
        </w:rPr>
        <w:t>vốn</w:t>
      </w:r>
      <w:proofErr w:type="spellEnd"/>
      <w:r w:rsidR="00BB03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tín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dụng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đảm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bảo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sự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phục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hồi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bền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1D3" w:rsidRPr="00030DB6">
        <w:rPr>
          <w:rFonts w:ascii="Arial" w:hAnsi="Arial" w:cs="Arial"/>
          <w:sz w:val="20"/>
          <w:szCs w:val="20"/>
        </w:rPr>
        <w:t>vững</w:t>
      </w:r>
      <w:proofErr w:type="spellEnd"/>
      <w:r w:rsidR="00E301D3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022B0">
        <w:rPr>
          <w:rFonts w:ascii="Arial" w:hAnsi="Arial" w:cs="Arial"/>
          <w:sz w:val="20"/>
          <w:szCs w:val="20"/>
        </w:rPr>
        <w:t>Bên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cạnh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đó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22B0">
        <w:rPr>
          <w:rFonts w:ascii="Arial" w:hAnsi="Arial" w:cs="Arial"/>
          <w:sz w:val="20"/>
          <w:szCs w:val="20"/>
        </w:rPr>
        <w:t>c</w:t>
      </w:r>
      <w:r w:rsidR="00975C91" w:rsidRPr="00030DB6">
        <w:rPr>
          <w:rFonts w:ascii="Arial" w:hAnsi="Arial" w:cs="Arial"/>
          <w:sz w:val="20"/>
          <w:szCs w:val="20"/>
        </w:rPr>
        <w:t>ác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ngân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hàng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cần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được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khuyến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khích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chủ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động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xử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lý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nơ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̣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x</w:t>
      </w:r>
      <w:r w:rsidR="00940C9D">
        <w:rPr>
          <w:rFonts w:ascii="Arial" w:hAnsi="Arial" w:cs="Arial"/>
          <w:sz w:val="20"/>
          <w:szCs w:val="20"/>
        </w:rPr>
        <w:t>ấ</w:t>
      </w:r>
      <w:r w:rsidR="00975C91" w:rsidRPr="00030DB6">
        <w:rPr>
          <w:rFonts w:ascii="Arial" w:hAnsi="Arial" w:cs="Arial"/>
          <w:sz w:val="20"/>
          <w:szCs w:val="20"/>
        </w:rPr>
        <w:t>u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3022B0">
        <w:rPr>
          <w:rFonts w:ascii="Arial" w:hAnsi="Arial" w:cs="Arial"/>
          <w:sz w:val="20"/>
          <w:szCs w:val="20"/>
        </w:rPr>
        <w:t>đ</w:t>
      </w:r>
      <w:r w:rsidR="00DC2E55">
        <w:rPr>
          <w:rFonts w:ascii="Arial" w:hAnsi="Arial" w:cs="Arial"/>
          <w:sz w:val="20"/>
          <w:szCs w:val="20"/>
        </w:rPr>
        <w:t>ối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với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c</w:t>
      </w:r>
      <w:r w:rsidR="00975C91" w:rsidRPr="00030DB6">
        <w:rPr>
          <w:rFonts w:ascii="Arial" w:hAnsi="Arial" w:cs="Arial"/>
          <w:sz w:val="20"/>
          <w:szCs w:val="20"/>
        </w:rPr>
        <w:t>ác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ngân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hàng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có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mức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nợ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xấu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cao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cần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được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yêu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cầu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xây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dựng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triển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khai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kế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hoạch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hành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động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đáng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cậy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để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giảm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tỷ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lệ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nợ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xấu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trong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một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khung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thời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gian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thích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C91" w:rsidRPr="00030DB6">
        <w:rPr>
          <w:rFonts w:ascii="Arial" w:hAnsi="Arial" w:cs="Arial"/>
          <w:sz w:val="20"/>
          <w:szCs w:val="20"/>
        </w:rPr>
        <w:t>hợp</w:t>
      </w:r>
      <w:proofErr w:type="spellEnd"/>
      <w:r w:rsidR="00975C91" w:rsidRPr="00030DB6">
        <w:rPr>
          <w:rFonts w:ascii="Arial" w:hAnsi="Arial" w:cs="Arial"/>
          <w:sz w:val="20"/>
          <w:szCs w:val="20"/>
        </w:rPr>
        <w:t>.</w:t>
      </w:r>
    </w:p>
    <w:p w14:paraId="7515A102" w14:textId="0A0D8F09" w:rsidR="00763BDB" w:rsidRPr="00030DB6" w:rsidRDefault="00975C91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hoạch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định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chính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sách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nên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phát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triển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chiến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lược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hiệu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quả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đối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phó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với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việc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gia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tăng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tại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khu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C9D">
        <w:rPr>
          <w:rFonts w:ascii="Arial" w:hAnsi="Arial" w:cs="Arial"/>
          <w:sz w:val="20"/>
          <w:szCs w:val="20"/>
        </w:rPr>
        <w:t>vực</w:t>
      </w:r>
      <w:proofErr w:type="spellEnd"/>
      <w:r w:rsidR="00940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tư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nhân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C2E55">
        <w:rPr>
          <w:rFonts w:ascii="Arial" w:hAnsi="Arial" w:cs="Arial"/>
          <w:sz w:val="20"/>
          <w:szCs w:val="20"/>
        </w:rPr>
        <w:t>Vận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hành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tốt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c</w:t>
      </w:r>
      <w:r w:rsidR="00940C9D">
        <w:rPr>
          <w:rFonts w:ascii="Arial" w:hAnsi="Arial" w:cs="Arial"/>
          <w:sz w:val="20"/>
          <w:szCs w:val="20"/>
        </w:rPr>
        <w:t>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khuôn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khổ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về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khả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năng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thanh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toán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được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vận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hành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tốt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có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thể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giúp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giải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quyết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doanh</w:t>
      </w:r>
      <w:proofErr w:type="spellEnd"/>
      <w:r w:rsidR="00DC2E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E55">
        <w:rPr>
          <w:rFonts w:ascii="Arial" w:hAnsi="Arial" w:cs="Arial"/>
          <w:sz w:val="20"/>
          <w:szCs w:val="20"/>
        </w:rPr>
        <w:t>nghiệp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không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hoạt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động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và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tạo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điều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kiện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thuận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lợi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cho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các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tái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cấu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DB6">
        <w:rPr>
          <w:rFonts w:ascii="Arial" w:hAnsi="Arial" w:cs="Arial"/>
          <w:sz w:val="20"/>
          <w:szCs w:val="20"/>
        </w:rPr>
        <w:t>trúc</w:t>
      </w:r>
      <w:proofErr w:type="spellEnd"/>
      <w:r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nhà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lastRenderedPageBreak/>
        <w:t>hoạch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định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cũng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cần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chuẩn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bị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>
        <w:rPr>
          <w:rFonts w:ascii="Arial" w:hAnsi="Arial" w:cs="Arial"/>
          <w:sz w:val="20"/>
          <w:szCs w:val="20"/>
        </w:rPr>
        <w:t>ứng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phó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với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những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động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của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tình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trạng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 w:rsidRPr="00030DB6">
        <w:rPr>
          <w:rFonts w:ascii="Arial" w:hAnsi="Arial" w:cs="Arial"/>
          <w:sz w:val="20"/>
          <w:szCs w:val="20"/>
        </w:rPr>
        <w:t>mất</w:t>
      </w:r>
      <w:proofErr w:type="spellEnd"/>
      <w:r w:rsidR="00F34C15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 w:rsidRPr="00030DB6">
        <w:rPr>
          <w:rFonts w:ascii="Arial" w:hAnsi="Arial" w:cs="Arial"/>
          <w:sz w:val="20"/>
          <w:szCs w:val="20"/>
        </w:rPr>
        <w:t>khả</w:t>
      </w:r>
      <w:proofErr w:type="spellEnd"/>
      <w:r w:rsidR="00F34C15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 w:rsidRPr="00030DB6">
        <w:rPr>
          <w:rFonts w:ascii="Arial" w:hAnsi="Arial" w:cs="Arial"/>
          <w:sz w:val="20"/>
          <w:szCs w:val="20"/>
        </w:rPr>
        <w:t>năng</w:t>
      </w:r>
      <w:proofErr w:type="spellEnd"/>
      <w:r w:rsidR="00F34C15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 w:rsidRPr="00030DB6">
        <w:rPr>
          <w:rFonts w:ascii="Arial" w:hAnsi="Arial" w:cs="Arial"/>
          <w:sz w:val="20"/>
          <w:szCs w:val="20"/>
        </w:rPr>
        <w:t>thanh</w:t>
      </w:r>
      <w:proofErr w:type="spellEnd"/>
      <w:r w:rsidR="00F34C15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 w:rsidRPr="00030DB6">
        <w:rPr>
          <w:rFonts w:ascii="Arial" w:hAnsi="Arial" w:cs="Arial"/>
          <w:sz w:val="20"/>
          <w:szCs w:val="20"/>
        </w:rPr>
        <w:t>toán</w:t>
      </w:r>
      <w:proofErr w:type="spellEnd"/>
      <w:r w:rsidR="00F34C15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của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 w:rsidRPr="00030DB6">
        <w:rPr>
          <w:rFonts w:ascii="Arial" w:hAnsi="Arial" w:cs="Arial"/>
          <w:sz w:val="20"/>
          <w:szCs w:val="20"/>
        </w:rPr>
        <w:t>doanh</w:t>
      </w:r>
      <w:proofErr w:type="spellEnd"/>
      <w:r w:rsidR="003940CD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 w:rsidRPr="00030DB6">
        <w:rPr>
          <w:rFonts w:ascii="Arial" w:hAnsi="Arial" w:cs="Arial"/>
          <w:sz w:val="20"/>
          <w:szCs w:val="20"/>
        </w:rPr>
        <w:t>nghiệp</w:t>
      </w:r>
      <w:proofErr w:type="spellEnd"/>
      <w:r w:rsidR="003940CD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3940CD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 w:rsidRPr="00030DB6">
        <w:rPr>
          <w:rFonts w:ascii="Arial" w:hAnsi="Arial" w:cs="Arial"/>
          <w:sz w:val="20"/>
          <w:szCs w:val="20"/>
        </w:rPr>
        <w:t>hộ</w:t>
      </w:r>
      <w:proofErr w:type="spellEnd"/>
      <w:r w:rsidR="003940CD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 w:rsidRPr="00030DB6">
        <w:rPr>
          <w:rFonts w:ascii="Arial" w:hAnsi="Arial" w:cs="Arial"/>
          <w:sz w:val="20"/>
          <w:szCs w:val="20"/>
        </w:rPr>
        <w:t>gia</w:t>
      </w:r>
      <w:proofErr w:type="spellEnd"/>
      <w:r w:rsidR="003940CD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 w:rsidRPr="00030DB6">
        <w:rPr>
          <w:rFonts w:ascii="Arial" w:hAnsi="Arial" w:cs="Arial"/>
          <w:sz w:val="20"/>
          <w:szCs w:val="20"/>
        </w:rPr>
        <w:t>đình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đối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với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các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ngân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hàng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và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tổ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chức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tài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chính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="00B75B6C">
        <w:rPr>
          <w:rFonts w:ascii="Arial" w:hAnsi="Arial" w:cs="Arial"/>
          <w:sz w:val="20"/>
          <w:szCs w:val="20"/>
        </w:rPr>
        <w:t>ngân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hàng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75B6C">
        <w:rPr>
          <w:rFonts w:ascii="Arial" w:hAnsi="Arial" w:cs="Arial"/>
          <w:sz w:val="20"/>
          <w:szCs w:val="20"/>
        </w:rPr>
        <w:t>cũng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5B6C">
        <w:rPr>
          <w:rFonts w:ascii="Arial" w:hAnsi="Arial" w:cs="Arial"/>
          <w:sz w:val="20"/>
          <w:szCs w:val="20"/>
        </w:rPr>
        <w:t>như</w:t>
      </w:r>
      <w:proofErr w:type="spellEnd"/>
      <w:r w:rsidR="00B75B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với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tài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khóa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>.</w:t>
      </w:r>
      <w:r w:rsidR="003940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cơ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quan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chức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năng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>
        <w:rPr>
          <w:rFonts w:ascii="Arial" w:hAnsi="Arial" w:cs="Arial"/>
          <w:sz w:val="20"/>
          <w:szCs w:val="20"/>
        </w:rPr>
        <w:t>cần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đảm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bảo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rằng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ngân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hàng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>
        <w:rPr>
          <w:rFonts w:ascii="Arial" w:hAnsi="Arial" w:cs="Arial"/>
          <w:sz w:val="20"/>
          <w:szCs w:val="20"/>
        </w:rPr>
        <w:t>có</w:t>
      </w:r>
      <w:proofErr w:type="spellEnd"/>
      <w:r w:rsidR="003940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>
        <w:rPr>
          <w:rFonts w:ascii="Arial" w:hAnsi="Arial" w:cs="Arial"/>
          <w:sz w:val="20"/>
          <w:szCs w:val="20"/>
        </w:rPr>
        <w:t>sẵn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chiến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lược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phục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hồi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đáng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cậy</w:t>
      </w:r>
      <w:proofErr w:type="spellEnd"/>
      <w:r w:rsidR="003940C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phát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triển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hoặc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cập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nhật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3940CD">
        <w:rPr>
          <w:rFonts w:ascii="Arial" w:hAnsi="Arial" w:cs="Arial"/>
          <w:sz w:val="20"/>
          <w:szCs w:val="20"/>
        </w:rPr>
        <w:t>các</w:t>
      </w:r>
      <w:proofErr w:type="spellEnd"/>
      <w:r w:rsidR="003940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kế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hoạch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dự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phòng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cho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tổ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chức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>
        <w:rPr>
          <w:rFonts w:ascii="Arial" w:hAnsi="Arial" w:cs="Arial"/>
          <w:sz w:val="20"/>
          <w:szCs w:val="20"/>
        </w:rPr>
        <w:t>dễ</w:t>
      </w:r>
      <w:proofErr w:type="spellEnd"/>
      <w:r w:rsidR="003940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>
        <w:rPr>
          <w:rFonts w:ascii="Arial" w:hAnsi="Arial" w:cs="Arial"/>
          <w:sz w:val="20"/>
          <w:szCs w:val="20"/>
        </w:rPr>
        <w:t>tổn</w:t>
      </w:r>
      <w:proofErr w:type="spellEnd"/>
      <w:r w:rsidR="003940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40CD">
        <w:rPr>
          <w:rFonts w:ascii="Arial" w:hAnsi="Arial" w:cs="Arial"/>
          <w:sz w:val="20"/>
          <w:szCs w:val="20"/>
        </w:rPr>
        <w:t>thương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34C15">
        <w:rPr>
          <w:rFonts w:ascii="Arial" w:hAnsi="Arial" w:cs="Arial"/>
          <w:sz w:val="20"/>
          <w:szCs w:val="20"/>
        </w:rPr>
        <w:t>Các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quốc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gia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cũng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cần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phát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triển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một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chiến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lược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tài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khóa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trung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hạn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đáng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cậy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để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đảm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bảo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nợ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ổn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định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trong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trung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hạn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>,</w:t>
      </w:r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trong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đó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xem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xét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tới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việc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kéo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dài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các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hỗ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trợ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có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thể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tăng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đáng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kể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phí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tài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>.</w:t>
      </w:r>
    </w:p>
    <w:p w14:paraId="24995A14" w14:textId="63073F38" w:rsidR="00763BDB" w:rsidRPr="00030DB6" w:rsidRDefault="003022B0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IMF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rằng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763BDB" w:rsidRPr="00030DB6">
        <w:rPr>
          <w:rFonts w:ascii="Arial" w:hAnsi="Arial" w:cs="Arial"/>
          <w:sz w:val="20"/>
          <w:szCs w:val="20"/>
        </w:rPr>
        <w:t>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nhà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hoạch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định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nên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áp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dụng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để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khuyến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khích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việc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quản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lý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chủ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động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hơn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các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rủi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ro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liên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quan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C15">
        <w:rPr>
          <w:rFonts w:ascii="Arial" w:hAnsi="Arial" w:cs="Arial"/>
          <w:sz w:val="20"/>
          <w:szCs w:val="20"/>
        </w:rPr>
        <w:t>biến</w:t>
      </w:r>
      <w:proofErr w:type="spellEnd"/>
      <w:r w:rsidR="00F3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đổi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khí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hậu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60E4C">
        <w:rPr>
          <w:rFonts w:ascii="Arial" w:hAnsi="Arial" w:cs="Arial"/>
          <w:sz w:val="20"/>
          <w:szCs w:val="20"/>
        </w:rPr>
        <w:t>D</w:t>
      </w:r>
      <w:r w:rsidR="00763BDB" w:rsidRPr="00030DB6">
        <w:rPr>
          <w:rFonts w:ascii="Arial" w:hAnsi="Arial" w:cs="Arial"/>
          <w:sz w:val="20"/>
          <w:szCs w:val="20"/>
        </w:rPr>
        <w:t>ịch</w:t>
      </w:r>
      <w:proofErr w:type="spellEnd"/>
      <w:r w:rsidR="00960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0E4C">
        <w:rPr>
          <w:rFonts w:ascii="Arial" w:hAnsi="Arial" w:cs="Arial"/>
          <w:sz w:val="20"/>
          <w:szCs w:val="20"/>
        </w:rPr>
        <w:t>bệnh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mặc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dù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ảnh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hưởng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tiêu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cực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môi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trường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hoạt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động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của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doanh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nghiệp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5059C">
        <w:rPr>
          <w:rFonts w:ascii="Arial" w:hAnsi="Arial" w:cs="Arial"/>
          <w:sz w:val="20"/>
          <w:szCs w:val="20"/>
        </w:rPr>
        <w:t>nhưng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lại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cho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thấy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một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cơ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hội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để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tạo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sự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phục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hồi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xanh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nhà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hoạch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định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nên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khuyến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khích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việc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định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giá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thích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hợp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rủi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ro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liên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quan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biến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đổi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khí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hậu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thôn</w:t>
      </w:r>
      <w:r w:rsidR="00A5059C">
        <w:rPr>
          <w:rFonts w:ascii="Arial" w:hAnsi="Arial" w:cs="Arial"/>
          <w:sz w:val="20"/>
          <w:szCs w:val="20"/>
        </w:rPr>
        <w:t>g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A5059C">
        <w:rPr>
          <w:rFonts w:ascii="Arial" w:hAnsi="Arial" w:cs="Arial"/>
          <w:sz w:val="20"/>
          <w:szCs w:val="20"/>
        </w:rPr>
        <w:t>làm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tốt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hoạt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động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truyền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thông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và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từng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bước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triển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khai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thuế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carbon, </w:t>
      </w:r>
      <w:proofErr w:type="spellStart"/>
      <w:r w:rsidR="00A5059C">
        <w:rPr>
          <w:rFonts w:ascii="Arial" w:hAnsi="Arial" w:cs="Arial"/>
          <w:sz w:val="20"/>
          <w:szCs w:val="20"/>
        </w:rPr>
        <w:t>công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bố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thông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về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rủi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ro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liên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quan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biến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đổi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khí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hậu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tăng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cường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stresstest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liên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quan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đến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biến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đổi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khí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hậu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với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các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tổ</w:t>
      </w:r>
      <w:proofErr w:type="spellEnd"/>
      <w:r w:rsidR="00A505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059C">
        <w:rPr>
          <w:rFonts w:ascii="Arial" w:hAnsi="Arial" w:cs="Arial"/>
          <w:sz w:val="20"/>
          <w:szCs w:val="20"/>
        </w:rPr>
        <w:t>chức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tài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BD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763BDB" w:rsidRPr="00030DB6">
        <w:rPr>
          <w:rFonts w:ascii="Arial" w:hAnsi="Arial" w:cs="Arial"/>
          <w:sz w:val="20"/>
          <w:szCs w:val="20"/>
        </w:rPr>
        <w:t xml:space="preserve">. </w:t>
      </w:r>
    </w:p>
    <w:p w14:paraId="770671E5" w14:textId="5F5D44D5" w:rsidR="00EC13EB" w:rsidRDefault="00BF5827" w:rsidP="00030D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</w:t>
      </w:r>
      <w:r w:rsidR="00EC13EB" w:rsidRPr="00030DB6">
        <w:rPr>
          <w:rFonts w:ascii="Arial" w:hAnsi="Arial" w:cs="Arial"/>
          <w:sz w:val="20"/>
          <w:szCs w:val="20"/>
        </w:rPr>
        <w:t>ác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sách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để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khuyến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khích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đầu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kỹ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thuật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nhằm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nâng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cao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hiệu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quả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khu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vực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tài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Đại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dịch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có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thể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đã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tăng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tốc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sự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chuyển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đổi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của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nền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kinh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tế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theo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hướng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số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hóa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Đầu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tư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kỹ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thuật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số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sẽ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cho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phép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tài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chính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hệ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thống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cắt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giảm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phí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mở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rộng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nhóm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dân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chưa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đó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nâng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tài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diện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Các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loại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tiền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kỹ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thuật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số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có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thể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tăng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hiệu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đặc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biệt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là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trong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thanh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toán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xuyên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biên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giới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tiếp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cận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dân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số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không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ngân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hàng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Tuy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nhiên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chúng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cần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quy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định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để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đảm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bảo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ổn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định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thống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nhất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22B0">
        <w:rPr>
          <w:rFonts w:ascii="Arial" w:hAnsi="Arial" w:cs="Arial"/>
          <w:sz w:val="20"/>
          <w:szCs w:val="20"/>
        </w:rPr>
        <w:t>đảm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bảo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việc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vận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an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cũng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22B0">
        <w:rPr>
          <w:rFonts w:ascii="Arial" w:hAnsi="Arial" w:cs="Arial"/>
          <w:sz w:val="20"/>
          <w:szCs w:val="20"/>
        </w:rPr>
        <w:t>như</w:t>
      </w:r>
      <w:proofErr w:type="spellEnd"/>
      <w:r w:rsidR="003022B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cạnh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tranh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và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bảo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vệ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người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tiêu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3EB" w:rsidRPr="00030DB6">
        <w:rPr>
          <w:rFonts w:ascii="Arial" w:hAnsi="Arial" w:cs="Arial"/>
          <w:sz w:val="20"/>
          <w:szCs w:val="20"/>
        </w:rPr>
        <w:t>dùng</w:t>
      </w:r>
      <w:proofErr w:type="spellEnd"/>
      <w:r w:rsidR="00EC13EB" w:rsidRPr="00030DB6">
        <w:rPr>
          <w:rFonts w:ascii="Arial" w:hAnsi="Arial" w:cs="Arial"/>
          <w:sz w:val="20"/>
          <w:szCs w:val="20"/>
        </w:rPr>
        <w:t>.</w:t>
      </w:r>
    </w:p>
    <w:p w14:paraId="12500063" w14:textId="444F5520" w:rsidR="00644D25" w:rsidRPr="003022B0" w:rsidRDefault="00960E4C" w:rsidP="00030DB6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960E4C">
        <w:rPr>
          <w:rFonts w:ascii="Arial" w:hAnsi="Arial" w:cs="Arial"/>
          <w:i/>
          <w:iCs/>
          <w:sz w:val="20"/>
          <w:szCs w:val="20"/>
        </w:rPr>
        <w:t>HN</w:t>
      </w:r>
      <w:proofErr w:type="spellEnd"/>
      <w:r w:rsidRPr="00960E4C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960E4C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960E4C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Pr="009629CA">
          <w:rPr>
            <w:rStyle w:val="Hyperlink"/>
            <w:rFonts w:ascii="Arial" w:hAnsi="Arial" w:cs="Arial"/>
            <w:i/>
            <w:iCs/>
            <w:sz w:val="20"/>
            <w:szCs w:val="20"/>
          </w:rPr>
          <w:t>IMF</w:t>
        </w:r>
      </w:hyperlink>
      <w:r w:rsidRPr="00960E4C">
        <w:rPr>
          <w:rFonts w:ascii="Arial" w:hAnsi="Arial" w:cs="Arial"/>
          <w:i/>
          <w:iCs/>
          <w:sz w:val="20"/>
          <w:szCs w:val="20"/>
        </w:rPr>
        <w:t>)</w:t>
      </w:r>
    </w:p>
    <w:sectPr w:rsidR="00644D25" w:rsidRPr="003022B0" w:rsidSect="0032423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Italic">
    <w:altName w:val="Cambria"/>
    <w:panose1 w:val="00000000000000000000"/>
    <w:charset w:val="00"/>
    <w:family w:val="roman"/>
    <w:notTrueType/>
    <w:pitch w:val="default"/>
  </w:font>
  <w:font w:name="AGaramondPro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97"/>
    <w:rsid w:val="00030DB6"/>
    <w:rsid w:val="00054A29"/>
    <w:rsid w:val="00064C55"/>
    <w:rsid w:val="000920E0"/>
    <w:rsid w:val="000A595E"/>
    <w:rsid w:val="000F75DF"/>
    <w:rsid w:val="00124812"/>
    <w:rsid w:val="00172C81"/>
    <w:rsid w:val="001E716A"/>
    <w:rsid w:val="0023023E"/>
    <w:rsid w:val="002A4399"/>
    <w:rsid w:val="003022B0"/>
    <w:rsid w:val="0032423C"/>
    <w:rsid w:val="00365806"/>
    <w:rsid w:val="003905E8"/>
    <w:rsid w:val="003940CD"/>
    <w:rsid w:val="003A42AD"/>
    <w:rsid w:val="003E4DB5"/>
    <w:rsid w:val="0044252F"/>
    <w:rsid w:val="00470774"/>
    <w:rsid w:val="00475CB6"/>
    <w:rsid w:val="00491596"/>
    <w:rsid w:val="004A7139"/>
    <w:rsid w:val="00532C8B"/>
    <w:rsid w:val="00535615"/>
    <w:rsid w:val="00644D25"/>
    <w:rsid w:val="006879E4"/>
    <w:rsid w:val="00741374"/>
    <w:rsid w:val="00763BDB"/>
    <w:rsid w:val="007B5AB8"/>
    <w:rsid w:val="0083187B"/>
    <w:rsid w:val="0084228D"/>
    <w:rsid w:val="00890E06"/>
    <w:rsid w:val="008B7987"/>
    <w:rsid w:val="008C2837"/>
    <w:rsid w:val="008D25B1"/>
    <w:rsid w:val="00940C9D"/>
    <w:rsid w:val="00960E4C"/>
    <w:rsid w:val="009629CA"/>
    <w:rsid w:val="00965B8A"/>
    <w:rsid w:val="00975C91"/>
    <w:rsid w:val="0098772F"/>
    <w:rsid w:val="009B7193"/>
    <w:rsid w:val="009D07B7"/>
    <w:rsid w:val="009D4812"/>
    <w:rsid w:val="009D6A12"/>
    <w:rsid w:val="00A15FEE"/>
    <w:rsid w:val="00A5059C"/>
    <w:rsid w:val="00A74293"/>
    <w:rsid w:val="00AB3812"/>
    <w:rsid w:val="00B60BFF"/>
    <w:rsid w:val="00B75B6C"/>
    <w:rsid w:val="00B944FB"/>
    <w:rsid w:val="00BB0300"/>
    <w:rsid w:val="00BD65AE"/>
    <w:rsid w:val="00BF5827"/>
    <w:rsid w:val="00C1044E"/>
    <w:rsid w:val="00C1539C"/>
    <w:rsid w:val="00C276DF"/>
    <w:rsid w:val="00C426B3"/>
    <w:rsid w:val="00D40668"/>
    <w:rsid w:val="00DA0021"/>
    <w:rsid w:val="00DA7B2F"/>
    <w:rsid w:val="00DC2E55"/>
    <w:rsid w:val="00DC7F5D"/>
    <w:rsid w:val="00DF7F9E"/>
    <w:rsid w:val="00E301D3"/>
    <w:rsid w:val="00E605F9"/>
    <w:rsid w:val="00E64097"/>
    <w:rsid w:val="00E93ABB"/>
    <w:rsid w:val="00EC13EB"/>
    <w:rsid w:val="00F06CEA"/>
    <w:rsid w:val="00F34C15"/>
    <w:rsid w:val="00F42589"/>
    <w:rsid w:val="00F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3167"/>
  <w15:chartTrackingRefBased/>
  <w15:docId w15:val="{94557A54-CAC2-44D4-8430-7915110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1539C"/>
    <w:rPr>
      <w:rFonts w:ascii="AGaramondPro-Italic" w:hAnsi="AGaramondPro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1539C"/>
    <w:rPr>
      <w:rFonts w:ascii="AGaramondPro-Regular" w:hAnsi="AGaramondPro-Regular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2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mf.org/en/Publications/GFSR/Issues/2020/10/13/global-financial-stability-report-october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6</cp:revision>
  <dcterms:created xsi:type="dcterms:W3CDTF">2020-10-22T01:30:00Z</dcterms:created>
  <dcterms:modified xsi:type="dcterms:W3CDTF">2020-10-22T01:53:00Z</dcterms:modified>
</cp:coreProperties>
</file>