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18059" w14:textId="2D161946" w:rsidR="001D121E" w:rsidRPr="00D71F15" w:rsidRDefault="007040BE" w:rsidP="00D71F15">
      <w:pPr>
        <w:pStyle w:val="ListParagraph"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rủi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bao </w:t>
      </w:r>
      <w:proofErr w:type="spellStart"/>
      <w:r>
        <w:rPr>
          <w:rFonts w:ascii="Arial" w:hAnsi="Arial" w:cs="Arial"/>
          <w:sz w:val="20"/>
          <w:szCs w:val="20"/>
        </w:rPr>
        <w:t>gồm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làn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sóng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dịch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quay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trở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lại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gây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tổn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hại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đến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toàn</w:t>
      </w:r>
      <w:proofErr w:type="spellEnd"/>
      <w:r w:rsidR="00AC67F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7F0" w:rsidRPr="00D71F15">
        <w:rPr>
          <w:rFonts w:ascii="Arial" w:hAnsi="Arial" w:cs="Arial"/>
          <w:sz w:val="20"/>
          <w:szCs w:val="20"/>
        </w:rPr>
        <w:t>cầu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đặc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biệt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khu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vực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vốn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đã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bị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6DF6" w:rsidRPr="00D71F15">
        <w:rPr>
          <w:rFonts w:ascii="Arial" w:hAnsi="Arial" w:cs="Arial"/>
          <w:sz w:val="20"/>
          <w:szCs w:val="20"/>
        </w:rPr>
        <w:t>làm</w:t>
      </w:r>
      <w:proofErr w:type="spellEnd"/>
      <w:r w:rsidR="002C6DF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gián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đoạn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quá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trình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phục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hồi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Ngoài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tác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nội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khối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từ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hoạt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Mỹ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EU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cũng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sẽ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có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tác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lan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tỏa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tăng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trưởng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âm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1CC6" w:rsidRPr="00D71F15">
        <w:rPr>
          <w:rFonts w:ascii="Arial" w:hAnsi="Arial" w:cs="Arial"/>
          <w:sz w:val="20"/>
          <w:szCs w:val="20"/>
        </w:rPr>
        <w:t>ASEAN+3</w:t>
      </w:r>
      <w:proofErr w:type="spellEnd"/>
      <w:r w:rsidR="002C1CC6" w:rsidRPr="00D71F1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Chế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độ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bảo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mậu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dịch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của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nước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một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480" w:rsidRPr="00D71F15">
        <w:rPr>
          <w:rFonts w:ascii="Arial" w:hAnsi="Arial" w:cs="Arial"/>
          <w:sz w:val="20"/>
          <w:szCs w:val="20"/>
        </w:rPr>
        <w:t>lần</w:t>
      </w:r>
      <w:proofErr w:type="spellEnd"/>
      <w:r w:rsidR="00AE548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6DF6" w:rsidRPr="00D71F15">
        <w:rPr>
          <w:rFonts w:ascii="Arial" w:hAnsi="Arial" w:cs="Arial"/>
          <w:sz w:val="20"/>
          <w:szCs w:val="20"/>
        </w:rPr>
        <w:t>nữa</w:t>
      </w:r>
      <w:proofErr w:type="spellEnd"/>
      <w:r w:rsidR="002C6DF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hiệ</w:t>
      </w:r>
      <w:r w:rsidR="00AB1246" w:rsidRPr="00D71F15">
        <w:rPr>
          <w:rFonts w:ascii="Arial" w:hAnsi="Arial" w:cs="Arial"/>
          <w:sz w:val="20"/>
          <w:szCs w:val="20"/>
        </w:rPr>
        <w:t>n</w:t>
      </w:r>
      <w:proofErr w:type="spellEnd"/>
      <w:r w:rsidR="00AB124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1246" w:rsidRPr="00D71F15">
        <w:rPr>
          <w:rFonts w:ascii="Arial" w:hAnsi="Arial" w:cs="Arial"/>
          <w:sz w:val="20"/>
          <w:szCs w:val="20"/>
        </w:rPr>
        <w:t>rõ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AB124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đóng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cửa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giữa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nước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0C2F" w:rsidRPr="00D71F15">
        <w:rPr>
          <w:rFonts w:ascii="Arial" w:hAnsi="Arial" w:cs="Arial"/>
          <w:sz w:val="20"/>
          <w:szCs w:val="20"/>
        </w:rPr>
        <w:t>đã</w:t>
      </w:r>
      <w:proofErr w:type="spellEnd"/>
      <w:r w:rsidR="00B80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làm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lộ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rõ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lỗ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hổng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chuỗi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cung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ứng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toàn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cầu</w:t>
      </w:r>
      <w:proofErr w:type="spellEnd"/>
      <w:r w:rsidR="002C1CC6" w:rsidRPr="00D71F1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Những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rủi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ro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bất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ổn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về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tài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chính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cầu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sụt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giảm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202" w:rsidRPr="00D71F15">
        <w:rPr>
          <w:rFonts w:ascii="Arial" w:hAnsi="Arial" w:cs="Arial"/>
          <w:sz w:val="20"/>
          <w:szCs w:val="20"/>
        </w:rPr>
        <w:t>khiến</w:t>
      </w:r>
      <w:proofErr w:type="spellEnd"/>
      <w:r w:rsidR="00392202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202" w:rsidRPr="00D71F15">
        <w:rPr>
          <w:rFonts w:ascii="Arial" w:hAnsi="Arial" w:cs="Arial"/>
          <w:sz w:val="20"/>
          <w:szCs w:val="20"/>
        </w:rPr>
        <w:t>nhiều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doanh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phá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sản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tỷ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lệ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thất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tăng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cao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gây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áp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lực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hệ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4736" w:rsidRPr="00D71F15">
        <w:rPr>
          <w:rFonts w:ascii="Arial" w:hAnsi="Arial" w:cs="Arial"/>
          <w:sz w:val="20"/>
          <w:szCs w:val="20"/>
        </w:rPr>
        <w:t>thố</w:t>
      </w:r>
      <w:r w:rsidR="008E23A9" w:rsidRPr="00D71F15">
        <w:rPr>
          <w:rFonts w:ascii="Arial" w:hAnsi="Arial" w:cs="Arial"/>
          <w:sz w:val="20"/>
          <w:szCs w:val="20"/>
        </w:rPr>
        <w:t>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ngân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hàng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khu</w:t>
      </w:r>
      <w:proofErr w:type="spellEnd"/>
      <w:r w:rsidR="008E23A9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3A9" w:rsidRPr="00D71F15">
        <w:rPr>
          <w:rFonts w:ascii="Arial" w:hAnsi="Arial" w:cs="Arial"/>
          <w:sz w:val="20"/>
          <w:szCs w:val="20"/>
        </w:rPr>
        <w:t>vự</w:t>
      </w:r>
      <w:r w:rsidR="002C1CC6" w:rsidRPr="00D71F15">
        <w:rPr>
          <w:rFonts w:ascii="Arial" w:hAnsi="Arial" w:cs="Arial"/>
          <w:sz w:val="20"/>
          <w:szCs w:val="20"/>
        </w:rPr>
        <w:t>c</w:t>
      </w:r>
      <w:proofErr w:type="spellEnd"/>
      <w:r w:rsidR="002C1CC6" w:rsidRPr="00D71F1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Tỷ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lệ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nợ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công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tăng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lên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khi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92758F" w:rsidRPr="00D71F15">
        <w:rPr>
          <w:rFonts w:ascii="Arial" w:hAnsi="Arial" w:cs="Arial"/>
          <w:sz w:val="20"/>
          <w:szCs w:val="20"/>
        </w:rPr>
        <w:t>hính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phủ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buộc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phải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cung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cấp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hỗ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trợ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tài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chính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cho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nền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nhằm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vượt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92758F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92758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đợt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ngừng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trệ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hoạt</w:t>
      </w:r>
      <w:proofErr w:type="spellEnd"/>
      <w:r w:rsidR="001D121E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21E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có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thể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gây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khủng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hoảng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vỡ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nợ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quốc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50C" w:rsidRPr="00D71F15">
        <w:rPr>
          <w:rFonts w:ascii="Arial" w:hAnsi="Arial" w:cs="Arial"/>
          <w:sz w:val="20"/>
          <w:szCs w:val="20"/>
        </w:rPr>
        <w:t>gia</w:t>
      </w:r>
      <w:proofErr w:type="spellEnd"/>
      <w:r w:rsidR="00E1650C" w:rsidRPr="00D71F15">
        <w:rPr>
          <w:rFonts w:ascii="Arial" w:hAnsi="Arial" w:cs="Arial"/>
          <w:sz w:val="20"/>
          <w:szCs w:val="20"/>
        </w:rPr>
        <w:t>.</w:t>
      </w:r>
    </w:p>
    <w:p w14:paraId="3CE5865D" w14:textId="77777777" w:rsidR="00F55909" w:rsidRPr="00D71F15" w:rsidRDefault="00F55909" w:rsidP="00D71F15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71F15">
        <w:rPr>
          <w:rFonts w:ascii="Arial" w:hAnsi="Arial" w:cs="Arial"/>
          <w:b/>
          <w:sz w:val="20"/>
          <w:szCs w:val="20"/>
        </w:rPr>
        <w:t>Tác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tới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nhu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cầu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ngoài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nước</w:t>
      </w:r>
      <w:proofErr w:type="spellEnd"/>
    </w:p>
    <w:p w14:paraId="4C6061D2" w14:textId="791D81A0" w:rsidR="00E81217" w:rsidRPr="00D71F15" w:rsidRDefault="0032029E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Tác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="00D278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7878">
        <w:rPr>
          <w:rFonts w:ascii="Arial" w:hAnsi="Arial" w:cs="Arial"/>
          <w:sz w:val="20"/>
          <w:szCs w:val="20"/>
        </w:rPr>
        <w:t>tới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xuất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toàn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666" w:rsidRPr="00D71F15">
        <w:rPr>
          <w:rFonts w:ascii="Arial" w:hAnsi="Arial" w:cs="Arial"/>
          <w:sz w:val="20"/>
          <w:szCs w:val="20"/>
        </w:rPr>
        <w:t>bắt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đầ</w:t>
      </w:r>
      <w:r w:rsidR="00DF3A21" w:rsidRPr="00D71F15">
        <w:rPr>
          <w:rFonts w:ascii="Arial" w:hAnsi="Arial" w:cs="Arial"/>
          <w:sz w:val="20"/>
          <w:szCs w:val="20"/>
        </w:rPr>
        <w:t>u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khi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Trung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Quốc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ngừng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666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31666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666" w:rsidRPr="00D71F15">
        <w:rPr>
          <w:rFonts w:ascii="Arial" w:hAnsi="Arial" w:cs="Arial"/>
          <w:sz w:val="20"/>
          <w:szCs w:val="20"/>
        </w:rPr>
        <w:t>nhà</w:t>
      </w:r>
      <w:proofErr w:type="spellEnd"/>
      <w:r w:rsidR="0031666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666" w:rsidRPr="00D71F15">
        <w:rPr>
          <w:rFonts w:ascii="Arial" w:hAnsi="Arial" w:cs="Arial"/>
          <w:sz w:val="20"/>
          <w:szCs w:val="20"/>
        </w:rPr>
        <w:t>máy</w:t>
      </w:r>
      <w:proofErr w:type="spellEnd"/>
      <w:r w:rsidR="0031666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nhằm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soát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sự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lây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dịch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bệnh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sóng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lây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nhiễm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rộng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khắp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châu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D71F15">
        <w:rPr>
          <w:rFonts w:ascii="Arial" w:hAnsi="Arial" w:cs="Arial"/>
          <w:sz w:val="20"/>
          <w:szCs w:val="20"/>
        </w:rPr>
        <w:t>chuỗi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ứng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bị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đoạn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hướng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thương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D27878">
        <w:rPr>
          <w:rFonts w:ascii="Arial" w:hAnsi="Arial" w:cs="Arial"/>
          <w:sz w:val="20"/>
          <w:szCs w:val="20"/>
        </w:rPr>
        <w:t>,</w:t>
      </w:r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vào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tháng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5/2020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t</w:t>
      </w:r>
      <w:r w:rsidRPr="00D71F15">
        <w:rPr>
          <w:rFonts w:ascii="Arial" w:hAnsi="Arial" w:cs="Arial"/>
          <w:sz w:val="20"/>
          <w:szCs w:val="20"/>
        </w:rPr>
        <w:t>ổng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lượng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xuất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khẩu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7,9% so </w:t>
      </w:r>
      <w:proofErr w:type="spellStart"/>
      <w:r w:rsidRPr="00D71F15">
        <w:rPr>
          <w:rFonts w:ascii="Arial" w:hAnsi="Arial" w:cs="Arial"/>
          <w:sz w:val="20"/>
          <w:szCs w:val="20"/>
        </w:rPr>
        <w:t>với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A21" w:rsidRPr="00D71F15">
        <w:rPr>
          <w:rFonts w:ascii="Arial" w:hAnsi="Arial" w:cs="Arial"/>
          <w:sz w:val="20"/>
          <w:szCs w:val="20"/>
        </w:rPr>
        <w:t>năm</w:t>
      </w:r>
      <w:proofErr w:type="spellEnd"/>
      <w:r w:rsidR="00DF3A2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trước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>.</w:t>
      </w:r>
      <w:r w:rsidR="004F7E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Trung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tâm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Nghiên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cứu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Vĩ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mô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ASEAN +3 (</w:t>
      </w:r>
      <w:proofErr w:type="spellStart"/>
      <w:r w:rsidR="004F7E65" w:rsidRPr="00D71F15">
        <w:rPr>
          <w:rFonts w:ascii="Arial" w:hAnsi="Arial" w:cs="Arial"/>
          <w:sz w:val="20"/>
          <w:szCs w:val="20"/>
        </w:rPr>
        <w:t>AMRO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4F7E65" w:rsidRPr="00D71F15">
        <w:rPr>
          <w:rFonts w:ascii="Arial" w:hAnsi="Arial" w:cs="Arial"/>
          <w:sz w:val="20"/>
          <w:szCs w:val="20"/>
        </w:rPr>
        <w:t>đánh</w:t>
      </w:r>
      <w:proofErr w:type="spellEnd"/>
      <w:r w:rsidR="004F7E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E65" w:rsidRPr="00D71F15">
        <w:rPr>
          <w:rFonts w:ascii="Arial" w:hAnsi="Arial" w:cs="Arial"/>
          <w:sz w:val="20"/>
          <w:szCs w:val="20"/>
        </w:rPr>
        <w:t>giá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triển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vọng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phục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hồi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xuất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khẩu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của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khu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vực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vẫn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còn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mong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manh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9DC" w:rsidRPr="00D71F15">
        <w:rPr>
          <w:rFonts w:ascii="Arial" w:hAnsi="Arial" w:cs="Arial"/>
          <w:sz w:val="20"/>
          <w:szCs w:val="20"/>
        </w:rPr>
        <w:t>trước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làn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sóng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788D">
        <w:rPr>
          <w:rFonts w:ascii="Arial" w:hAnsi="Arial" w:cs="Arial"/>
          <w:sz w:val="20"/>
          <w:szCs w:val="20"/>
        </w:rPr>
        <w:t>tái</w:t>
      </w:r>
      <w:proofErr w:type="spellEnd"/>
      <w:r w:rsidR="000178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bùng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phát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dịch</w:t>
      </w:r>
      <w:proofErr w:type="spellEnd"/>
      <w:r w:rsidR="009C5A7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F65" w:rsidRPr="00D71F15">
        <w:rPr>
          <w:rFonts w:ascii="Arial" w:hAnsi="Arial" w:cs="Arial"/>
          <w:sz w:val="20"/>
          <w:szCs w:val="20"/>
        </w:rPr>
        <w:t>trên</w:t>
      </w:r>
      <w:proofErr w:type="spellEnd"/>
      <w:r w:rsidR="007909D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9DC" w:rsidRPr="00D71F15">
        <w:rPr>
          <w:rFonts w:ascii="Arial" w:hAnsi="Arial" w:cs="Arial"/>
          <w:sz w:val="20"/>
          <w:szCs w:val="20"/>
        </w:rPr>
        <w:t>toàn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788D">
        <w:rPr>
          <w:rFonts w:ascii="Arial" w:hAnsi="Arial" w:cs="Arial"/>
          <w:sz w:val="20"/>
          <w:szCs w:val="20"/>
        </w:rPr>
        <w:t>cầu</w:t>
      </w:r>
      <w:proofErr w:type="spellEnd"/>
      <w:r w:rsidR="00270F65" w:rsidRPr="00D71F15">
        <w:rPr>
          <w:rFonts w:ascii="Arial" w:hAnsi="Arial" w:cs="Arial"/>
          <w:sz w:val="20"/>
          <w:szCs w:val="20"/>
        </w:rPr>
        <w:t>.</w:t>
      </w:r>
      <w:r w:rsidR="00077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Ngành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du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lịch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lữ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hành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với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giá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trị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300 </w:t>
      </w:r>
      <w:proofErr w:type="spellStart"/>
      <w:r w:rsidR="007B01BD" w:rsidRPr="00D71F15">
        <w:rPr>
          <w:rFonts w:ascii="Arial" w:hAnsi="Arial" w:cs="Arial"/>
          <w:sz w:val="20"/>
          <w:szCs w:val="20"/>
        </w:rPr>
        <w:t>tỷ</w:t>
      </w:r>
      <w:proofErr w:type="spellEnd"/>
      <w:r w:rsidR="007B01BD" w:rsidRPr="00D71F15">
        <w:rPr>
          <w:rFonts w:ascii="Arial" w:hAnsi="Arial" w:cs="Arial"/>
          <w:sz w:val="20"/>
          <w:szCs w:val="20"/>
        </w:rPr>
        <w:t xml:space="preserve"> USD</w:t>
      </w:r>
      <w:r w:rsidR="001E121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cũng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bị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nghiêm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trọng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Lượng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khách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du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lịch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tháng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4 </w:t>
      </w:r>
      <w:proofErr w:type="spellStart"/>
      <w:r w:rsidR="001E1215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1E1215" w:rsidRPr="00D71F15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giảm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95% so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với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cùng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kỳ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năm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ngoái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việc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đóng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biên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hạn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chế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đi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lạ</w:t>
      </w:r>
      <w:r w:rsidR="00EB4C76" w:rsidRPr="00D71F15">
        <w:rPr>
          <w:rFonts w:ascii="Arial" w:hAnsi="Arial" w:cs="Arial"/>
          <w:sz w:val="20"/>
          <w:szCs w:val="20"/>
        </w:rPr>
        <w:t>i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gây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tác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cực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kỳ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nghiêm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trọng</w:t>
      </w:r>
      <w:proofErr w:type="spellEnd"/>
      <w:r w:rsidR="00077C2F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đối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với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các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nền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như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Campuchia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>,</w:t>
      </w:r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Hồ</w:t>
      </w:r>
      <w:r w:rsidR="00EB4C76" w:rsidRPr="00D71F15">
        <w:rPr>
          <w:rFonts w:ascii="Arial" w:hAnsi="Arial" w:cs="Arial"/>
          <w:sz w:val="20"/>
          <w:szCs w:val="20"/>
        </w:rPr>
        <w:t>ng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C76" w:rsidRPr="00D71F15">
        <w:rPr>
          <w:rFonts w:ascii="Arial" w:hAnsi="Arial" w:cs="Arial"/>
          <w:sz w:val="20"/>
          <w:szCs w:val="20"/>
        </w:rPr>
        <w:t>Kông</w:t>
      </w:r>
      <w:proofErr w:type="spellEnd"/>
      <w:r w:rsidR="00EB4C76" w:rsidRPr="00D71F15">
        <w:rPr>
          <w:rFonts w:ascii="Arial" w:hAnsi="Arial" w:cs="Arial"/>
          <w:sz w:val="20"/>
          <w:szCs w:val="20"/>
        </w:rPr>
        <w:t>,</w:t>
      </w:r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Thái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Lan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Philipp</w:t>
      </w:r>
      <w:r w:rsidR="00EB4C76" w:rsidRPr="00D71F15">
        <w:rPr>
          <w:rFonts w:ascii="Arial" w:hAnsi="Arial" w:cs="Arial"/>
          <w:sz w:val="20"/>
          <w:szCs w:val="20"/>
        </w:rPr>
        <w:t>ines.</w:t>
      </w:r>
    </w:p>
    <w:p w14:paraId="28958C6F" w14:textId="65DBD95C" w:rsidR="00D47CC0" w:rsidRPr="00D71F15" w:rsidRDefault="00E61B8D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Bên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cạnh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khan </w:t>
      </w:r>
      <w:proofErr w:type="spellStart"/>
      <w:r w:rsidRPr="00D71F15">
        <w:rPr>
          <w:rFonts w:ascii="Arial" w:hAnsi="Arial" w:cs="Arial"/>
          <w:sz w:val="20"/>
          <w:szCs w:val="20"/>
        </w:rPr>
        <w:t>hiếm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việc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tỷ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7C2F" w:rsidRPr="00D71F15">
        <w:rPr>
          <w:rFonts w:ascii="Arial" w:hAnsi="Arial" w:cs="Arial"/>
          <w:sz w:val="20"/>
          <w:szCs w:val="20"/>
        </w:rPr>
        <w:t>cũng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trở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thành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D71F15">
        <w:rPr>
          <w:rFonts w:ascii="Arial" w:hAnsi="Arial" w:cs="Arial"/>
          <w:sz w:val="20"/>
          <w:szCs w:val="20"/>
        </w:rPr>
        <w:t>trên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toàn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1788D">
        <w:rPr>
          <w:rFonts w:ascii="Arial" w:hAnsi="Arial" w:cs="Arial"/>
          <w:sz w:val="20"/>
          <w:szCs w:val="20"/>
        </w:rPr>
        <w:t>Trong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ngắn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hạn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tình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trạng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mất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thu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nhập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trên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diện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rộng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có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thể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tác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ổn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định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tài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chính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rủi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ro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tín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dụng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gia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AD8" w:rsidRPr="00D71F15">
        <w:rPr>
          <w:rFonts w:ascii="Arial" w:hAnsi="Arial" w:cs="Arial"/>
          <w:sz w:val="20"/>
          <w:szCs w:val="20"/>
        </w:rPr>
        <w:t>tăng</w:t>
      </w:r>
      <w:proofErr w:type="spellEnd"/>
      <w:r w:rsidR="00763AD8"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1788D">
        <w:rPr>
          <w:rFonts w:ascii="Arial" w:hAnsi="Arial" w:cs="Arial"/>
          <w:sz w:val="20"/>
          <w:szCs w:val="20"/>
        </w:rPr>
        <w:t>Trong</w:t>
      </w:r>
      <w:proofErr w:type="spellEnd"/>
      <w:r w:rsidR="000178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dài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hạn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tỷ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lệ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thất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cao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kéo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dài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có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thể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gây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hậu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quả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nghiêm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trọng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về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xã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hội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gồm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đói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nghèo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hạn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chế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về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nguồn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lực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nhu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cầu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nước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c</w:t>
      </w:r>
      <w:r w:rsidR="00E81217" w:rsidRPr="00D71F15">
        <w:rPr>
          <w:rFonts w:ascii="Arial" w:hAnsi="Arial" w:cs="Arial"/>
          <w:sz w:val="20"/>
          <w:szCs w:val="20"/>
        </w:rPr>
        <w:t>ân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đối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tài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khóa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làm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giảm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tiềm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năng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tăng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trưởng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của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nền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217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E81217" w:rsidRPr="00D71F15">
        <w:rPr>
          <w:rFonts w:ascii="Arial" w:hAnsi="Arial" w:cs="Arial"/>
          <w:sz w:val="20"/>
          <w:szCs w:val="20"/>
        </w:rPr>
        <w:t xml:space="preserve">. </w:t>
      </w:r>
    </w:p>
    <w:p w14:paraId="0C393B52" w14:textId="77777777" w:rsidR="00B17413" w:rsidRPr="00D71F15" w:rsidRDefault="00BD0856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Mặc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dù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việc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cấp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người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nhằm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thúc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đẩy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D71F15">
        <w:rPr>
          <w:rFonts w:ascii="Arial" w:hAnsi="Arial" w:cs="Arial"/>
          <w:sz w:val="20"/>
          <w:szCs w:val="20"/>
        </w:rPr>
        <w:t>tiêu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s</w:t>
      </w:r>
      <w:r w:rsidR="00B17413" w:rsidRPr="00D71F15">
        <w:rPr>
          <w:rFonts w:ascii="Arial" w:hAnsi="Arial" w:cs="Arial"/>
          <w:sz w:val="20"/>
          <w:szCs w:val="20"/>
        </w:rPr>
        <w:t>ự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gián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đoạn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thị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trường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động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và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triển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vọng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phục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hồi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kinh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tế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ảm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đạm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vẫn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có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lớn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tới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niềm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của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người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tiêu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d</w:t>
      </w:r>
      <w:r w:rsidRPr="00D71F15">
        <w:rPr>
          <w:rFonts w:ascii="Arial" w:hAnsi="Arial" w:cs="Arial"/>
          <w:sz w:val="20"/>
          <w:szCs w:val="20"/>
        </w:rPr>
        <w:t>ùng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Nhu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cầu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tiêu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dù</w:t>
      </w:r>
      <w:r w:rsidR="000B075C" w:rsidRPr="00D71F15">
        <w:rPr>
          <w:rFonts w:ascii="Arial" w:hAnsi="Arial" w:cs="Arial"/>
          <w:sz w:val="20"/>
          <w:szCs w:val="20"/>
        </w:rPr>
        <w:t>ng</w:t>
      </w:r>
      <w:proofErr w:type="spellEnd"/>
      <w:r w:rsidR="000B075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075C" w:rsidRPr="00D71F15">
        <w:rPr>
          <w:rFonts w:ascii="Arial" w:hAnsi="Arial" w:cs="Arial"/>
          <w:sz w:val="20"/>
          <w:szCs w:val="20"/>
        </w:rPr>
        <w:t>sụt</w:t>
      </w:r>
      <w:proofErr w:type="spellEnd"/>
      <w:r w:rsidR="000B075C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075C" w:rsidRPr="00D71F15">
        <w:rPr>
          <w:rFonts w:ascii="Arial" w:hAnsi="Arial" w:cs="Arial"/>
          <w:sz w:val="20"/>
          <w:szCs w:val="20"/>
        </w:rPr>
        <w:t>giảm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0123" w:rsidRPr="00D71F15">
        <w:rPr>
          <w:rFonts w:ascii="Arial" w:hAnsi="Arial" w:cs="Arial"/>
          <w:sz w:val="20"/>
          <w:szCs w:val="20"/>
        </w:rPr>
        <w:t>kéo</w:t>
      </w:r>
      <w:proofErr w:type="spellEnd"/>
      <w:r w:rsidR="00F6012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0123" w:rsidRPr="00D71F15">
        <w:rPr>
          <w:rFonts w:ascii="Arial" w:hAnsi="Arial" w:cs="Arial"/>
          <w:sz w:val="20"/>
          <w:szCs w:val="20"/>
        </w:rPr>
        <w:t>theo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doanh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số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bán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lẻ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trên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toàn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khu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vực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giảm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đáng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kể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trong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nửa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đầu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413" w:rsidRPr="00D71F15">
        <w:rPr>
          <w:rFonts w:ascii="Arial" w:hAnsi="Arial" w:cs="Arial"/>
          <w:sz w:val="20"/>
          <w:szCs w:val="20"/>
        </w:rPr>
        <w:t>năm</w:t>
      </w:r>
      <w:proofErr w:type="spellEnd"/>
      <w:r w:rsidR="00B17413" w:rsidRPr="00D71F15">
        <w:rPr>
          <w:rFonts w:ascii="Arial" w:hAnsi="Arial" w:cs="Arial"/>
          <w:sz w:val="20"/>
          <w:szCs w:val="20"/>
        </w:rPr>
        <w:t xml:space="preserve"> 2020</w:t>
      </w:r>
      <w:r w:rsidR="00C73198"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60123" w:rsidRPr="00D71F15">
        <w:rPr>
          <w:rFonts w:ascii="Arial" w:hAnsi="Arial" w:cs="Arial"/>
          <w:sz w:val="20"/>
          <w:szCs w:val="20"/>
        </w:rPr>
        <w:t>Sự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về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71F15">
        <w:rPr>
          <w:rFonts w:ascii="Arial" w:hAnsi="Arial" w:cs="Arial"/>
          <w:sz w:val="20"/>
          <w:szCs w:val="20"/>
        </w:rPr>
        <w:t>trạng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71F15">
        <w:rPr>
          <w:rFonts w:ascii="Arial" w:hAnsi="Arial" w:cs="Arial"/>
          <w:sz w:val="20"/>
          <w:szCs w:val="20"/>
        </w:rPr>
        <w:t>đang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tiếp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niềm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tâm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lý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người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tiêu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0123" w:rsidRPr="00D71F15">
        <w:rPr>
          <w:rFonts w:ascii="Arial" w:hAnsi="Arial" w:cs="Arial"/>
          <w:sz w:val="20"/>
          <w:szCs w:val="20"/>
        </w:rPr>
        <w:t>dù</w:t>
      </w:r>
      <w:r w:rsidRPr="00D71F15">
        <w:rPr>
          <w:rFonts w:ascii="Arial" w:hAnsi="Arial" w:cs="Arial"/>
          <w:sz w:val="20"/>
          <w:szCs w:val="20"/>
        </w:rPr>
        <w:t>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ảnh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7CC0"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="00D47CC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nội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địa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>.</w:t>
      </w:r>
    </w:p>
    <w:p w14:paraId="0AA566B9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71F15">
        <w:rPr>
          <w:rFonts w:ascii="Arial" w:hAnsi="Arial" w:cs="Arial"/>
          <w:b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sách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áp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dụng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kỳ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bệnh</w:t>
      </w:r>
      <w:proofErr w:type="spellEnd"/>
    </w:p>
    <w:p w14:paraId="066287F3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ASEAN+3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NHTW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đưa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pháp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về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khóa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ứng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D71F15">
        <w:rPr>
          <w:rFonts w:ascii="Arial" w:hAnsi="Arial" w:cs="Arial"/>
          <w:sz w:val="20"/>
          <w:szCs w:val="20"/>
        </w:rPr>
        <w:t>ảnh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gói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khóa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11% GDP, ban </w:t>
      </w:r>
      <w:proofErr w:type="spellStart"/>
      <w:r w:rsidRPr="00D71F15">
        <w:rPr>
          <w:rFonts w:ascii="Arial" w:hAnsi="Arial" w:cs="Arial"/>
          <w:sz w:val="20"/>
          <w:szCs w:val="20"/>
        </w:rPr>
        <w:t>đầu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tập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thiết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yếu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y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kiểm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soát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bệnh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Pr="00D71F15">
        <w:rPr>
          <w:rFonts w:ascii="Arial" w:hAnsi="Arial" w:cs="Arial"/>
          <w:sz w:val="20"/>
          <w:szCs w:val="20"/>
        </w:rPr>
        <w:t>đó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gói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tập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hộ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hướng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hồi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 </w:t>
      </w:r>
    </w:p>
    <w:p w14:paraId="0D06265C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Về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chính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sách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tài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khóa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hầu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hết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phủ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tiếp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bằng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mặt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hộ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</w:t>
      </w:r>
      <w:r w:rsidR="001E1215" w:rsidRPr="00D71F15">
        <w:rPr>
          <w:rFonts w:ascii="Arial" w:hAnsi="Arial" w:cs="Arial"/>
          <w:sz w:val="20"/>
          <w:szCs w:val="20"/>
        </w:rPr>
        <w:t>ì</w:t>
      </w:r>
      <w:r w:rsidRPr="00D71F15">
        <w:rPr>
          <w:rFonts w:ascii="Arial" w:hAnsi="Arial" w:cs="Arial"/>
          <w:sz w:val="20"/>
          <w:szCs w:val="20"/>
        </w:rPr>
        <w:t>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người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tỏa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được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thông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thuế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tạm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miễn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D71F15">
        <w:rPr>
          <w:rFonts w:ascii="Arial" w:hAnsi="Arial" w:cs="Arial"/>
          <w:sz w:val="20"/>
          <w:szCs w:val="20"/>
        </w:rPr>
        <w:t>phí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lương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khoản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áp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 </w:t>
      </w:r>
    </w:p>
    <w:p w14:paraId="3FFA49ED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Về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chính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sách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tiền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tệ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F30" w:rsidRPr="00D71F15">
        <w:rPr>
          <w:rFonts w:ascii="Arial" w:hAnsi="Arial" w:cs="Arial"/>
          <w:sz w:val="20"/>
          <w:szCs w:val="20"/>
        </w:rPr>
        <w:t>NHTW</w:t>
      </w:r>
      <w:proofErr w:type="spellEnd"/>
      <w:r w:rsidR="00D02F3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thông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D71F15">
        <w:rPr>
          <w:rFonts w:ascii="Arial" w:hAnsi="Arial" w:cs="Arial"/>
          <w:sz w:val="20"/>
          <w:szCs w:val="20"/>
        </w:rPr>
        <w:t>kiểm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soát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tốt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lạm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lãi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suất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nhiều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nửa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đầu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dự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trữ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bắt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buộc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bơm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khoản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thống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khuyến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thương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tín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dụng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bảo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lãnh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phủ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vay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vừa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nhỏ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Ngoài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D71F15">
        <w:rPr>
          <w:rFonts w:ascii="Arial" w:hAnsi="Arial" w:cs="Arial"/>
          <w:sz w:val="20"/>
          <w:szCs w:val="20"/>
        </w:rPr>
        <w:t>một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số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F30" w:rsidRPr="00D71F15">
        <w:rPr>
          <w:rFonts w:ascii="Arial" w:hAnsi="Arial" w:cs="Arial"/>
          <w:sz w:val="20"/>
          <w:szCs w:val="20"/>
        </w:rPr>
        <w:t>NHTW</w:t>
      </w:r>
      <w:proofErr w:type="spellEnd"/>
      <w:r w:rsidR="00D02F30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mua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phiếu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phiếu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phủ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trên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thị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thứ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cấp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lên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thị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>.</w:t>
      </w:r>
    </w:p>
    <w:p w14:paraId="7FF2CCE7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Giám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sát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khu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vực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tài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chính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,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ngân</w:t>
      </w:r>
      <w:proofErr w:type="spellEnd"/>
      <w:r w:rsidRPr="00D71F1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71F15">
        <w:rPr>
          <w:rFonts w:ascii="Arial" w:hAnsi="Arial" w:cs="Arial"/>
          <w:i/>
          <w:sz w:val="20"/>
          <w:szCs w:val="20"/>
          <w:u w:val="single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đệm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vốn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thống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được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cải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từ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sau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cuộc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khủng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hoảng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Châu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Á.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16A7" w:rsidRPr="00D71F15">
        <w:rPr>
          <w:rFonts w:ascii="Arial" w:hAnsi="Arial" w:cs="Arial"/>
          <w:sz w:val="20"/>
          <w:szCs w:val="20"/>
        </w:rPr>
        <w:t>NHTW</w:t>
      </w:r>
      <w:proofErr w:type="spellEnd"/>
      <w:r w:rsidR="00DA16A7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D71F15">
        <w:rPr>
          <w:rFonts w:ascii="Arial" w:hAnsi="Arial" w:cs="Arial"/>
          <w:sz w:val="20"/>
          <w:szCs w:val="20"/>
        </w:rPr>
        <w:t>hành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loạt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định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tạm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nhằm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D71F15">
        <w:rPr>
          <w:rFonts w:ascii="Arial" w:hAnsi="Arial" w:cs="Arial"/>
          <w:sz w:val="20"/>
          <w:szCs w:val="20"/>
        </w:rPr>
        <w:t>toàn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thống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nới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lỏng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một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số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định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thương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nhằm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cải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niềm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người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tiêu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tiếp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những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pháp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thiết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sự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về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xấu</w:t>
      </w:r>
      <w:proofErr w:type="spellEnd"/>
      <w:r w:rsidRPr="00D71F15">
        <w:rPr>
          <w:rFonts w:ascii="Arial" w:hAnsi="Arial" w:cs="Arial"/>
          <w:sz w:val="20"/>
          <w:szCs w:val="20"/>
        </w:rPr>
        <w:t>.</w:t>
      </w:r>
    </w:p>
    <w:p w14:paraId="20ABC8E2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nước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tiếp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trì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khoảng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không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sách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thiết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D71F15">
        <w:rPr>
          <w:rFonts w:ascii="Arial" w:hAnsi="Arial" w:cs="Arial"/>
          <w:sz w:val="20"/>
          <w:szCs w:val="20"/>
        </w:rPr>
        <w:t>hành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sách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khóa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tiền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phù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hợp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hợp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bệnh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trở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 </w:t>
      </w:r>
    </w:p>
    <w:p w14:paraId="79464F74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71F15">
        <w:rPr>
          <w:rFonts w:ascii="Arial" w:hAnsi="Arial" w:cs="Arial"/>
          <w:b/>
          <w:sz w:val="20"/>
          <w:szCs w:val="20"/>
        </w:rPr>
        <w:t>Viễn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cảnh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thận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trọng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b/>
          <w:sz w:val="20"/>
          <w:szCs w:val="20"/>
        </w:rPr>
        <w:t>năm</w:t>
      </w:r>
      <w:proofErr w:type="spellEnd"/>
      <w:r w:rsidRPr="00D71F15">
        <w:rPr>
          <w:rFonts w:ascii="Arial" w:hAnsi="Arial" w:cs="Arial"/>
          <w:b/>
          <w:sz w:val="20"/>
          <w:szCs w:val="20"/>
        </w:rPr>
        <w:t xml:space="preserve"> 2020 – 2021</w:t>
      </w:r>
    </w:p>
    <w:p w14:paraId="19630EAD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lastRenderedPageBreak/>
        <w:t>AMRO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dự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báo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9/14 </w:t>
      </w:r>
      <w:proofErr w:type="spellStart"/>
      <w:r w:rsidRPr="00D71F15">
        <w:rPr>
          <w:rFonts w:ascii="Arial" w:hAnsi="Arial" w:cs="Arial"/>
          <w:sz w:val="20"/>
          <w:szCs w:val="20"/>
        </w:rPr>
        <w:t>thị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trường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ASEAN+3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sẽ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âm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ASEAN </w:t>
      </w:r>
      <w:proofErr w:type="spellStart"/>
      <w:r w:rsidRPr="00D71F15">
        <w:rPr>
          <w:rFonts w:ascii="Arial" w:hAnsi="Arial" w:cs="Arial"/>
          <w:sz w:val="20"/>
          <w:szCs w:val="20"/>
        </w:rPr>
        <w:t>có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r w:rsidR="00102BB9" w:rsidRPr="00D71F15">
        <w:rPr>
          <w:rFonts w:ascii="Arial" w:hAnsi="Arial" w:cs="Arial"/>
          <w:sz w:val="20"/>
          <w:szCs w:val="20"/>
        </w:rPr>
        <w:t>-</w:t>
      </w:r>
      <w:r w:rsidRPr="00D71F15">
        <w:rPr>
          <w:rFonts w:ascii="Arial" w:hAnsi="Arial" w:cs="Arial"/>
          <w:sz w:val="20"/>
          <w:szCs w:val="20"/>
        </w:rPr>
        <w:t xml:space="preserve">2.6%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2020. </w:t>
      </w:r>
      <w:proofErr w:type="spellStart"/>
      <w:r w:rsidRPr="00D71F15">
        <w:rPr>
          <w:rFonts w:ascii="Arial" w:hAnsi="Arial" w:cs="Arial"/>
          <w:sz w:val="20"/>
          <w:szCs w:val="20"/>
        </w:rPr>
        <w:t>AMRO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vọng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nước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sẽ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hồi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tăng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bình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6%.</w:t>
      </w:r>
    </w:p>
    <w:p w14:paraId="0836CE4E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chưa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xác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định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điểm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kết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thúc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bênh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việc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khởi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xuất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D71F15">
        <w:rPr>
          <w:rFonts w:ascii="Arial" w:hAnsi="Arial" w:cs="Arial"/>
          <w:sz w:val="20"/>
          <w:szCs w:val="20"/>
        </w:rPr>
        <w:t>một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số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tín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tốt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hoạt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khởi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được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chóng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nước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Nhật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Hàn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Trung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Quốc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cùng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nhóm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BCLMV</w:t>
      </w:r>
      <w:proofErr w:type="spellEnd"/>
      <w:r w:rsidR="007D7B4A" w:rsidRPr="00D71F15">
        <w:rPr>
          <w:rFonts w:ascii="Arial" w:hAnsi="Arial" w:cs="Arial"/>
          <w:sz w:val="20"/>
          <w:szCs w:val="20"/>
        </w:rPr>
        <w:t xml:space="preserve"> (Brunei, Cambodia, </w:t>
      </w:r>
      <w:proofErr w:type="spellStart"/>
      <w:r w:rsidR="007D7B4A" w:rsidRPr="00D71F15">
        <w:rPr>
          <w:rFonts w:ascii="Arial" w:hAnsi="Arial" w:cs="Arial"/>
          <w:sz w:val="20"/>
          <w:szCs w:val="20"/>
        </w:rPr>
        <w:t>Lào</w:t>
      </w:r>
      <w:proofErr w:type="spellEnd"/>
      <w:r w:rsidR="007D7B4A" w:rsidRPr="00D71F15">
        <w:rPr>
          <w:rFonts w:ascii="Arial" w:hAnsi="Arial" w:cs="Arial"/>
          <w:sz w:val="20"/>
          <w:szCs w:val="20"/>
        </w:rPr>
        <w:t xml:space="preserve">, Myanmar, </w:t>
      </w:r>
      <w:proofErr w:type="spellStart"/>
      <w:r w:rsidR="007D7B4A" w:rsidRPr="00D71F15">
        <w:rPr>
          <w:rFonts w:ascii="Arial" w:hAnsi="Arial" w:cs="Arial"/>
          <w:sz w:val="20"/>
          <w:szCs w:val="20"/>
        </w:rPr>
        <w:t>Việt</w:t>
      </w:r>
      <w:proofErr w:type="spellEnd"/>
      <w:r w:rsidR="007D7B4A" w:rsidRPr="00D71F15">
        <w:rPr>
          <w:rFonts w:ascii="Arial" w:hAnsi="Arial" w:cs="Arial"/>
          <w:sz w:val="20"/>
          <w:szCs w:val="20"/>
        </w:rPr>
        <w:t xml:space="preserve"> Nam)</w:t>
      </w:r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chóng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biện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pháp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ứng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</w:t>
      </w:r>
      <w:r w:rsidR="00BE4691" w:rsidRPr="00D71F15">
        <w:rPr>
          <w:rFonts w:ascii="Arial" w:hAnsi="Arial" w:cs="Arial"/>
          <w:sz w:val="20"/>
          <w:szCs w:val="20"/>
        </w:rPr>
        <w:t>ch</w:t>
      </w:r>
      <w:proofErr w:type="spellEnd"/>
      <w:r w:rsidR="00BE4691"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691" w:rsidRPr="00D71F15">
        <w:rPr>
          <w:rFonts w:ascii="Arial" w:hAnsi="Arial" w:cs="Arial"/>
          <w:sz w:val="20"/>
          <w:szCs w:val="20"/>
        </w:rPr>
        <w:t>bệ</w:t>
      </w:r>
      <w:r w:rsidRPr="00D71F15">
        <w:rPr>
          <w:rFonts w:ascii="Arial" w:hAnsi="Arial" w:cs="Arial"/>
          <w:sz w:val="20"/>
          <w:szCs w:val="20"/>
        </w:rPr>
        <w:t>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15">
        <w:rPr>
          <w:rFonts w:ascii="Arial" w:hAnsi="Arial" w:cs="Arial"/>
          <w:sz w:val="20"/>
          <w:szCs w:val="20"/>
        </w:rPr>
        <w:t>Trong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nhóm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ASEAN-5 </w:t>
      </w:r>
      <w:proofErr w:type="spellStart"/>
      <w:r w:rsidRPr="00D71F15">
        <w:rPr>
          <w:rFonts w:ascii="Arial" w:hAnsi="Arial" w:cs="Arial"/>
          <w:sz w:val="20"/>
          <w:szCs w:val="20"/>
        </w:rPr>
        <w:t>sẽ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nhiều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thời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hồi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số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D71F15">
        <w:rPr>
          <w:rFonts w:ascii="Arial" w:hAnsi="Arial" w:cs="Arial"/>
          <w:sz w:val="20"/>
          <w:szCs w:val="20"/>
        </w:rPr>
        <w:t>nhiễm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vẫn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D71F15">
        <w:rPr>
          <w:rFonts w:ascii="Arial" w:hAnsi="Arial" w:cs="Arial"/>
          <w:sz w:val="20"/>
          <w:szCs w:val="20"/>
        </w:rPr>
        <w:t>mức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cao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một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số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nướ</w:t>
      </w:r>
      <w:r w:rsidR="00BE4691" w:rsidRPr="00D71F15">
        <w:rPr>
          <w:rFonts w:ascii="Arial" w:hAnsi="Arial" w:cs="Arial"/>
          <w:sz w:val="20"/>
          <w:szCs w:val="20"/>
        </w:rPr>
        <w:t>c</w:t>
      </w:r>
      <w:proofErr w:type="spellEnd"/>
      <w:r w:rsidR="00BE4691" w:rsidRPr="00D71F15">
        <w:rPr>
          <w:rFonts w:ascii="Arial" w:hAnsi="Arial" w:cs="Arial"/>
          <w:sz w:val="20"/>
          <w:szCs w:val="20"/>
        </w:rPr>
        <w:t>.</w:t>
      </w:r>
    </w:p>
    <w:p w14:paraId="39953671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1F15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D71F15">
        <w:rPr>
          <w:rFonts w:ascii="Arial" w:hAnsi="Arial" w:cs="Arial"/>
          <w:sz w:val="20"/>
          <w:szCs w:val="20"/>
        </w:rPr>
        <w:t>AMRO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03 </w:t>
      </w:r>
      <w:proofErr w:type="spellStart"/>
      <w:r w:rsidRPr="00D71F15">
        <w:rPr>
          <w:rFonts w:ascii="Arial" w:hAnsi="Arial" w:cs="Arial"/>
          <w:sz w:val="20"/>
          <w:szCs w:val="20"/>
        </w:rPr>
        <w:t>nội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D71F15">
        <w:rPr>
          <w:rFonts w:ascii="Arial" w:hAnsi="Arial" w:cs="Arial"/>
          <w:sz w:val="20"/>
          <w:szCs w:val="20"/>
        </w:rPr>
        <w:t>quan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trọng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cần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được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toán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đến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nền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bước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giai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đoạ</w:t>
      </w:r>
      <w:r w:rsidR="00BF4896" w:rsidRPr="00D71F15">
        <w:rPr>
          <w:rFonts w:ascii="Arial" w:hAnsi="Arial" w:cs="Arial"/>
          <w:sz w:val="20"/>
          <w:szCs w:val="20"/>
        </w:rPr>
        <w:t>n</w:t>
      </w:r>
      <w:proofErr w:type="spellEnd"/>
      <w:r w:rsidR="007D7B4A" w:rsidRPr="00D71F15">
        <w:rPr>
          <w:rFonts w:ascii="Arial" w:hAnsi="Arial" w:cs="Arial"/>
          <w:sz w:val="20"/>
          <w:szCs w:val="20"/>
        </w:rPr>
        <w:t xml:space="preserve"> </w:t>
      </w:r>
      <w:r w:rsidRPr="00D71F15">
        <w:rPr>
          <w:rFonts w:ascii="Arial" w:hAnsi="Arial" w:cs="Arial"/>
          <w:sz w:val="20"/>
          <w:szCs w:val="20"/>
        </w:rPr>
        <w:t>“</w:t>
      </w:r>
      <w:proofErr w:type="spellStart"/>
      <w:r w:rsidRPr="00D71F15">
        <w:rPr>
          <w:rFonts w:ascii="Arial" w:hAnsi="Arial" w:cs="Arial"/>
          <w:sz w:val="20"/>
          <w:szCs w:val="20"/>
        </w:rPr>
        <w:t>hậu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>”: (</w:t>
      </w:r>
      <w:proofErr w:type="spellStart"/>
      <w:r w:rsidRPr="00D71F15">
        <w:rPr>
          <w:rFonts w:ascii="Arial" w:hAnsi="Arial" w:cs="Arial"/>
          <w:sz w:val="20"/>
          <w:szCs w:val="20"/>
        </w:rPr>
        <w:t>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71F15">
        <w:rPr>
          <w:rFonts w:ascii="Arial" w:hAnsi="Arial" w:cs="Arial"/>
          <w:sz w:val="20"/>
          <w:szCs w:val="20"/>
        </w:rPr>
        <w:t>Cắt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khoản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hỗ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doanh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nghiệp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chính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D71F15">
        <w:rPr>
          <w:rFonts w:ascii="Arial" w:hAnsi="Arial" w:cs="Arial"/>
          <w:sz w:val="20"/>
          <w:szCs w:val="20"/>
        </w:rPr>
        <w:t>toàn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khóa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; (ii) </w:t>
      </w:r>
      <w:proofErr w:type="spellStart"/>
      <w:r w:rsidRPr="00D71F15">
        <w:rPr>
          <w:rFonts w:ascii="Arial" w:hAnsi="Arial" w:cs="Arial"/>
          <w:sz w:val="20"/>
          <w:szCs w:val="20"/>
        </w:rPr>
        <w:t>Xây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dựng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quy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định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trả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nợ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một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r w:rsidR="007D7B4A" w:rsidRPr="00D71F15">
        <w:rPr>
          <w:rFonts w:ascii="Arial" w:hAnsi="Arial" w:cs="Arial"/>
          <w:sz w:val="20"/>
          <w:szCs w:val="20"/>
        </w:rPr>
        <w:t>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phù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hợp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tránh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việc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sử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dụng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sai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mục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đích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D71F15">
        <w:rPr>
          <w:rFonts w:ascii="Arial" w:hAnsi="Arial" w:cs="Arial"/>
          <w:sz w:val="20"/>
          <w:szCs w:val="20"/>
        </w:rPr>
        <w:t>toàn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bảng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71F15">
        <w:rPr>
          <w:rFonts w:ascii="Arial" w:hAnsi="Arial" w:cs="Arial"/>
          <w:sz w:val="20"/>
          <w:szCs w:val="20"/>
        </w:rPr>
        <w:t>và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(iii) </w:t>
      </w:r>
      <w:proofErr w:type="spellStart"/>
      <w:r w:rsidRPr="00D71F15">
        <w:rPr>
          <w:rFonts w:ascii="Arial" w:hAnsi="Arial" w:cs="Arial"/>
          <w:sz w:val="20"/>
          <w:szCs w:val="20"/>
        </w:rPr>
        <w:t>Chấm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dứt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bơm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thanh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khoản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vào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hệ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thống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ngân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hàng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giảm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rủi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ro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bong </w:t>
      </w:r>
      <w:proofErr w:type="spellStart"/>
      <w:r w:rsidRPr="00D71F15">
        <w:rPr>
          <w:rFonts w:ascii="Arial" w:hAnsi="Arial" w:cs="Arial"/>
          <w:sz w:val="20"/>
          <w:szCs w:val="20"/>
        </w:rPr>
        <w:t>bóng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tài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sản</w:t>
      </w:r>
      <w:proofErr w:type="spellEnd"/>
      <w:r w:rsidRPr="00D71F15">
        <w:rPr>
          <w:rFonts w:ascii="Arial" w:hAnsi="Arial" w:cs="Arial"/>
          <w:sz w:val="20"/>
          <w:szCs w:val="20"/>
        </w:rPr>
        <w:t>.</w:t>
      </w:r>
    </w:p>
    <w:p w14:paraId="2C56580E" w14:textId="77777777" w:rsidR="007F2AA5" w:rsidRPr="00D71F15" w:rsidRDefault="007F2AA5" w:rsidP="00D71F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71F15">
        <w:rPr>
          <w:rFonts w:ascii="Arial" w:hAnsi="Arial" w:cs="Arial"/>
          <w:sz w:val="20"/>
          <w:szCs w:val="20"/>
        </w:rPr>
        <w:t>Tuy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nhiên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tóm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rủi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ro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lớn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nhất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đối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với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khu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vực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vẫn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là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diễn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biến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của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dịch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bệnh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15">
        <w:rPr>
          <w:rFonts w:ascii="Arial" w:hAnsi="Arial" w:cs="Arial"/>
          <w:sz w:val="20"/>
          <w:szCs w:val="20"/>
        </w:rPr>
        <w:t>có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thể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ảnh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hưởng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đến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các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kế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hoạch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tái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khởi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động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kinh</w:t>
      </w:r>
      <w:proofErr w:type="spellEnd"/>
      <w:r w:rsidRPr="00D71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15">
        <w:rPr>
          <w:rFonts w:ascii="Arial" w:hAnsi="Arial" w:cs="Arial"/>
          <w:sz w:val="20"/>
          <w:szCs w:val="20"/>
        </w:rPr>
        <w:t>tế</w:t>
      </w:r>
      <w:proofErr w:type="spellEnd"/>
      <w:r w:rsidRPr="00D71F15">
        <w:rPr>
          <w:rFonts w:ascii="Arial" w:hAnsi="Arial" w:cs="Arial"/>
          <w:sz w:val="20"/>
          <w:szCs w:val="20"/>
        </w:rPr>
        <w:t>.</w:t>
      </w:r>
    </w:p>
    <w:p w14:paraId="4031CBDF" w14:textId="07B41B6A" w:rsidR="00E03EA3" w:rsidRPr="00D71F15" w:rsidRDefault="00D71F15" w:rsidP="00D71F15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D71F15">
        <w:rPr>
          <w:rFonts w:ascii="Arial" w:hAnsi="Arial" w:cs="Arial"/>
          <w:b/>
          <w:bCs/>
          <w:i/>
          <w:iCs/>
          <w:sz w:val="20"/>
          <w:szCs w:val="20"/>
        </w:rPr>
        <w:t>HTQT</w:t>
      </w:r>
      <w:proofErr w:type="spellEnd"/>
      <w:r w:rsidRPr="00D71F1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5" w:history="1">
        <w:r w:rsidRPr="005A3E59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(</w:t>
        </w:r>
        <w:proofErr w:type="spellStart"/>
        <w:r w:rsidRPr="005A3E59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theo</w:t>
        </w:r>
        <w:proofErr w:type="spellEnd"/>
        <w:r w:rsidRPr="005A3E59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CF3BFD">
          <w:rPr>
            <w:rStyle w:val="Hyperlink"/>
            <w:rFonts w:ascii="Arial" w:hAnsi="Arial" w:cs="Arial"/>
            <w:i/>
            <w:iCs/>
            <w:color w:val="4F81BD" w:themeColor="accent1"/>
            <w:sz w:val="20"/>
            <w:szCs w:val="20"/>
            <w:u w:val="none"/>
          </w:rPr>
          <w:t>A</w:t>
        </w:r>
        <w:r w:rsidR="00CF3BFD" w:rsidRPr="00CF3BFD">
          <w:rPr>
            <w:rStyle w:val="Hyperlink"/>
            <w:rFonts w:ascii="Arial" w:hAnsi="Arial" w:cs="Arial"/>
            <w:i/>
            <w:iCs/>
            <w:color w:val="4F81BD" w:themeColor="accent1"/>
            <w:sz w:val="20"/>
            <w:szCs w:val="20"/>
            <w:u w:val="none"/>
          </w:rPr>
          <w:t>MRO</w:t>
        </w:r>
        <w:proofErr w:type="spellEnd"/>
        <w:r w:rsidRPr="005A3E59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)</w:t>
        </w:r>
      </w:hyperlink>
    </w:p>
    <w:sectPr w:rsidR="00E03EA3" w:rsidRPr="00D71F15" w:rsidSect="00145559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0D7"/>
    <w:multiLevelType w:val="hybridMultilevel"/>
    <w:tmpl w:val="0BD8DF60"/>
    <w:lvl w:ilvl="0" w:tplc="D354E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44F7"/>
    <w:multiLevelType w:val="hybridMultilevel"/>
    <w:tmpl w:val="06761BAC"/>
    <w:lvl w:ilvl="0" w:tplc="1C542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40E2"/>
    <w:multiLevelType w:val="hybridMultilevel"/>
    <w:tmpl w:val="F594E09E"/>
    <w:lvl w:ilvl="0" w:tplc="B060E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0B"/>
    <w:rsid w:val="0001788D"/>
    <w:rsid w:val="000718D9"/>
    <w:rsid w:val="000729D6"/>
    <w:rsid w:val="0007435F"/>
    <w:rsid w:val="00077C2F"/>
    <w:rsid w:val="00090068"/>
    <w:rsid w:val="0009661B"/>
    <w:rsid w:val="000B075C"/>
    <w:rsid w:val="000B0AEF"/>
    <w:rsid w:val="00102BB9"/>
    <w:rsid w:val="001219EB"/>
    <w:rsid w:val="001370F4"/>
    <w:rsid w:val="00145559"/>
    <w:rsid w:val="00151E34"/>
    <w:rsid w:val="00165A1B"/>
    <w:rsid w:val="0018041A"/>
    <w:rsid w:val="001D121E"/>
    <w:rsid w:val="001E1215"/>
    <w:rsid w:val="0021658C"/>
    <w:rsid w:val="002218B2"/>
    <w:rsid w:val="00270F65"/>
    <w:rsid w:val="002C1CC6"/>
    <w:rsid w:val="002C5F54"/>
    <w:rsid w:val="002C6DF6"/>
    <w:rsid w:val="0030095C"/>
    <w:rsid w:val="00316666"/>
    <w:rsid w:val="0032029E"/>
    <w:rsid w:val="00325EBD"/>
    <w:rsid w:val="00337C07"/>
    <w:rsid w:val="00392202"/>
    <w:rsid w:val="003D7C72"/>
    <w:rsid w:val="004142F1"/>
    <w:rsid w:val="0048360B"/>
    <w:rsid w:val="004D0860"/>
    <w:rsid w:val="004D58F2"/>
    <w:rsid w:val="004F7E65"/>
    <w:rsid w:val="00515CA0"/>
    <w:rsid w:val="00542D93"/>
    <w:rsid w:val="00552E7C"/>
    <w:rsid w:val="005617C3"/>
    <w:rsid w:val="00567712"/>
    <w:rsid w:val="005A3E59"/>
    <w:rsid w:val="00691051"/>
    <w:rsid w:val="006A707B"/>
    <w:rsid w:val="006B1B04"/>
    <w:rsid w:val="007040BE"/>
    <w:rsid w:val="00744736"/>
    <w:rsid w:val="00751520"/>
    <w:rsid w:val="00763AD8"/>
    <w:rsid w:val="00764D43"/>
    <w:rsid w:val="007909DC"/>
    <w:rsid w:val="007972D2"/>
    <w:rsid w:val="007B01BD"/>
    <w:rsid w:val="007D2627"/>
    <w:rsid w:val="007D7B4A"/>
    <w:rsid w:val="007F2AA5"/>
    <w:rsid w:val="008358D2"/>
    <w:rsid w:val="00890FE7"/>
    <w:rsid w:val="008C72EE"/>
    <w:rsid w:val="008E23A9"/>
    <w:rsid w:val="0092758F"/>
    <w:rsid w:val="00955B06"/>
    <w:rsid w:val="00971736"/>
    <w:rsid w:val="009C5A73"/>
    <w:rsid w:val="00A16346"/>
    <w:rsid w:val="00A23D02"/>
    <w:rsid w:val="00A772AA"/>
    <w:rsid w:val="00AB1246"/>
    <w:rsid w:val="00AC378C"/>
    <w:rsid w:val="00AC67F0"/>
    <w:rsid w:val="00AE5480"/>
    <w:rsid w:val="00B17413"/>
    <w:rsid w:val="00B275A1"/>
    <w:rsid w:val="00B4776C"/>
    <w:rsid w:val="00B511FB"/>
    <w:rsid w:val="00B60960"/>
    <w:rsid w:val="00B80C2F"/>
    <w:rsid w:val="00B80EB2"/>
    <w:rsid w:val="00BB19C6"/>
    <w:rsid w:val="00BC6CE7"/>
    <w:rsid w:val="00BD0856"/>
    <w:rsid w:val="00BE4691"/>
    <w:rsid w:val="00BF4896"/>
    <w:rsid w:val="00C26B5A"/>
    <w:rsid w:val="00C34AD0"/>
    <w:rsid w:val="00C73198"/>
    <w:rsid w:val="00C767ED"/>
    <w:rsid w:val="00CF3BFD"/>
    <w:rsid w:val="00D02F30"/>
    <w:rsid w:val="00D27878"/>
    <w:rsid w:val="00D47CC0"/>
    <w:rsid w:val="00D621D0"/>
    <w:rsid w:val="00D71F15"/>
    <w:rsid w:val="00DA16A7"/>
    <w:rsid w:val="00DE725A"/>
    <w:rsid w:val="00DF3A21"/>
    <w:rsid w:val="00E03EA3"/>
    <w:rsid w:val="00E1650C"/>
    <w:rsid w:val="00E45E2A"/>
    <w:rsid w:val="00E60DE6"/>
    <w:rsid w:val="00E61B8D"/>
    <w:rsid w:val="00E81217"/>
    <w:rsid w:val="00E82463"/>
    <w:rsid w:val="00EB0082"/>
    <w:rsid w:val="00EB4C76"/>
    <w:rsid w:val="00ED1826"/>
    <w:rsid w:val="00F55909"/>
    <w:rsid w:val="00F60123"/>
    <w:rsid w:val="00F94BEF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F97B"/>
  <w15:docId w15:val="{6E545733-CCEF-430C-BDA9-B506C7C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E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ro-asia.org/wp-content/uploads/2020/08/AREO_Update_August-2020_For-posting_12Augu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 Trang (HTQT)</dc:creator>
  <cp:lastModifiedBy>Nam Mai</cp:lastModifiedBy>
  <cp:revision>93</cp:revision>
  <dcterms:created xsi:type="dcterms:W3CDTF">2020-09-08T04:05:00Z</dcterms:created>
  <dcterms:modified xsi:type="dcterms:W3CDTF">2020-11-25T02:52:00Z</dcterms:modified>
</cp:coreProperties>
</file>