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C0" w:rsidRDefault="007874F6" w:rsidP="00B83839">
      <w:pPr>
        <w:pStyle w:val="Body"/>
        <w:spacing w:line="360" w:lineRule="auto"/>
        <w:jc w:val="both"/>
        <w:rPr>
          <w:rFonts w:ascii="Arial" w:eastAsia="Arial" w:hAnsi="Arial" w:cs="Arial"/>
        </w:rPr>
      </w:pPr>
      <w:r>
        <w:rPr>
          <w:rFonts w:ascii="Arial" w:hAnsi="Arial"/>
        </w:rPr>
        <w:t xml:space="preserve">Information on results of monetary policy management in November of 2016 </w:t>
      </w:r>
    </w:p>
    <w:p w:rsidR="007D1AF5" w:rsidRDefault="007874F6" w:rsidP="00B83839">
      <w:pPr>
        <w:pStyle w:val="Body"/>
        <w:spacing w:line="360" w:lineRule="auto"/>
        <w:ind w:firstLine="567"/>
        <w:jc w:val="both"/>
        <w:rPr>
          <w:rFonts w:ascii="Arial" w:hAnsi="Arial"/>
        </w:rPr>
      </w:pPr>
      <w:r>
        <w:rPr>
          <w:rFonts w:ascii="Arial" w:hAnsi="Arial"/>
          <w:b/>
          <w:bCs/>
        </w:rPr>
        <w:t>1.</w:t>
      </w:r>
      <w:r>
        <w:rPr>
          <w:rFonts w:ascii="Arial" w:hAnsi="Arial"/>
        </w:rPr>
        <w:t xml:space="preserve"> </w:t>
      </w:r>
      <w:r w:rsidR="007D1AF5">
        <w:rPr>
          <w:rFonts w:ascii="Arial" w:hAnsi="Arial"/>
        </w:rPr>
        <w:t>Results of monetary policy management</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Implementing the instructions of the National Assembly, the Government and the objective set by SBV Governor in Directive No. 01/CT–NHNN, in November and the first 11 months of 2016, the SBV conducted several decisive and synchronous measures in order to contribute in controlling inflation, stabilising macro-economy, and supporting economic growth. Specific results of monetary policy management are as follows: </w:t>
      </w:r>
    </w:p>
    <w:p w:rsidR="008C70C0" w:rsidRDefault="007874F6" w:rsidP="00B83839">
      <w:pPr>
        <w:pStyle w:val="Body"/>
        <w:spacing w:line="360" w:lineRule="auto"/>
        <w:ind w:firstLine="567"/>
        <w:jc w:val="both"/>
        <w:rPr>
          <w:rFonts w:ascii="Arial" w:eastAsia="Arial" w:hAnsi="Arial" w:cs="Arial"/>
        </w:rPr>
      </w:pPr>
      <w:r>
        <w:rPr>
          <w:rFonts w:ascii="Arial" w:hAnsi="Arial"/>
        </w:rPr>
        <w:t>- The SBV's effective manageme</w:t>
      </w:r>
      <w:bookmarkStart w:id="0" w:name="_GoBack"/>
      <w:bookmarkEnd w:id="0"/>
      <w:r>
        <w:rPr>
          <w:rFonts w:ascii="Arial" w:hAnsi="Arial"/>
        </w:rPr>
        <w:t xml:space="preserve">nt of money supply created favorable conditions for stabilizing interest-rates and reducing the pressure on lending interest-rates, supporting Government bond issuance while at the same time supporting the stabilisation of the forex market and increasing international reserves, ensuring inflation management. </w:t>
      </w:r>
    </w:p>
    <w:p w:rsidR="008C70C0" w:rsidRDefault="007874F6" w:rsidP="00B83839">
      <w:pPr>
        <w:pStyle w:val="Body"/>
        <w:spacing w:line="360" w:lineRule="auto"/>
        <w:ind w:firstLine="567"/>
        <w:jc w:val="both"/>
        <w:rPr>
          <w:rFonts w:ascii="Arial" w:eastAsia="Arial" w:hAnsi="Arial" w:cs="Arial"/>
        </w:rPr>
      </w:pPr>
      <w:r>
        <w:rPr>
          <w:rFonts w:ascii="Arial" w:hAnsi="Arial"/>
        </w:rPr>
        <w:t>- The total liquidity increased as compared to the same period but still did not create pressures</w:t>
      </w:r>
      <w:r>
        <w:rPr>
          <w:rFonts w:ascii="Arial" w:hAnsi="Arial"/>
          <w:lang w:val="fr-FR"/>
        </w:rPr>
        <w:t xml:space="preserve"> on inflation management. </w:t>
      </w:r>
      <w:r>
        <w:rPr>
          <w:rFonts w:ascii="Arial" w:hAnsi="Arial"/>
        </w:rPr>
        <w:t xml:space="preserve">Inflation was relatively stable when the CPI increased sharply due to the price adjustment of State-managed commodities.  By November 22, 2016, the total liquidity and capital mobilization increased by 14.92% and 15.28% respectively. The liquidity of the system of credit institutions was ensured; the inter-bank market operated smoothly.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The SBV managed interest-rates in line with macroeconomic and </w:t>
      </w:r>
      <w:proofErr w:type="gramStart"/>
      <w:r>
        <w:rPr>
          <w:rFonts w:ascii="Arial" w:hAnsi="Arial"/>
        </w:rPr>
        <w:t>money-market</w:t>
      </w:r>
      <w:proofErr w:type="gramEnd"/>
      <w:r>
        <w:rPr>
          <w:rFonts w:ascii="Arial" w:hAnsi="Arial"/>
        </w:rPr>
        <w:t xml:space="preserve"> development in order to keep stable interest rates through the whole year 2016 in the context of inflation pressure increasing, the demand of government bond issuance was widened and credit growth continued to go up. The SBV proactively regulated the excessive liquidity of the banking system and maintained low interest-rates for the inter-</w:t>
      </w:r>
      <w:r>
        <w:rPr>
          <w:rFonts w:ascii="Arial" w:hAnsi="Arial"/>
        </w:rPr>
        <w:lastRenderedPageBreak/>
        <w:t xml:space="preserve">bank market in order to stabilise mobilizing interest rates, to reduce business costs and improve the effectiveness of business towards reducing lending interest support for domestic business and production, and managing inflation effectively. </w:t>
      </w:r>
    </w:p>
    <w:p w:rsidR="008C70C0" w:rsidRPr="00B83839" w:rsidRDefault="007874F6" w:rsidP="00B83839">
      <w:pPr>
        <w:pStyle w:val="Body"/>
        <w:spacing w:line="360" w:lineRule="auto"/>
        <w:ind w:firstLine="567"/>
        <w:jc w:val="both"/>
        <w:rPr>
          <w:rFonts w:ascii="Arial" w:eastAsia="Arial" w:hAnsi="Arial" w:cs="Arial"/>
          <w:color w:val="000000" w:themeColor="text1"/>
        </w:rPr>
      </w:pPr>
      <w:r>
        <w:rPr>
          <w:rFonts w:ascii="Arial" w:hAnsi="Arial"/>
          <w:lang w:val="es-ES_tradnl"/>
        </w:rPr>
        <w:t xml:space="preserve">- SBV continued </w:t>
      </w:r>
      <w:r>
        <w:rPr>
          <w:rFonts w:ascii="Arial" w:hAnsi="Arial"/>
        </w:rPr>
        <w:t>to make a series of decisive solutions to ensure safe credit growth with a focus on the production sector, especially in priority fields as defined by the Government, creating favorable conditions for enterprises to access bank loans and strictly managing loans provided to risky potential sectors as well as increasing</w:t>
      </w:r>
      <w:r>
        <w:rPr>
          <w:rFonts w:ascii="Arial" w:hAnsi="Arial"/>
          <w:color w:val="FF0000"/>
          <w:u w:color="FF0000"/>
          <w:lang w:val="it-IT"/>
        </w:rPr>
        <w:t xml:space="preserve"> </w:t>
      </w:r>
      <w:r w:rsidRPr="00B83839">
        <w:rPr>
          <w:rFonts w:ascii="Arial" w:hAnsi="Arial"/>
          <w:color w:val="000000" w:themeColor="text1"/>
          <w:u w:color="FF0000"/>
          <w:lang w:val="it-IT"/>
        </w:rPr>
        <w:t>risk</w:t>
      </w:r>
      <w:r w:rsidRPr="00B83839">
        <w:rPr>
          <w:rFonts w:ascii="Arial" w:hAnsi="Arial"/>
          <w:color w:val="000000" w:themeColor="text1"/>
          <w:u w:color="FF0000"/>
        </w:rPr>
        <w:t>-weighting for  receivable loans for real estate business.</w:t>
      </w:r>
      <w:r w:rsidRPr="00B83839">
        <w:rPr>
          <w:rFonts w:ascii="Arial" w:hAnsi="Arial"/>
          <w:color w:val="000000" w:themeColor="text1"/>
        </w:rPr>
        <w:t xml:space="preserve"> </w:t>
      </w:r>
    </w:p>
    <w:p w:rsidR="008C70C0" w:rsidRDefault="007874F6" w:rsidP="00B83839">
      <w:pPr>
        <w:pStyle w:val="Body"/>
        <w:spacing w:line="360" w:lineRule="auto"/>
        <w:ind w:firstLine="567"/>
        <w:jc w:val="both"/>
        <w:rPr>
          <w:rFonts w:ascii="Arial" w:eastAsia="Arial" w:hAnsi="Arial" w:cs="Arial"/>
        </w:rPr>
      </w:pPr>
      <w:r>
        <w:rPr>
          <w:rFonts w:ascii="Arial" w:hAnsi="Arial"/>
        </w:rPr>
        <w:t>- By November 28, 2016, the credit growth of the whole banking sector to the economy was 14.57 % as compared to the end of 2015, credit by foreign currencies increased by 3.49% in line with the guidance of the Government on anti-dollarization. The credit structure is appropriately managed and being transformed  towards focusing more on business and production, especially for agricultural restructure and maritime rearing, supporting industry, SMEs, exports and high-</w:t>
      </w:r>
      <w:r>
        <w:rPr>
          <w:rFonts w:ascii="Arial" w:hAnsi="Arial"/>
          <w:lang w:val="fr-FR"/>
        </w:rPr>
        <w:t xml:space="preserve">tech application enterprises.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The daily reference exchange rate was regulated in a flexible manner on the basis of closely watching the domestic macroeconomic balance, the interbank money market movement and the international market situation. The supply and demand of foreign currency moved favorably, the exchange-rate and forex market were stable. However, from the beginning of November, the strong fluctuations on the international market together with psychological factors in the domestic market caused a significant increase of the </w:t>
      </w:r>
      <w:r>
        <w:rPr>
          <w:rFonts w:ascii="Arial" w:hAnsi="Arial"/>
          <w:lang w:val="fr-FR"/>
        </w:rPr>
        <w:t>exchange</w:t>
      </w:r>
      <w:r>
        <w:rPr>
          <w:rFonts w:ascii="Arial" w:hAnsi="Arial"/>
        </w:rPr>
        <w:t xml:space="preserve">-rate in the domestic market. This is understandable as, from </w:t>
      </w:r>
      <w:proofErr w:type="gramStart"/>
      <w:r>
        <w:rPr>
          <w:rFonts w:ascii="Arial" w:hAnsi="Arial"/>
        </w:rPr>
        <w:t>2016,</w:t>
      </w:r>
      <w:proofErr w:type="gramEnd"/>
      <w:r>
        <w:rPr>
          <w:rFonts w:ascii="Arial" w:hAnsi="Arial"/>
        </w:rPr>
        <w:t xml:space="preserve"> the SBV changed its mechanism of foreign exchange management to make it more flexible to allow foreign exchange-rates to operate more </w:t>
      </w:r>
      <w:r>
        <w:rPr>
          <w:rFonts w:ascii="Arial" w:hAnsi="Arial"/>
        </w:rPr>
        <w:lastRenderedPageBreak/>
        <w:t>appropriately in relation to</w:t>
      </w:r>
      <w:r>
        <w:rPr>
          <w:rFonts w:ascii="Arial" w:hAnsi="Arial"/>
          <w:lang w:val="fr-FR"/>
        </w:rPr>
        <w:t xml:space="preserve"> international and domestic market movement</w:t>
      </w:r>
      <w:r>
        <w:rPr>
          <w:rFonts w:ascii="Arial" w:hAnsi="Arial"/>
        </w:rPr>
        <w:t xml:space="preserve">s. While the US dollar and other currencies fluctuated strongly, the supply and demand of foreign currencies remained normal in the domestic market, the liquidity of credit institutions was good, and the legitimate demand of foreign currencies of institutions and individuals has been met fully and promptly. </w:t>
      </w:r>
    </w:p>
    <w:p w:rsidR="008C70C0" w:rsidRDefault="007874F6" w:rsidP="00B83839">
      <w:pPr>
        <w:pStyle w:val="Body"/>
        <w:spacing w:line="360" w:lineRule="auto"/>
        <w:ind w:firstLine="567"/>
        <w:jc w:val="both"/>
        <w:rPr>
          <w:rFonts w:ascii="Arial" w:eastAsia="Arial" w:hAnsi="Arial" w:cs="Arial"/>
        </w:rPr>
      </w:pPr>
      <w:r>
        <w:rPr>
          <w:rFonts w:ascii="Arial" w:hAnsi="Arial"/>
        </w:rPr>
        <w:t>- Regarding the implementation of the scheme to</w:t>
      </w:r>
      <w:r>
        <w:rPr>
          <w:rFonts w:ascii="Arial" w:hAnsi="Arial"/>
          <w:lang w:val="fr-FR"/>
        </w:rPr>
        <w:t xml:space="preserve"> restructure credit institutions </w:t>
      </w:r>
      <w:proofErr w:type="gramStart"/>
      <w:r>
        <w:rPr>
          <w:rFonts w:ascii="Arial" w:hAnsi="Arial"/>
        </w:rPr>
        <w:t>between 2011-2015</w:t>
      </w:r>
      <w:proofErr w:type="gramEnd"/>
      <w:r>
        <w:rPr>
          <w:rFonts w:ascii="Arial" w:hAnsi="Arial"/>
        </w:rPr>
        <w:t xml:space="preserve"> and the process of consolidation, the </w:t>
      </w:r>
      <w:r>
        <w:rPr>
          <w:rFonts w:ascii="Arial" w:hAnsi="Arial"/>
          <w:lang w:val="fr-FR"/>
        </w:rPr>
        <w:t>restructur</w:t>
      </w:r>
      <w:r>
        <w:rPr>
          <w:rFonts w:ascii="Arial" w:hAnsi="Arial"/>
        </w:rPr>
        <w:t xml:space="preserve">ing of credit institutions has basically achieved the objectives set by the Government in Decision No.254/QĐ-Tag dated March 1st, 2012. The safe and sound performance of credit institutions has been maintained and improved; weak credit institutions have been managed and controlled in order to reduce the number of weak banks and accelerate the comprehensive restructuring process effectively.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NPLs have been significantly resolved and remained at below 3% in line with the objectives set out in the </w:t>
      </w:r>
      <w:r>
        <w:rPr>
          <w:rFonts w:ascii="Arial" w:hAnsi="Arial"/>
          <w:lang w:val="de-DE"/>
        </w:rPr>
        <w:t xml:space="preserve">NPL Scheme </w:t>
      </w:r>
      <w:r>
        <w:rPr>
          <w:rFonts w:ascii="Arial" w:hAnsi="Arial"/>
        </w:rPr>
        <w:t xml:space="preserve">for </w:t>
      </w:r>
      <w:r>
        <w:rPr>
          <w:rFonts w:ascii="Arial" w:hAnsi="Arial"/>
          <w:lang w:val="de-DE"/>
        </w:rPr>
        <w:t>credit institutions under Decision 843/QD-Tag</w:t>
      </w:r>
      <w:r>
        <w:rPr>
          <w:rFonts w:ascii="Arial" w:hAnsi="Arial"/>
        </w:rPr>
        <w:t xml:space="preserve">, dated May 31 2013. Capital flow has been significantly unlocked, bank loans continued to expand and distributed in line with the objectives of socio–economic innovation and development. The result of credit institution restructuring has positively affected credit institutions themselves but also supported the restructure of enterprises, the financial market and investment, and contributed to </w:t>
      </w:r>
      <w:proofErr w:type="gramStart"/>
      <w:r>
        <w:rPr>
          <w:rFonts w:ascii="Arial" w:hAnsi="Arial"/>
        </w:rPr>
        <w:t>accelerating  economic</w:t>
      </w:r>
      <w:proofErr w:type="gramEnd"/>
      <w:r>
        <w:rPr>
          <w:rFonts w:ascii="Arial" w:hAnsi="Arial"/>
        </w:rPr>
        <w:t xml:space="preserve"> growth and maintaining macroeconomic stability. </w:t>
      </w:r>
    </w:p>
    <w:p w:rsidR="008C70C0" w:rsidRDefault="007874F6" w:rsidP="00B83839">
      <w:pPr>
        <w:pStyle w:val="Body"/>
        <w:spacing w:line="360" w:lineRule="auto"/>
        <w:ind w:firstLine="567"/>
        <w:jc w:val="both"/>
        <w:rPr>
          <w:rFonts w:ascii="Arial" w:eastAsia="Arial" w:hAnsi="Arial" w:cs="Arial"/>
          <w:b/>
          <w:bCs/>
        </w:rPr>
      </w:pPr>
      <w:r>
        <w:rPr>
          <w:rFonts w:ascii="Arial" w:hAnsi="Arial"/>
          <w:b/>
          <w:bCs/>
        </w:rPr>
        <w:t>2. The guidance for monetary policy management and banking operations in the coming months</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Based on the directions of the National Assembly and the Government, and the assessment and observations on the macroeconomic, monetary and domestic situations in 2017, the SBV will continue to manage monetary policy in a proactive and flexible manner in </w:t>
      </w:r>
      <w:r>
        <w:rPr>
          <w:rFonts w:ascii="Arial" w:hAnsi="Arial"/>
        </w:rPr>
        <w:lastRenderedPageBreak/>
        <w:t xml:space="preserve">close association with fiscal policy to control inflation, stabilize the macro-economy, control inflation and support economic growth at a reasonable level. The whole banking sector will have to focus on the effective implementation of the following key tasks as follows: </w:t>
      </w:r>
    </w:p>
    <w:p w:rsidR="008C70C0" w:rsidRDefault="007874F6" w:rsidP="00B83839">
      <w:pPr>
        <w:pStyle w:val="Body"/>
        <w:spacing w:line="360" w:lineRule="auto"/>
        <w:ind w:firstLine="567"/>
        <w:jc w:val="both"/>
        <w:rPr>
          <w:rFonts w:ascii="Arial" w:eastAsia="Arial" w:hAnsi="Arial" w:cs="Arial"/>
        </w:rPr>
      </w:pPr>
      <w:r>
        <w:rPr>
          <w:rFonts w:ascii="Arial" w:hAnsi="Arial"/>
        </w:rPr>
        <w:t>- To regulate consistent and synchronous tools of monetary policy in order to stabilise the money market, to ensure the liquidity of credit institution systems, effectively supply capital for the economy in order to to support the stabilisation of the exchange rate and increase</w:t>
      </w:r>
      <w:r>
        <w:rPr>
          <w:rFonts w:ascii="Arial" w:hAnsi="Arial"/>
          <w:lang w:val="fr-FR"/>
        </w:rPr>
        <w:t xml:space="preserve"> international reserve</w:t>
      </w:r>
      <w:r>
        <w:rPr>
          <w:rFonts w:ascii="Arial" w:hAnsi="Arial"/>
        </w:rPr>
        <w:t xml:space="preserve">s in line with practical conditions and the objective of targeted inflation control. </w:t>
      </w:r>
    </w:p>
    <w:p w:rsidR="008C70C0" w:rsidRDefault="007874F6" w:rsidP="00B83839">
      <w:pPr>
        <w:pStyle w:val="Body"/>
        <w:spacing w:line="360" w:lineRule="auto"/>
        <w:ind w:firstLine="567"/>
        <w:jc w:val="both"/>
        <w:rPr>
          <w:rFonts w:ascii="Arial" w:eastAsia="Arial" w:hAnsi="Arial" w:cs="Arial"/>
        </w:rPr>
      </w:pPr>
      <w:r>
        <w:rPr>
          <w:rFonts w:ascii="Arial" w:hAnsi="Arial"/>
        </w:rPr>
        <w:t>- For interest-</w:t>
      </w:r>
      <w:r>
        <w:rPr>
          <w:rFonts w:ascii="Arial" w:hAnsi="Arial"/>
          <w:lang w:val="fr-FR"/>
        </w:rPr>
        <w:t xml:space="preserve">rate regulation, </w:t>
      </w:r>
      <w:r>
        <w:rPr>
          <w:rFonts w:ascii="Arial" w:hAnsi="Arial"/>
        </w:rPr>
        <w:t xml:space="preserve">the SBV will continue to enforce decisive measures toward stabilising interest-rates as the same levels achieved in 2016. </w:t>
      </w:r>
    </w:p>
    <w:p w:rsidR="008C70C0" w:rsidRDefault="007874F6" w:rsidP="00B83839">
      <w:pPr>
        <w:pStyle w:val="Body"/>
        <w:spacing w:line="360" w:lineRule="auto"/>
        <w:ind w:firstLine="567"/>
        <w:jc w:val="both"/>
        <w:rPr>
          <w:rFonts w:ascii="Arial" w:eastAsia="Arial" w:hAnsi="Arial" w:cs="Arial"/>
        </w:rPr>
      </w:pPr>
      <w:r>
        <w:rPr>
          <w:rFonts w:ascii="Arial" w:hAnsi="Arial"/>
        </w:rPr>
        <w:t xml:space="preserve">- Based on the </w:t>
      </w:r>
      <w:r>
        <w:rPr>
          <w:rFonts w:ascii="Arial" w:hAnsi="Arial"/>
          <w:lang w:val="nl-NL"/>
        </w:rPr>
        <w:t>macroeconomic object</w:t>
      </w:r>
      <w:r>
        <w:rPr>
          <w:rFonts w:ascii="Arial" w:hAnsi="Arial"/>
        </w:rPr>
        <w:t>ives set out by the National Assembly and the Government, the SBV has formulated credit growth targets for the whole of 2017 and will manage credit growth of the whole system of credit institutions in line with set targets and monetary policy management objectives in order to ensure safe and effective lending and to continue creating preferable conditions for enterprises to access bank loans. Banking loans will focus on priority fields in line with with guidance from the Government and strictly control lending to potentially risky sectors.</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To continue to strictly manage lending in foreign currencies in line with the anti-dollarization plan. In the context of production and the socio-economic situation in the face of various dif</w:t>
      </w:r>
      <w:r w:rsidR="005F0332">
        <w:rPr>
          <w:rFonts w:ascii="Arial" w:hAnsi="Arial"/>
          <w:lang w:val="sv-SE"/>
        </w:rPr>
        <w:t>ficulties, especially for</w:t>
      </w:r>
      <w:r>
        <w:rPr>
          <w:rFonts w:ascii="Arial" w:hAnsi="Arial"/>
          <w:lang w:val="sv-SE"/>
        </w:rPr>
        <w:t xml:space="preserve"> export enterprises, the SBV issued a circular permitting credit institutions to consider and decide to lend to their clients in foreign currencies to meet short-term capital demands to support production and export commodity businesses untill December 31, 2017. </w:t>
      </w:r>
    </w:p>
    <w:p w:rsidR="008C70C0" w:rsidRDefault="007874F6" w:rsidP="00B83839">
      <w:pPr>
        <w:pStyle w:val="Body"/>
        <w:spacing w:line="360" w:lineRule="auto"/>
        <w:ind w:firstLine="567"/>
        <w:jc w:val="both"/>
        <w:rPr>
          <w:rFonts w:ascii="Arial" w:eastAsia="Arial" w:hAnsi="Arial" w:cs="Arial"/>
        </w:rPr>
      </w:pPr>
      <w:r>
        <w:rPr>
          <w:rFonts w:ascii="Arial" w:hAnsi="Arial"/>
        </w:rPr>
        <w:lastRenderedPageBreak/>
        <w:t xml:space="preserve">- Closely watch the macroeconomic and monetary movement of the international and domestic markets in order to proactively conduct measures and tools to stabilise the </w:t>
      </w:r>
      <w:r>
        <w:rPr>
          <w:rFonts w:ascii="Arial" w:hAnsi="Arial"/>
          <w:lang w:val="fr-FR"/>
        </w:rPr>
        <w:t>exchange</w:t>
      </w:r>
      <w:r>
        <w:rPr>
          <w:rFonts w:ascii="Arial" w:hAnsi="Arial"/>
        </w:rPr>
        <w:t xml:space="preserve">-rate and forex markets. </w:t>
      </w:r>
    </w:p>
    <w:p w:rsidR="008C70C0" w:rsidRDefault="007874F6" w:rsidP="00B83839">
      <w:pPr>
        <w:pStyle w:val="Body"/>
        <w:spacing w:line="360" w:lineRule="auto"/>
        <w:ind w:firstLine="720"/>
        <w:jc w:val="both"/>
        <w:rPr>
          <w:rFonts w:ascii="Arial" w:eastAsia="Arial" w:hAnsi="Arial" w:cs="Arial"/>
        </w:rPr>
      </w:pPr>
      <w:r>
        <w:rPr>
          <w:rFonts w:ascii="Arial" w:hAnsi="Arial"/>
        </w:rPr>
        <w:t>- Closely collaborate with fiscal policy and watch market movements and the liquidity of credit institutions, the plan of issuance, and the disbursement of government bonds to regulate monetary policy in a proactive and timely manner.</w:t>
      </w:r>
    </w:p>
    <w:p w:rsidR="008C70C0" w:rsidRDefault="007874F6" w:rsidP="00B83839">
      <w:pPr>
        <w:pStyle w:val="Body"/>
        <w:spacing w:line="360" w:lineRule="auto"/>
      </w:pPr>
      <w:r>
        <w:rPr>
          <w:rFonts w:ascii="Arial Unicode MS" w:hAnsi="Arial Unicode MS"/>
        </w:rPr>
        <w:br w:type="page"/>
      </w:r>
    </w:p>
    <w:p w:rsidR="008C70C0" w:rsidRDefault="007874F6" w:rsidP="00B83839">
      <w:pPr>
        <w:pStyle w:val="Body"/>
        <w:spacing w:line="360" w:lineRule="auto"/>
        <w:ind w:firstLine="720"/>
        <w:jc w:val="both"/>
        <w:rPr>
          <w:rFonts w:ascii="Arial" w:eastAsia="Arial" w:hAnsi="Arial" w:cs="Arial"/>
        </w:rPr>
      </w:pPr>
      <w:r>
        <w:rPr>
          <w:rFonts w:ascii="Arial" w:hAnsi="Arial"/>
          <w:lang w:val="de-DE"/>
        </w:rPr>
        <w:lastRenderedPageBreak/>
        <w:t>TH</w:t>
      </w:r>
      <w:r>
        <w:rPr>
          <w:rFonts w:ascii="Arial" w:hAnsi="Arial"/>
        </w:rPr>
        <w:t>ÔNG TIN KẾT QUẢ ĐIỀU HÀ</w:t>
      </w:r>
      <w:r>
        <w:rPr>
          <w:rFonts w:ascii="Arial" w:hAnsi="Arial"/>
          <w:lang w:val="de-DE"/>
        </w:rPr>
        <w:t>NH CH</w:t>
      </w:r>
      <w:r>
        <w:rPr>
          <w:rFonts w:ascii="Arial" w:hAnsi="Arial"/>
        </w:rPr>
        <w:t>ÍNH SÁ</w:t>
      </w:r>
      <w:r>
        <w:rPr>
          <w:rFonts w:ascii="Arial" w:hAnsi="Arial"/>
          <w:lang w:val="de-DE"/>
        </w:rPr>
        <w:t>CH TI</w:t>
      </w:r>
      <w:r>
        <w:rPr>
          <w:rFonts w:ascii="Arial" w:hAnsi="Arial"/>
        </w:rPr>
        <w:t xml:space="preserve">ỀN TỆ </w:t>
      </w:r>
      <w:r>
        <w:rPr>
          <w:rFonts w:ascii="Arial" w:hAnsi="Arial"/>
          <w:lang w:val="de-DE"/>
        </w:rPr>
        <w:t>TH</w:t>
      </w:r>
      <w:r>
        <w:rPr>
          <w:rFonts w:ascii="Arial" w:hAnsi="Arial"/>
        </w:rPr>
        <w:t>ÁNG 11/2016</w:t>
      </w:r>
    </w:p>
    <w:p w:rsidR="008C70C0" w:rsidRDefault="008C70C0" w:rsidP="00B83839">
      <w:pPr>
        <w:pStyle w:val="Body"/>
        <w:spacing w:line="360" w:lineRule="auto"/>
        <w:ind w:left="720"/>
        <w:jc w:val="both"/>
        <w:rPr>
          <w:rFonts w:ascii="Arial" w:eastAsia="Arial" w:hAnsi="Arial" w:cs="Arial"/>
        </w:rPr>
      </w:pPr>
    </w:p>
    <w:p w:rsidR="008C70C0" w:rsidRDefault="007874F6" w:rsidP="00B83839">
      <w:pPr>
        <w:pStyle w:val="Body"/>
        <w:spacing w:line="360" w:lineRule="auto"/>
        <w:ind w:firstLine="720"/>
        <w:jc w:val="both"/>
        <w:rPr>
          <w:rFonts w:ascii="Arial" w:eastAsia="Arial" w:hAnsi="Arial" w:cs="Arial"/>
        </w:rPr>
      </w:pPr>
      <w:r>
        <w:rPr>
          <w:rFonts w:ascii="Arial" w:hAnsi="Arial"/>
        </w:rPr>
        <w:t>Thực hiệ</w:t>
      </w:r>
      <w:r>
        <w:rPr>
          <w:rFonts w:ascii="Arial" w:hAnsi="Arial"/>
          <w:lang w:val="it-IT"/>
        </w:rPr>
        <w:t>n ch</w:t>
      </w:r>
      <w:r>
        <w:rPr>
          <w:rFonts w:ascii="Arial" w:hAnsi="Arial"/>
        </w:rPr>
        <w:t>ủ trương chỉ đạ</w:t>
      </w:r>
      <w:r>
        <w:rPr>
          <w:rFonts w:ascii="Arial" w:hAnsi="Arial"/>
          <w:lang w:val="it-IT"/>
        </w:rPr>
        <w:t>o c</w:t>
      </w:r>
      <w:r>
        <w:rPr>
          <w:rFonts w:ascii="Arial" w:hAnsi="Arial"/>
        </w:rPr>
        <w:t>ủa Quốc hội, Chính phủ và mục tiê</w:t>
      </w:r>
      <w:r>
        <w:rPr>
          <w:rFonts w:ascii="Arial" w:hAnsi="Arial"/>
          <w:lang w:val="pt-PT"/>
        </w:rPr>
        <w:t>u nhi</w:t>
      </w:r>
      <w:r>
        <w:rPr>
          <w:rFonts w:ascii="Arial" w:hAnsi="Arial"/>
        </w:rPr>
        <w:t xml:space="preserve">ệm </w:t>
      </w:r>
      <w:proofErr w:type="gramStart"/>
      <w:r>
        <w:rPr>
          <w:rFonts w:ascii="Arial" w:hAnsi="Arial"/>
        </w:rPr>
        <w:t>vụ  tại</w:t>
      </w:r>
      <w:proofErr w:type="gramEnd"/>
      <w:r>
        <w:rPr>
          <w:rFonts w:ascii="Arial" w:hAnsi="Arial"/>
        </w:rPr>
        <w:t xml:space="preserve"> Chỉ thị 01/CT-NHNN, trong tháng 11 và 11 tháng đầu năm 2016, NHNN đã triển khai đồng bộ và </w:t>
      </w:r>
      <w:r>
        <w:rPr>
          <w:rFonts w:ascii="Arial" w:hAnsi="Arial"/>
          <w:lang w:val="es-ES_tradnl"/>
        </w:rPr>
        <w:t>quy</w:t>
      </w:r>
      <w:r>
        <w:rPr>
          <w:rFonts w:ascii="Arial" w:hAnsi="Arial"/>
        </w:rPr>
        <w:t>ết liệ</w:t>
      </w:r>
      <w:r>
        <w:rPr>
          <w:rFonts w:ascii="Arial" w:hAnsi="Arial"/>
          <w:lang w:val="fr-FR"/>
        </w:rPr>
        <w:t>t c</w:t>
      </w:r>
      <w:r>
        <w:rPr>
          <w:rFonts w:ascii="Arial" w:hAnsi="Arial"/>
        </w:rPr>
        <w:t>ác giải pháp điều hà</w:t>
      </w:r>
      <w:r>
        <w:rPr>
          <w:rFonts w:ascii="Arial" w:hAnsi="Arial"/>
          <w:lang w:val="pt-PT"/>
        </w:rPr>
        <w:t>nh ch</w:t>
      </w:r>
      <w:r>
        <w:rPr>
          <w:rFonts w:ascii="Arial" w:hAnsi="Arial"/>
        </w:rPr>
        <w:t>í</w:t>
      </w:r>
      <w:r>
        <w:rPr>
          <w:rFonts w:ascii="Arial" w:hAnsi="Arial"/>
          <w:lang w:val="pt-PT"/>
        </w:rPr>
        <w:t>nh s</w:t>
      </w:r>
      <w:r>
        <w:rPr>
          <w:rFonts w:ascii="Arial" w:hAnsi="Arial"/>
        </w:rPr>
        <w:t>ách tiền tệ (CSTT) nhằm mục tiêu kiểm soát lạm phát, ổn đị</w:t>
      </w:r>
      <w:r>
        <w:rPr>
          <w:rFonts w:ascii="Arial" w:hAnsi="Arial"/>
          <w:lang w:val="pt-PT"/>
        </w:rPr>
        <w:t>nh kinh t</w:t>
      </w:r>
      <w:r>
        <w:rPr>
          <w:rFonts w:ascii="Arial" w:hAnsi="Arial"/>
        </w:rPr>
        <w:t>ế vĩ mô, hỗ trợ tăng trưở</w:t>
      </w:r>
      <w:r>
        <w:rPr>
          <w:rFonts w:ascii="Arial" w:hAnsi="Arial"/>
          <w:lang w:val="pt-PT"/>
        </w:rPr>
        <w:t>ng kinh t</w:t>
      </w:r>
      <w:r>
        <w:rPr>
          <w:rFonts w:ascii="Arial" w:hAnsi="Arial"/>
        </w:rPr>
        <w:t>ế ở mức hợp lý. Các giải phá</w:t>
      </w:r>
      <w:r>
        <w:rPr>
          <w:rFonts w:ascii="Arial" w:hAnsi="Arial"/>
          <w:lang w:val="it-IT"/>
        </w:rPr>
        <w:t>p ch</w:t>
      </w:r>
      <w:r>
        <w:rPr>
          <w:rFonts w:ascii="Arial" w:hAnsi="Arial"/>
        </w:rPr>
        <w:t>ủ yếu và kế</w:t>
      </w:r>
      <w:r>
        <w:rPr>
          <w:rFonts w:ascii="Arial" w:hAnsi="Arial"/>
          <w:lang w:val="fr-FR"/>
        </w:rPr>
        <w:t>t qu</w:t>
      </w:r>
      <w:r>
        <w:rPr>
          <w:rFonts w:ascii="Arial" w:hAnsi="Arial"/>
        </w:rPr>
        <w:t>ả đạt đượ</w:t>
      </w:r>
      <w:r>
        <w:rPr>
          <w:rFonts w:ascii="Arial" w:hAnsi="Arial"/>
          <w:lang w:val="pt-PT"/>
        </w:rPr>
        <w:t>c nh</w:t>
      </w:r>
      <w:r>
        <w:rPr>
          <w:rFonts w:ascii="Arial" w:hAnsi="Arial"/>
        </w:rPr>
        <w:t>ư sau:</w:t>
      </w:r>
    </w:p>
    <w:p w:rsidR="008C70C0" w:rsidRDefault="007874F6" w:rsidP="00B83839">
      <w:pPr>
        <w:pStyle w:val="Body"/>
        <w:spacing w:line="360" w:lineRule="auto"/>
        <w:ind w:firstLine="720"/>
        <w:jc w:val="both"/>
        <w:rPr>
          <w:rFonts w:ascii="Arial" w:eastAsia="Arial" w:hAnsi="Arial" w:cs="Arial"/>
        </w:rPr>
      </w:pPr>
      <w:r>
        <w:rPr>
          <w:rFonts w:ascii="Arial" w:hAnsi="Arial"/>
        </w:rPr>
        <w:t>- Điều hành cung tiền hợp lý đã tạo điều kiện ổn đị</w:t>
      </w:r>
      <w:r>
        <w:rPr>
          <w:rFonts w:ascii="Arial" w:hAnsi="Arial"/>
          <w:lang w:val="pt-PT"/>
        </w:rPr>
        <w:t>nh m</w:t>
      </w:r>
      <w:r>
        <w:rPr>
          <w:rFonts w:ascii="Arial" w:hAnsi="Arial"/>
        </w:rPr>
        <w:t>ặt bằng lãi suất và giảm sức ép lên lãi suất cho vay, hỗ trợ phát hành trá</w:t>
      </w:r>
      <w:r>
        <w:rPr>
          <w:rFonts w:ascii="Arial" w:hAnsi="Arial"/>
          <w:lang w:val="fr-FR"/>
        </w:rPr>
        <w:t>i phi</w:t>
      </w:r>
      <w:r>
        <w:rPr>
          <w:rFonts w:ascii="Arial" w:hAnsi="Arial"/>
        </w:rPr>
        <w:t xml:space="preserve">ếu Chính phủ </w:t>
      </w:r>
      <w:r>
        <w:rPr>
          <w:rFonts w:ascii="Arial" w:hAnsi="Arial"/>
          <w:lang w:val="pt-PT"/>
        </w:rPr>
        <w:t xml:space="preserve">(TPCP), </w:t>
      </w:r>
      <w:r>
        <w:rPr>
          <w:rFonts w:ascii="Arial" w:hAnsi="Arial"/>
        </w:rPr>
        <w:t>đồng thời hỗ trợ ổn định tỷ giá và tă</w:t>
      </w:r>
      <w:r>
        <w:rPr>
          <w:rFonts w:ascii="Arial" w:hAnsi="Arial"/>
          <w:lang w:val="de-DE"/>
        </w:rPr>
        <w:t>ng d</w:t>
      </w:r>
      <w:r>
        <w:rPr>
          <w:rFonts w:ascii="Arial" w:hAnsi="Arial"/>
        </w:rPr>
        <w:t>ự trữ ngoại hố</w:t>
      </w:r>
      <w:r>
        <w:rPr>
          <w:rFonts w:ascii="Arial" w:hAnsi="Arial"/>
          <w:lang w:val="pt-PT"/>
        </w:rPr>
        <w:t>i nh</w:t>
      </w:r>
      <w:r>
        <w:rPr>
          <w:rFonts w:ascii="Arial" w:hAnsi="Arial"/>
        </w:rPr>
        <w:t xml:space="preserve">à nước, đảm bảo kiểm soát lạm phát. Tổng phương tiện thanh toán có tăng cao hơn cùng kỳ </w:t>
      </w:r>
      <w:r>
        <w:rPr>
          <w:rFonts w:ascii="Arial" w:hAnsi="Arial"/>
          <w:lang w:val="pt-PT"/>
        </w:rPr>
        <w:t>nh</w:t>
      </w:r>
      <w:r>
        <w:rPr>
          <w:rFonts w:ascii="Arial" w:hAnsi="Arial"/>
        </w:rPr>
        <w:t>ưng chưa tạo sức ép đến lạm phát. Lạm phá</w:t>
      </w:r>
      <w:r>
        <w:rPr>
          <w:rFonts w:ascii="Arial" w:hAnsi="Arial"/>
          <w:lang w:val="fr-FR"/>
        </w:rPr>
        <w:t>t c</w:t>
      </w:r>
      <w:r>
        <w:rPr>
          <w:rFonts w:ascii="Arial" w:hAnsi="Arial"/>
        </w:rPr>
        <w:t>ơ bản vẫn ổn đị</w:t>
      </w:r>
      <w:r>
        <w:rPr>
          <w:rFonts w:ascii="Arial" w:hAnsi="Arial"/>
          <w:lang w:val="it-IT"/>
        </w:rPr>
        <w:t>nh, trong khi ch</w:t>
      </w:r>
      <w:r>
        <w:rPr>
          <w:rFonts w:ascii="Arial" w:hAnsi="Arial"/>
        </w:rPr>
        <w:t>ỉ số giá tiêu dù</w:t>
      </w:r>
      <w:r>
        <w:rPr>
          <w:rFonts w:ascii="Arial" w:hAnsi="Arial"/>
          <w:lang w:val="pt-PT"/>
        </w:rPr>
        <w:t>ng (CPI) t</w:t>
      </w:r>
      <w:r>
        <w:rPr>
          <w:rFonts w:ascii="Arial" w:hAnsi="Arial"/>
        </w:rPr>
        <w:t>ă</w:t>
      </w:r>
      <w:r>
        <w:rPr>
          <w:rFonts w:ascii="Arial" w:hAnsi="Arial"/>
          <w:lang w:val="pt-PT"/>
        </w:rPr>
        <w:t>ng nhanh ch</w:t>
      </w:r>
      <w:r>
        <w:rPr>
          <w:rFonts w:ascii="Arial" w:hAnsi="Arial"/>
        </w:rPr>
        <w:t>ủ yế</w:t>
      </w:r>
      <w:r>
        <w:rPr>
          <w:rFonts w:ascii="Arial" w:hAnsi="Arial"/>
          <w:lang w:val="pt-PT"/>
        </w:rPr>
        <w:t xml:space="preserve">u do </w:t>
      </w:r>
      <w:r>
        <w:rPr>
          <w:rFonts w:ascii="Arial" w:hAnsi="Arial"/>
        </w:rPr>
        <w:t>điề</w:t>
      </w:r>
      <w:r>
        <w:rPr>
          <w:rFonts w:ascii="Arial" w:hAnsi="Arial"/>
          <w:lang w:val="it-IT"/>
        </w:rPr>
        <w:t>u ch</w:t>
      </w:r>
      <w:r>
        <w:rPr>
          <w:rFonts w:ascii="Arial" w:hAnsi="Arial"/>
        </w:rPr>
        <w:t>ỉnh tăng giá các mặt hà</w:t>
      </w:r>
      <w:r>
        <w:rPr>
          <w:rFonts w:ascii="Arial" w:hAnsi="Arial"/>
          <w:lang w:val="pt-PT"/>
        </w:rPr>
        <w:t>ng do Nh</w:t>
      </w:r>
      <w:r>
        <w:rPr>
          <w:rFonts w:ascii="Arial" w:hAnsi="Arial"/>
        </w:rPr>
        <w:t>à nướ</w:t>
      </w:r>
      <w:r>
        <w:rPr>
          <w:rFonts w:ascii="Arial" w:hAnsi="Arial"/>
          <w:lang w:val="fr-FR"/>
        </w:rPr>
        <w:t>c qu</w:t>
      </w:r>
      <w:r>
        <w:rPr>
          <w:rFonts w:ascii="Arial" w:hAnsi="Arial"/>
        </w:rPr>
        <w:t xml:space="preserve">ản lý. Đến ngày 22/11/2016, tổng phương tiện thanh toán tăng ở </w:t>
      </w:r>
      <w:r>
        <w:rPr>
          <w:rFonts w:ascii="Arial" w:hAnsi="Arial"/>
          <w:lang w:val="es-ES_tradnl"/>
        </w:rPr>
        <w:t>14</w:t>
      </w:r>
      <w:proofErr w:type="gramStart"/>
      <w:r>
        <w:rPr>
          <w:rFonts w:ascii="Arial" w:hAnsi="Arial"/>
          <w:lang w:val="es-ES_tradnl"/>
        </w:rPr>
        <w:t>,92</w:t>
      </w:r>
      <w:proofErr w:type="gramEnd"/>
      <w:r>
        <w:rPr>
          <w:rFonts w:ascii="Arial" w:hAnsi="Arial"/>
          <w:lang w:val="es-ES_tradnl"/>
        </w:rPr>
        <w:t xml:space="preserve">%, huy </w:t>
      </w:r>
      <w:r>
        <w:rPr>
          <w:rFonts w:ascii="Arial" w:hAnsi="Arial"/>
        </w:rPr>
        <w:t>độ</w:t>
      </w:r>
      <w:r>
        <w:rPr>
          <w:rFonts w:ascii="Arial" w:hAnsi="Arial"/>
          <w:lang w:val="nl-NL"/>
        </w:rPr>
        <w:t>ng v</w:t>
      </w:r>
      <w:r>
        <w:rPr>
          <w:rFonts w:ascii="Arial" w:hAnsi="Arial"/>
        </w:rPr>
        <w:t>ốn tăng 15,28% so với cuối nă</w:t>
      </w:r>
      <w:r>
        <w:rPr>
          <w:rFonts w:ascii="Arial" w:hAnsi="Arial"/>
          <w:lang w:val="pt-PT"/>
        </w:rPr>
        <w:t>m 2015</w:t>
      </w:r>
      <w:r>
        <w:rPr>
          <w:rFonts w:ascii="Arial" w:hAnsi="Arial"/>
          <w:i/>
          <w:iCs/>
        </w:rPr>
        <w:t xml:space="preserve">. </w:t>
      </w:r>
      <w:proofErr w:type="gramStart"/>
      <w:r>
        <w:rPr>
          <w:rFonts w:ascii="Arial" w:hAnsi="Arial"/>
        </w:rPr>
        <w:t>Thanh khoản của hệ thống các TCTD tiếp tục được đảm bảo, thị trường liên ngân hàng hoạt động thông suốt.</w:t>
      </w:r>
      <w:proofErr w:type="gramEnd"/>
      <w:r>
        <w:rPr>
          <w:rFonts w:ascii="Arial" w:hAnsi="Arial"/>
        </w:rPr>
        <w:t xml:space="preserve">  </w:t>
      </w:r>
    </w:p>
    <w:p w:rsidR="008C70C0" w:rsidRDefault="007874F6" w:rsidP="00B83839">
      <w:pPr>
        <w:pStyle w:val="Body"/>
        <w:spacing w:line="360" w:lineRule="auto"/>
        <w:ind w:firstLine="720"/>
        <w:jc w:val="both"/>
        <w:rPr>
          <w:rFonts w:ascii="Arial" w:eastAsia="Arial" w:hAnsi="Arial" w:cs="Arial"/>
        </w:rPr>
      </w:pPr>
      <w:r>
        <w:rPr>
          <w:rFonts w:ascii="Arial" w:hAnsi="Arial"/>
        </w:rPr>
        <w:t>- Điều hà</w:t>
      </w:r>
      <w:r>
        <w:rPr>
          <w:rFonts w:ascii="Arial" w:hAnsi="Arial"/>
          <w:lang w:val="pt-PT"/>
        </w:rPr>
        <w:t>nh l</w:t>
      </w:r>
      <w:r>
        <w:rPr>
          <w:rFonts w:ascii="Arial" w:hAnsi="Arial"/>
        </w:rPr>
        <w:t>ãi suất phù hợ</w:t>
      </w:r>
      <w:r>
        <w:rPr>
          <w:rFonts w:ascii="Arial" w:hAnsi="Arial"/>
          <w:lang w:val="nl-NL"/>
        </w:rPr>
        <w:t>p v</w:t>
      </w:r>
      <w:r>
        <w:rPr>
          <w:rFonts w:ascii="Arial" w:hAnsi="Arial"/>
        </w:rPr>
        <w:t>ớ</w:t>
      </w:r>
      <w:r>
        <w:rPr>
          <w:rFonts w:ascii="Arial" w:hAnsi="Arial"/>
          <w:lang w:val="it-IT"/>
        </w:rPr>
        <w:t>i di</w:t>
      </w:r>
      <w:r>
        <w:rPr>
          <w:rFonts w:ascii="Arial" w:hAnsi="Arial"/>
        </w:rPr>
        <w:t>ễn biến vĩ mô và thị trường tiền tệ</w:t>
      </w:r>
      <w:r>
        <w:rPr>
          <w:rFonts w:ascii="Arial" w:hAnsi="Arial"/>
          <w:lang w:val="pt-PT"/>
        </w:rPr>
        <w:t xml:space="preserve">, qua </w:t>
      </w:r>
      <w:r>
        <w:rPr>
          <w:rFonts w:ascii="Arial" w:hAnsi="Arial"/>
        </w:rPr>
        <w:t>đó việc ổn đị</w:t>
      </w:r>
      <w:r>
        <w:rPr>
          <w:rFonts w:ascii="Arial" w:hAnsi="Arial"/>
          <w:lang w:val="pt-PT"/>
        </w:rPr>
        <w:t xml:space="preserve">nh </w:t>
      </w:r>
      <w:r>
        <w:rPr>
          <w:rFonts w:ascii="Arial" w:hAnsi="Arial"/>
        </w:rPr>
        <w:t>được mặt bằng lãi suất trong nă</w:t>
      </w:r>
      <w:r>
        <w:rPr>
          <w:rFonts w:ascii="Arial" w:hAnsi="Arial"/>
          <w:lang w:val="pt-PT"/>
        </w:rPr>
        <w:t>m 2016 l</w:t>
      </w:r>
      <w:r>
        <w:rPr>
          <w:rFonts w:ascii="Arial" w:hAnsi="Arial"/>
        </w:rPr>
        <w:t>à kế</w:t>
      </w:r>
      <w:r>
        <w:rPr>
          <w:rFonts w:ascii="Arial" w:hAnsi="Arial"/>
          <w:lang w:val="fr-FR"/>
        </w:rPr>
        <w:t>t qu</w:t>
      </w:r>
      <w:r>
        <w:rPr>
          <w:rFonts w:ascii="Arial" w:hAnsi="Arial"/>
        </w:rPr>
        <w:t>ả tích cực trong điều kiện lạm phá</w:t>
      </w:r>
      <w:r>
        <w:rPr>
          <w:rFonts w:ascii="Arial" w:hAnsi="Arial"/>
          <w:lang w:val="fr-FR"/>
        </w:rPr>
        <w:t>t c</w:t>
      </w:r>
      <w:r>
        <w:rPr>
          <w:rFonts w:ascii="Arial" w:hAnsi="Arial"/>
        </w:rPr>
        <w:t>ó sức ép tăng, nhu cầu phát hà</w:t>
      </w:r>
      <w:r>
        <w:rPr>
          <w:rFonts w:ascii="Arial" w:hAnsi="Arial"/>
          <w:lang w:val="pt-PT"/>
        </w:rPr>
        <w:t>nh TPCP l</w:t>
      </w:r>
      <w:r>
        <w:rPr>
          <w:rFonts w:ascii="Arial" w:hAnsi="Arial"/>
        </w:rPr>
        <w:t>ớn và tín dụng tiếp tục tăng: Trong điều hà</w:t>
      </w:r>
      <w:r>
        <w:rPr>
          <w:rFonts w:ascii="Arial" w:hAnsi="Arial"/>
          <w:lang w:val="pt-PT"/>
        </w:rPr>
        <w:t>nh, tr</w:t>
      </w:r>
      <w:r>
        <w:rPr>
          <w:rFonts w:ascii="Arial" w:hAnsi="Arial"/>
        </w:rPr>
        <w:t>ên cơ sở diễn biến lạm phá</w:t>
      </w:r>
      <w:r>
        <w:rPr>
          <w:rFonts w:ascii="Arial" w:hAnsi="Arial"/>
          <w:lang w:val="fr-FR"/>
        </w:rPr>
        <w:t>t c</w:t>
      </w:r>
      <w:r>
        <w:rPr>
          <w:rFonts w:ascii="Arial" w:hAnsi="Arial"/>
        </w:rPr>
        <w:t>ơ bản ổn đị</w:t>
      </w:r>
      <w:r>
        <w:rPr>
          <w:rFonts w:ascii="Arial" w:hAnsi="Arial"/>
          <w:lang w:val="pt-PT"/>
        </w:rPr>
        <w:t xml:space="preserve">nh </w:t>
      </w:r>
      <w:r>
        <w:rPr>
          <w:rFonts w:ascii="Arial" w:hAnsi="Arial"/>
        </w:rPr>
        <w:t>ở mức thấp, thị trường ngoại tệ và tỷ giá diễn biến trong tầm kiểm soá</w:t>
      </w:r>
      <w:r>
        <w:rPr>
          <w:rFonts w:ascii="Arial" w:hAnsi="Arial"/>
          <w:lang w:val="de-DE"/>
        </w:rPr>
        <w:t>t, NHNN ch</w:t>
      </w:r>
      <w:r>
        <w:rPr>
          <w:rFonts w:ascii="Arial" w:hAnsi="Arial"/>
        </w:rPr>
        <w:t>ủ động điều tiết thanh khoản của hệ thố</w:t>
      </w:r>
      <w:r>
        <w:rPr>
          <w:rFonts w:ascii="Arial" w:hAnsi="Arial"/>
          <w:lang w:val="de-DE"/>
        </w:rPr>
        <w:t>ng d</w:t>
      </w:r>
      <w:r>
        <w:rPr>
          <w:rFonts w:ascii="Arial" w:hAnsi="Arial"/>
        </w:rPr>
        <w:t>ư thừa, lãi suất thị trường liên ngân hàng ở mức thấ</w:t>
      </w:r>
      <w:r>
        <w:rPr>
          <w:rFonts w:ascii="Arial" w:hAnsi="Arial"/>
          <w:lang w:val="pt-PT"/>
        </w:rPr>
        <w:t xml:space="preserve">p, qua </w:t>
      </w:r>
      <w:r>
        <w:rPr>
          <w:rFonts w:ascii="Arial" w:hAnsi="Arial"/>
        </w:rPr>
        <w:t>đó tạo điều kiện ổn đị</w:t>
      </w:r>
      <w:r>
        <w:rPr>
          <w:rFonts w:ascii="Arial" w:hAnsi="Arial"/>
          <w:lang w:val="pt-PT"/>
        </w:rPr>
        <w:t>nh l</w:t>
      </w:r>
      <w:r>
        <w:rPr>
          <w:rFonts w:ascii="Arial" w:hAnsi="Arial"/>
        </w:rPr>
        <w:t>ãi suất huy động, giảm sức ép lên lãi suất cho vay. Đồng thờ</w:t>
      </w:r>
      <w:r>
        <w:rPr>
          <w:rFonts w:ascii="Arial" w:hAnsi="Arial"/>
          <w:lang w:val="de-DE"/>
        </w:rPr>
        <w:t>i, NHNN chi</w:t>
      </w:r>
      <w:r>
        <w:rPr>
          <w:rFonts w:ascii="Arial" w:hAnsi="Arial"/>
        </w:rPr>
        <w:t>̉ đạ</w:t>
      </w:r>
      <w:r>
        <w:rPr>
          <w:rFonts w:ascii="Arial" w:hAnsi="Arial"/>
          <w:lang w:val="it-IT"/>
        </w:rPr>
        <w:t>o ca</w:t>
      </w:r>
      <w:r>
        <w:rPr>
          <w:rFonts w:ascii="Arial" w:hAnsi="Arial"/>
        </w:rPr>
        <w:t xml:space="preserve">́c TCTD cân đối vốn để duy trì ổn </w:t>
      </w:r>
      <w:r>
        <w:rPr>
          <w:rFonts w:ascii="Arial" w:hAnsi="Arial"/>
        </w:rPr>
        <w:lastRenderedPageBreak/>
        <w:t>đị</w:t>
      </w:r>
      <w:r>
        <w:rPr>
          <w:rFonts w:ascii="Arial" w:hAnsi="Arial"/>
          <w:lang w:val="pt-PT"/>
        </w:rPr>
        <w:t>nh l</w:t>
      </w:r>
      <w:r>
        <w:rPr>
          <w:rFonts w:ascii="Arial" w:hAnsi="Arial"/>
        </w:rPr>
        <w:t>ãi suất huy động, tiế</w:t>
      </w:r>
      <w:r>
        <w:rPr>
          <w:rFonts w:ascii="Arial" w:hAnsi="Arial"/>
          <w:lang w:val="it-IT"/>
        </w:rPr>
        <w:t>t gia</w:t>
      </w:r>
      <w:r>
        <w:rPr>
          <w:rFonts w:ascii="Arial" w:hAnsi="Arial"/>
        </w:rPr>
        <w:t>̉</w:t>
      </w:r>
      <w:r>
        <w:rPr>
          <w:rFonts w:ascii="Arial" w:hAnsi="Arial"/>
          <w:lang w:val="it-IT"/>
        </w:rPr>
        <w:t>m chi phi</w:t>
      </w:r>
      <w:r>
        <w:rPr>
          <w:rFonts w:ascii="Arial" w:hAnsi="Arial"/>
        </w:rPr>
        <w:t>́, nâng cao hiệ</w:t>
      </w:r>
      <w:r>
        <w:rPr>
          <w:rFonts w:ascii="Arial" w:hAnsi="Arial"/>
          <w:lang w:val="pt-PT"/>
        </w:rPr>
        <w:t>u qua</w:t>
      </w:r>
      <w:r>
        <w:rPr>
          <w:rFonts w:ascii="Arial" w:hAnsi="Arial"/>
        </w:rPr>
        <w:t xml:space="preserve">̉ </w:t>
      </w:r>
      <w:r>
        <w:rPr>
          <w:rFonts w:ascii="Arial" w:hAnsi="Arial"/>
          <w:lang w:val="pt-PT"/>
        </w:rPr>
        <w:t xml:space="preserve">kinh doanh </w:t>
      </w:r>
      <w:r>
        <w:rPr>
          <w:rFonts w:ascii="Arial" w:hAnsi="Arial"/>
        </w:rPr>
        <w:t>để có điều kiệ</w:t>
      </w:r>
      <w:r>
        <w:rPr>
          <w:rFonts w:ascii="Arial" w:hAnsi="Arial"/>
          <w:lang w:val="it-IT"/>
        </w:rPr>
        <w:t>n gia</w:t>
      </w:r>
      <w:r>
        <w:rPr>
          <w:rFonts w:ascii="Arial" w:hAnsi="Arial"/>
        </w:rPr>
        <w:t>̉m lãi suất cho vay; điề</w:t>
      </w:r>
      <w:r>
        <w:rPr>
          <w:rFonts w:ascii="Arial" w:hAnsi="Arial"/>
          <w:lang w:val="it-IT"/>
        </w:rPr>
        <w:t>u ch</w:t>
      </w:r>
      <w:r>
        <w:rPr>
          <w:rFonts w:ascii="Arial" w:hAnsi="Arial"/>
        </w:rPr>
        <w:t xml:space="preserve">ỉnh tỷ lệ nguồn vốn ngắn hạn để </w:t>
      </w:r>
      <w:r>
        <w:rPr>
          <w:rFonts w:ascii="Arial" w:hAnsi="Arial"/>
          <w:lang w:val="de-DE"/>
        </w:rPr>
        <w:t>cho vay trung d</w:t>
      </w:r>
      <w:r>
        <w:rPr>
          <w:rFonts w:ascii="Arial" w:hAnsi="Arial"/>
        </w:rPr>
        <w:t>ài hạn giảm dần theo lộ trì</w:t>
      </w:r>
      <w:r>
        <w:rPr>
          <w:rFonts w:ascii="Arial" w:hAnsi="Arial"/>
          <w:lang w:val="pt-PT"/>
        </w:rPr>
        <w:t xml:space="preserve">nh </w:t>
      </w:r>
      <w:r>
        <w:rPr>
          <w:rFonts w:ascii="Arial" w:hAnsi="Arial"/>
        </w:rPr>
        <w:t>đã góp phần giảm sức ép lên lãi suất đối vớ</w:t>
      </w:r>
      <w:r>
        <w:rPr>
          <w:rFonts w:ascii="Arial" w:hAnsi="Arial"/>
          <w:lang w:val="it-IT"/>
        </w:rPr>
        <w:t>i c</w:t>
      </w:r>
      <w:r>
        <w:rPr>
          <w:rFonts w:ascii="Arial" w:hAnsi="Arial"/>
        </w:rPr>
        <w:t>ác TCTD. Kế</w:t>
      </w:r>
      <w:r>
        <w:rPr>
          <w:rFonts w:ascii="Arial" w:hAnsi="Arial"/>
          <w:lang w:val="fr-FR"/>
        </w:rPr>
        <w:t>t qu</w:t>
      </w:r>
      <w:r>
        <w:rPr>
          <w:rFonts w:ascii="Arial" w:hAnsi="Arial"/>
        </w:rPr>
        <w:t>ả là đã ổn đị</w:t>
      </w:r>
      <w:r>
        <w:rPr>
          <w:rFonts w:ascii="Arial" w:hAnsi="Arial"/>
          <w:lang w:val="pt-PT"/>
        </w:rPr>
        <w:t xml:space="preserve">nh </w:t>
      </w:r>
      <w:r>
        <w:rPr>
          <w:rFonts w:ascii="Arial" w:hAnsi="Arial"/>
        </w:rPr>
        <w:t>được mặt bằng lãi suất, một số TCTD điề</w:t>
      </w:r>
      <w:r>
        <w:rPr>
          <w:rFonts w:ascii="Arial" w:hAnsi="Arial"/>
          <w:lang w:val="it-IT"/>
        </w:rPr>
        <w:t>u ch</w:t>
      </w:r>
      <w:r>
        <w:rPr>
          <w:rFonts w:ascii="Arial" w:hAnsi="Arial"/>
        </w:rPr>
        <w:t>ỉ</w:t>
      </w:r>
      <w:r>
        <w:rPr>
          <w:rFonts w:ascii="Arial" w:hAnsi="Arial"/>
          <w:lang w:val="pt-PT"/>
        </w:rPr>
        <w:t>nh gi</w:t>
      </w:r>
      <w:r>
        <w:rPr>
          <w:rFonts w:ascii="Arial" w:hAnsi="Arial"/>
        </w:rPr>
        <w:t xml:space="preserve">ảm lãi suất cho vay hỗ trợ </w:t>
      </w:r>
      <w:r>
        <w:rPr>
          <w:rFonts w:ascii="Arial" w:hAnsi="Arial"/>
          <w:lang w:val="es-ES_tradnl"/>
        </w:rPr>
        <w:t>cho ho</w:t>
      </w:r>
      <w:r>
        <w:rPr>
          <w:rFonts w:ascii="Arial" w:hAnsi="Arial"/>
        </w:rPr>
        <w:t>ạt động sản xuấ</w:t>
      </w:r>
      <w:r>
        <w:rPr>
          <w:rFonts w:ascii="Arial" w:hAnsi="Arial"/>
          <w:lang w:val="pt-PT"/>
        </w:rPr>
        <w:t>t, kinh doanh (SXKD), trong khi v</w:t>
      </w:r>
      <w:r>
        <w:rPr>
          <w:rFonts w:ascii="Arial" w:hAnsi="Arial"/>
        </w:rPr>
        <w:t>ẫn kiểm soát đượ</w:t>
      </w:r>
      <w:r>
        <w:rPr>
          <w:rFonts w:ascii="Arial" w:hAnsi="Arial"/>
          <w:lang w:val="fr-FR"/>
        </w:rPr>
        <w:t>c l</w:t>
      </w:r>
      <w:r>
        <w:rPr>
          <w:rFonts w:ascii="Arial" w:hAnsi="Arial"/>
        </w:rPr>
        <w:t>ạm phát .</w:t>
      </w:r>
    </w:p>
    <w:p w:rsidR="008C70C0" w:rsidRDefault="008C70C0" w:rsidP="00B83839">
      <w:pPr>
        <w:pStyle w:val="Body"/>
        <w:spacing w:line="360" w:lineRule="auto"/>
        <w:ind w:firstLine="720"/>
        <w:jc w:val="both"/>
        <w:rPr>
          <w:rFonts w:ascii="Arial" w:eastAsia="Arial" w:hAnsi="Arial" w:cs="Arial"/>
        </w:rPr>
      </w:pPr>
    </w:p>
    <w:p w:rsidR="008C70C0" w:rsidRDefault="007874F6" w:rsidP="00B83839">
      <w:pPr>
        <w:pStyle w:val="Body"/>
        <w:spacing w:line="360" w:lineRule="auto"/>
        <w:ind w:firstLine="720"/>
        <w:jc w:val="both"/>
        <w:rPr>
          <w:rFonts w:ascii="Arial" w:eastAsia="Arial" w:hAnsi="Arial" w:cs="Arial"/>
        </w:rPr>
      </w:pPr>
      <w:r>
        <w:rPr>
          <w:rFonts w:ascii="Arial" w:hAnsi="Arial"/>
        </w:rPr>
        <w:t>- Tiếp tục thực hiện các giải pháp đảm bảo cho các TCTD tăng trưởng tín dụng an toàn, hiệ</w:t>
      </w:r>
      <w:r>
        <w:rPr>
          <w:rFonts w:ascii="Arial" w:hAnsi="Arial"/>
          <w:lang w:val="pt-PT"/>
        </w:rPr>
        <w:t>u qu</w:t>
      </w:r>
      <w:r>
        <w:rPr>
          <w:rFonts w:ascii="Arial" w:hAnsi="Arial"/>
        </w:rPr>
        <w:t>ả, tậ</w:t>
      </w:r>
      <w:r>
        <w:rPr>
          <w:rFonts w:ascii="Arial" w:hAnsi="Arial"/>
          <w:lang w:val="de-DE"/>
        </w:rPr>
        <w:t>p trung t</w:t>
      </w:r>
      <w:r>
        <w:rPr>
          <w:rFonts w:ascii="Arial" w:hAnsi="Arial"/>
        </w:rPr>
        <w:t>ín dụ</w:t>
      </w:r>
      <w:r>
        <w:rPr>
          <w:rFonts w:ascii="Arial" w:hAnsi="Arial"/>
          <w:lang w:val="nl-NL"/>
        </w:rPr>
        <w:t>ng v</w:t>
      </w:r>
      <w:r>
        <w:rPr>
          <w:rFonts w:ascii="Arial" w:hAnsi="Arial"/>
        </w:rPr>
        <w:t>à</w:t>
      </w:r>
      <w:r>
        <w:rPr>
          <w:rFonts w:ascii="Arial" w:hAnsi="Arial"/>
          <w:lang w:val="it-IT"/>
        </w:rPr>
        <w:t>o l</w:t>
      </w:r>
      <w:r>
        <w:rPr>
          <w:rFonts w:ascii="Arial" w:hAnsi="Arial"/>
        </w:rPr>
        <w:t>ĩ</w:t>
      </w:r>
      <w:r>
        <w:rPr>
          <w:rFonts w:ascii="Arial" w:hAnsi="Arial"/>
          <w:lang w:val="pt-PT"/>
        </w:rPr>
        <w:t>nh v</w:t>
      </w:r>
      <w:r>
        <w:rPr>
          <w:rFonts w:ascii="Arial" w:hAnsi="Arial"/>
        </w:rPr>
        <w:t>ực sản xuấ</w:t>
      </w:r>
      <w:r>
        <w:rPr>
          <w:rFonts w:ascii="Arial" w:hAnsi="Arial"/>
          <w:lang w:val="pt-PT"/>
        </w:rPr>
        <w:t>t, nh</w:t>
      </w:r>
      <w:r>
        <w:rPr>
          <w:rFonts w:ascii="Arial" w:hAnsi="Arial"/>
        </w:rPr>
        <w:t>ất là cá</w:t>
      </w:r>
      <w:r>
        <w:rPr>
          <w:rFonts w:ascii="Arial" w:hAnsi="Arial"/>
          <w:lang w:val="fr-FR"/>
        </w:rPr>
        <w:t>c l</w:t>
      </w:r>
      <w:r>
        <w:rPr>
          <w:rFonts w:ascii="Arial" w:hAnsi="Arial"/>
        </w:rPr>
        <w:t>ĩ</w:t>
      </w:r>
      <w:r>
        <w:rPr>
          <w:rFonts w:ascii="Arial" w:hAnsi="Arial"/>
          <w:lang w:val="pt-PT"/>
        </w:rPr>
        <w:t>nh v</w:t>
      </w:r>
      <w:r>
        <w:rPr>
          <w:rFonts w:ascii="Arial" w:hAnsi="Arial"/>
        </w:rPr>
        <w:t>ực ưu tiên của Chính phủ, tạo điều kiện thuận lợ</w:t>
      </w:r>
      <w:r>
        <w:rPr>
          <w:rFonts w:ascii="Arial" w:hAnsi="Arial"/>
          <w:lang w:val="pt-PT"/>
        </w:rPr>
        <w:t>i cho doanh nghi</w:t>
      </w:r>
      <w:r>
        <w:rPr>
          <w:rFonts w:ascii="Arial" w:hAnsi="Arial"/>
        </w:rPr>
        <w:t>ệp trong tiếp cận vốn tín dụng, kiểm soá</w:t>
      </w:r>
      <w:r>
        <w:rPr>
          <w:rFonts w:ascii="Arial" w:hAnsi="Arial"/>
          <w:lang w:val="fr-FR"/>
        </w:rPr>
        <w:t>t ch</w:t>
      </w:r>
      <w:r>
        <w:rPr>
          <w:rFonts w:ascii="Arial" w:hAnsi="Arial"/>
        </w:rPr>
        <w:t>ặ</w:t>
      </w:r>
      <w:r>
        <w:rPr>
          <w:rFonts w:ascii="Arial" w:hAnsi="Arial"/>
          <w:lang w:val="fr-FR"/>
        </w:rPr>
        <w:t>t ch</w:t>
      </w:r>
      <w:r>
        <w:rPr>
          <w:rFonts w:ascii="Arial" w:hAnsi="Arial"/>
        </w:rPr>
        <w:t>ẽ tín dụng ở một số ngà</w:t>
      </w:r>
      <w:r>
        <w:rPr>
          <w:rFonts w:ascii="Arial" w:hAnsi="Arial"/>
          <w:lang w:val="pt-PT"/>
        </w:rPr>
        <w:t>nh, l</w:t>
      </w:r>
      <w:r>
        <w:rPr>
          <w:rFonts w:ascii="Arial" w:hAnsi="Arial"/>
        </w:rPr>
        <w:t>ĩ</w:t>
      </w:r>
      <w:r>
        <w:rPr>
          <w:rFonts w:ascii="Arial" w:hAnsi="Arial"/>
          <w:lang w:val="pt-PT"/>
        </w:rPr>
        <w:t>nh v</w:t>
      </w:r>
      <w:r>
        <w:rPr>
          <w:rFonts w:ascii="Arial" w:hAnsi="Arial"/>
        </w:rPr>
        <w:t>ực tiềm ẩn rủi ro, điề</w:t>
      </w:r>
      <w:r>
        <w:rPr>
          <w:rFonts w:ascii="Arial" w:hAnsi="Arial"/>
          <w:lang w:val="it-IT"/>
        </w:rPr>
        <w:t>u ch</w:t>
      </w:r>
      <w:r>
        <w:rPr>
          <w:rFonts w:ascii="Arial" w:hAnsi="Arial"/>
        </w:rPr>
        <w:t>ỉnh tăng hệ số rủ</w:t>
      </w:r>
      <w:r>
        <w:rPr>
          <w:rFonts w:ascii="Arial" w:hAnsi="Arial"/>
          <w:lang w:val="it-IT"/>
        </w:rPr>
        <w:t>i ro c</w:t>
      </w:r>
      <w:r>
        <w:rPr>
          <w:rFonts w:ascii="Arial" w:hAnsi="Arial"/>
        </w:rPr>
        <w:t>ủa các khoản phải thu trong cho vay kinh doanh bất động sản. Kế</w:t>
      </w:r>
      <w:r>
        <w:rPr>
          <w:rFonts w:ascii="Arial" w:hAnsi="Arial"/>
          <w:lang w:val="fr-FR"/>
        </w:rPr>
        <w:t>t qu</w:t>
      </w:r>
      <w:r>
        <w:rPr>
          <w:rFonts w:ascii="Arial" w:hAnsi="Arial"/>
        </w:rPr>
        <w:t>ả, tín dụng tăng từ đầu năm và đến ngày 28/11/2016, tín dụng tăng 14,57% so với cuối nă</w:t>
      </w:r>
      <w:r>
        <w:rPr>
          <w:rFonts w:ascii="Arial" w:hAnsi="Arial"/>
          <w:lang w:val="pt-PT"/>
        </w:rPr>
        <w:t xml:space="preserve">m 2015, trong </w:t>
      </w:r>
      <w:r>
        <w:rPr>
          <w:rFonts w:ascii="Arial" w:hAnsi="Arial"/>
        </w:rPr>
        <w:t>đó tín dụng bằng VND tăng 15,81%, tín dụng bằng ngoại tệ tăng 3,49%, phù hợ</w:t>
      </w:r>
      <w:r>
        <w:rPr>
          <w:rFonts w:ascii="Arial" w:hAnsi="Arial"/>
          <w:lang w:val="nl-NL"/>
        </w:rPr>
        <w:t>p v</w:t>
      </w:r>
      <w:r>
        <w:rPr>
          <w:rFonts w:ascii="Arial" w:hAnsi="Arial"/>
        </w:rPr>
        <w:t>ớ</w:t>
      </w:r>
      <w:r>
        <w:rPr>
          <w:rFonts w:ascii="Arial" w:hAnsi="Arial"/>
          <w:lang w:val="it-IT"/>
        </w:rPr>
        <w:t>i ch</w:t>
      </w:r>
      <w:r>
        <w:rPr>
          <w:rFonts w:ascii="Arial" w:hAnsi="Arial"/>
        </w:rPr>
        <w:t xml:space="preserve">ủ trương chống đô la hóa của Chính phủ. </w:t>
      </w:r>
    </w:p>
    <w:p w:rsidR="008C70C0" w:rsidRDefault="007874F6" w:rsidP="00B83839">
      <w:pPr>
        <w:pStyle w:val="Body"/>
        <w:spacing w:line="360" w:lineRule="auto"/>
        <w:ind w:firstLine="720"/>
        <w:jc w:val="both"/>
        <w:rPr>
          <w:rFonts w:ascii="Arial" w:eastAsia="Arial" w:hAnsi="Arial" w:cs="Arial"/>
        </w:rPr>
      </w:pPr>
      <w:r>
        <w:rPr>
          <w:rFonts w:ascii="Arial" w:hAnsi="Arial"/>
          <w:lang w:val="sv-SE"/>
        </w:rPr>
        <w:t>- Tín dụng hiện nay đang tăng trưởng ở mức hợp lý, cơ cấu tín dụng vẫn chuyển dịch theo hướng tích cực, tập trung vốn cho lĩnh vực sản xuất kinh doanh, nhất các lĩnh vực ưu tiên, hỗ trợ tích cực quá trình tái cơ cấu nông nghiệp, phát triển thủy sản, công nghiệp hỗ trợ, hỗ trợ cho doanh nghiệp vừa và nhỏ, doanh nghiệp xuất khẩu, doanh nghiệp có ứng dụng công nghệ cao.</w:t>
      </w:r>
    </w:p>
    <w:p w:rsidR="008C70C0" w:rsidRDefault="007874F6" w:rsidP="00B83839">
      <w:pPr>
        <w:pStyle w:val="Body"/>
        <w:spacing w:line="360" w:lineRule="auto"/>
        <w:ind w:firstLine="720"/>
        <w:jc w:val="both"/>
        <w:rPr>
          <w:rFonts w:ascii="Arial" w:eastAsia="Arial" w:hAnsi="Arial" w:cs="Arial"/>
        </w:rPr>
      </w:pPr>
      <w:r>
        <w:rPr>
          <w:rFonts w:ascii="Arial" w:hAnsi="Arial"/>
        </w:rPr>
        <w:t xml:space="preserve">- Với việc điều hành tỷ giá </w:t>
      </w:r>
      <w:r>
        <w:rPr>
          <w:rFonts w:ascii="Arial" w:hAnsi="Arial"/>
          <w:lang w:val="de-DE"/>
        </w:rPr>
        <w:t>trung t</w:t>
      </w:r>
      <w:r>
        <w:rPr>
          <w:rFonts w:ascii="Arial" w:hAnsi="Arial"/>
        </w:rPr>
        <w:t>â</w:t>
      </w:r>
      <w:r>
        <w:rPr>
          <w:rFonts w:ascii="Arial" w:hAnsi="Arial"/>
          <w:lang w:val="pt-PT"/>
        </w:rPr>
        <w:t>m linh ho</w:t>
      </w:r>
      <w:r>
        <w:rPr>
          <w:rFonts w:ascii="Arial" w:hAnsi="Arial"/>
        </w:rPr>
        <w:t>ạt biến độ</w:t>
      </w:r>
      <w:r>
        <w:rPr>
          <w:rFonts w:ascii="Arial" w:hAnsi="Arial"/>
          <w:lang w:val="pt-PT"/>
        </w:rPr>
        <w:t>ng linh ho</w:t>
      </w:r>
      <w:r>
        <w:rPr>
          <w:rFonts w:ascii="Arial" w:hAnsi="Arial"/>
        </w:rPr>
        <w:t>ạt hàng ngày bám sát thị trường liên ngân hàng trong nước, cân đối vĩ mô và tì</w:t>
      </w:r>
      <w:r>
        <w:rPr>
          <w:rFonts w:ascii="Arial" w:hAnsi="Arial"/>
          <w:lang w:val="pt-PT"/>
        </w:rPr>
        <w:t>nh h</w:t>
      </w:r>
      <w:r>
        <w:rPr>
          <w:rFonts w:ascii="Arial" w:hAnsi="Arial"/>
        </w:rPr>
        <w:t>ình trên thị trườ</w:t>
      </w:r>
      <w:r>
        <w:rPr>
          <w:rFonts w:ascii="Arial" w:hAnsi="Arial"/>
          <w:lang w:val="fr-FR"/>
        </w:rPr>
        <w:t>ng qu</w:t>
      </w:r>
      <w:r>
        <w:rPr>
          <w:rFonts w:ascii="Arial" w:hAnsi="Arial"/>
        </w:rPr>
        <w:t>ốc tế, cù</w:t>
      </w:r>
      <w:r>
        <w:rPr>
          <w:rFonts w:ascii="Arial" w:hAnsi="Arial"/>
          <w:lang w:val="nl-NL"/>
        </w:rPr>
        <w:t>ng v</w:t>
      </w:r>
      <w:r>
        <w:rPr>
          <w:rFonts w:ascii="Arial" w:hAnsi="Arial"/>
        </w:rPr>
        <w:t>ớ</w:t>
      </w:r>
      <w:r>
        <w:rPr>
          <w:rFonts w:ascii="Arial" w:hAnsi="Arial"/>
          <w:lang w:val="it-IT"/>
        </w:rPr>
        <w:t>i di</w:t>
      </w:r>
      <w:r>
        <w:rPr>
          <w:rFonts w:ascii="Arial" w:hAnsi="Arial"/>
        </w:rPr>
        <w:t xml:space="preserve">ễn biến cung cầu ngoại tệ thuận lợi, tỷ giá và thị trường ngoại tệ </w:t>
      </w:r>
      <w:r>
        <w:rPr>
          <w:rFonts w:ascii="Arial" w:hAnsi="Arial"/>
          <w:lang w:val="pt-PT"/>
        </w:rPr>
        <w:t>nh</w:t>
      </w:r>
      <w:r>
        <w:rPr>
          <w:rFonts w:ascii="Arial" w:hAnsi="Arial"/>
        </w:rPr>
        <w:t>ì</w:t>
      </w:r>
      <w:r>
        <w:rPr>
          <w:rFonts w:ascii="Arial" w:hAnsi="Arial"/>
          <w:lang w:val="de-DE"/>
        </w:rPr>
        <w:t xml:space="preserve">n chung </w:t>
      </w:r>
      <w:r>
        <w:rPr>
          <w:rFonts w:ascii="Arial" w:hAnsi="Arial"/>
        </w:rPr>
        <w:t>ổn đị</w:t>
      </w:r>
      <w:r>
        <w:rPr>
          <w:rFonts w:ascii="Arial" w:hAnsi="Arial"/>
          <w:lang w:val="es-ES_tradnl"/>
        </w:rPr>
        <w:t>nh. Tuy nhi</w:t>
      </w:r>
      <w:r>
        <w:rPr>
          <w:rFonts w:ascii="Arial" w:hAnsi="Arial"/>
        </w:rPr>
        <w:t>ên, từ đầu tháng 11, thị trường tà</w:t>
      </w:r>
      <w:r>
        <w:rPr>
          <w:rFonts w:ascii="Arial" w:hAnsi="Arial"/>
          <w:lang w:val="it-IT"/>
        </w:rPr>
        <w:t>i ch</w:t>
      </w:r>
      <w:r>
        <w:rPr>
          <w:rFonts w:ascii="Arial" w:hAnsi="Arial"/>
        </w:rPr>
        <w:t>í</w:t>
      </w:r>
      <w:r>
        <w:rPr>
          <w:rFonts w:ascii="Arial" w:hAnsi="Arial"/>
          <w:lang w:val="pt-PT"/>
        </w:rPr>
        <w:t>nh qu</w:t>
      </w:r>
      <w:r>
        <w:rPr>
          <w:rFonts w:ascii="Arial" w:hAnsi="Arial"/>
        </w:rPr>
        <w:t xml:space="preserve">ốc tế biến động, tác động tâm lý </w:t>
      </w:r>
      <w:r>
        <w:rPr>
          <w:rFonts w:ascii="Arial" w:hAnsi="Arial"/>
        </w:rPr>
        <w:lastRenderedPageBreak/>
        <w:t>khiến tỷ giá trong nước tăng. Nhữ</w:t>
      </w:r>
      <w:r>
        <w:rPr>
          <w:rFonts w:ascii="Arial" w:hAnsi="Arial"/>
          <w:lang w:val="de-DE"/>
        </w:rPr>
        <w:t>ng di</w:t>
      </w:r>
      <w:r>
        <w:rPr>
          <w:rFonts w:ascii="Arial" w:hAnsi="Arial"/>
        </w:rPr>
        <w:t>ễn biến về tỷ giá trên thị trường trong nước trong tháng 11 vừ</w:t>
      </w:r>
      <w:r>
        <w:rPr>
          <w:rFonts w:ascii="Arial" w:hAnsi="Arial"/>
          <w:lang w:val="it-IT"/>
        </w:rPr>
        <w:t>a qua l</w:t>
      </w:r>
      <w:r>
        <w:rPr>
          <w:rFonts w:ascii="Arial" w:hAnsi="Arial"/>
        </w:rPr>
        <w:t>à dễ hiểu vì từ đầu năm 2016 NHNN đã chuyể</w:t>
      </w:r>
      <w:r>
        <w:rPr>
          <w:rFonts w:ascii="Arial" w:hAnsi="Arial"/>
          <w:lang w:val="da-DK"/>
        </w:rPr>
        <w:t>n sang c</w:t>
      </w:r>
      <w:r>
        <w:rPr>
          <w:rFonts w:ascii="Arial" w:hAnsi="Arial"/>
        </w:rPr>
        <w:t>ách thức điều hành tỷ giá mớ</w:t>
      </w:r>
      <w:r>
        <w:rPr>
          <w:rFonts w:ascii="Arial" w:hAnsi="Arial"/>
          <w:lang w:val="pt-PT"/>
        </w:rPr>
        <w:t>i linh ho</w:t>
      </w:r>
      <w:r>
        <w:rPr>
          <w:rFonts w:ascii="Arial" w:hAnsi="Arial"/>
        </w:rPr>
        <w:t>ạt hơn, tứ</w:t>
      </w:r>
      <w:r>
        <w:rPr>
          <w:rFonts w:ascii="Arial" w:hAnsi="Arial"/>
          <w:lang w:val="fr-FR"/>
        </w:rPr>
        <w:t>c l</w:t>
      </w:r>
      <w:r>
        <w:rPr>
          <w:rFonts w:ascii="Arial" w:hAnsi="Arial"/>
        </w:rPr>
        <w:t>à cho phép tỷ giá biến động hàng ngày phù hợ</w:t>
      </w:r>
      <w:r>
        <w:rPr>
          <w:rFonts w:ascii="Arial" w:hAnsi="Arial"/>
          <w:lang w:val="nl-NL"/>
        </w:rPr>
        <w:t>p v</w:t>
      </w:r>
      <w:r>
        <w:rPr>
          <w:rFonts w:ascii="Arial" w:hAnsi="Arial"/>
        </w:rPr>
        <w:t>ớ</w:t>
      </w:r>
      <w:r>
        <w:rPr>
          <w:rFonts w:ascii="Arial" w:hAnsi="Arial"/>
          <w:lang w:val="pt-PT"/>
        </w:rPr>
        <w:t>i nh</w:t>
      </w:r>
      <w:r>
        <w:rPr>
          <w:rFonts w:ascii="Arial" w:hAnsi="Arial"/>
        </w:rPr>
        <w:t>ữ</w:t>
      </w:r>
      <w:r>
        <w:rPr>
          <w:rFonts w:ascii="Arial" w:hAnsi="Arial"/>
          <w:lang w:val="de-DE"/>
        </w:rPr>
        <w:t>ng di</w:t>
      </w:r>
      <w:r>
        <w:rPr>
          <w:rFonts w:ascii="Arial" w:hAnsi="Arial"/>
        </w:rPr>
        <w:t xml:space="preserve">ễn biến trên thị trường trong nước và </w:t>
      </w:r>
      <w:r>
        <w:rPr>
          <w:rFonts w:ascii="Arial" w:hAnsi="Arial"/>
          <w:lang w:val="fr-FR"/>
        </w:rPr>
        <w:t>qu</w:t>
      </w:r>
      <w:r>
        <w:rPr>
          <w:rFonts w:ascii="Arial" w:hAnsi="Arial"/>
        </w:rPr>
        <w:t xml:space="preserve">ốc tế. </w:t>
      </w:r>
      <w:proofErr w:type="gramStart"/>
      <w:r>
        <w:rPr>
          <w:rFonts w:ascii="Arial" w:hAnsi="Arial"/>
        </w:rPr>
        <w:t>Trên thế giới, đồng đô la Mỹ cũ</w:t>
      </w:r>
      <w:r>
        <w:rPr>
          <w:rFonts w:ascii="Arial" w:hAnsi="Arial"/>
          <w:lang w:val="pt-PT"/>
        </w:rPr>
        <w:t>ng nh</w:t>
      </w:r>
      <w:r>
        <w:rPr>
          <w:rFonts w:ascii="Arial" w:hAnsi="Arial"/>
        </w:rPr>
        <w:t>ư các đồng tiền khác biến độ</w:t>
      </w:r>
      <w:r>
        <w:rPr>
          <w:rFonts w:ascii="Arial" w:hAnsi="Arial"/>
          <w:lang w:val="es-ES_tradnl"/>
        </w:rPr>
        <w:t>ng.</w:t>
      </w:r>
      <w:proofErr w:type="gramEnd"/>
      <w:r>
        <w:rPr>
          <w:rFonts w:ascii="Arial" w:hAnsi="Arial"/>
          <w:lang w:val="es-ES_tradnl"/>
        </w:rPr>
        <w:t xml:space="preserve"> Tuy nhi</w:t>
      </w:r>
      <w:r>
        <w:rPr>
          <w:rFonts w:ascii="Arial" w:hAnsi="Arial"/>
        </w:rPr>
        <w:t>ên, về cơ bản cung cầu ngoại tệ trong nước không có yếu tố đột biến, thanh khoản tố</w:t>
      </w:r>
      <w:r>
        <w:rPr>
          <w:rFonts w:ascii="Arial" w:hAnsi="Arial"/>
          <w:lang w:val="fr-FR"/>
        </w:rPr>
        <w:t>t, c</w:t>
      </w:r>
      <w:r>
        <w:rPr>
          <w:rFonts w:ascii="Arial" w:hAnsi="Arial"/>
        </w:rPr>
        <w:t xml:space="preserve">ác nhu cầu ngoại tệ hợp pháp của tổ chức, cá </w:t>
      </w:r>
      <w:r>
        <w:rPr>
          <w:rFonts w:ascii="Arial" w:hAnsi="Arial"/>
          <w:lang w:val="pt-PT"/>
        </w:rPr>
        <w:t>nh</w:t>
      </w:r>
      <w:r>
        <w:rPr>
          <w:rFonts w:ascii="Arial" w:hAnsi="Arial"/>
        </w:rPr>
        <w:t xml:space="preserve">ân được các TCTD đáp ứng kịp thời và đẩy đủ. </w:t>
      </w:r>
    </w:p>
    <w:p w:rsidR="008C70C0" w:rsidRDefault="007874F6" w:rsidP="00B83839">
      <w:pPr>
        <w:pStyle w:val="Body"/>
        <w:shd w:val="clear" w:color="auto" w:fill="FFFFFF"/>
        <w:spacing w:line="360" w:lineRule="auto"/>
        <w:ind w:firstLine="567"/>
        <w:jc w:val="both"/>
        <w:rPr>
          <w:rFonts w:ascii="Arial" w:eastAsia="Arial" w:hAnsi="Arial" w:cs="Arial"/>
        </w:rPr>
      </w:pPr>
      <w:r>
        <w:rPr>
          <w:rFonts w:ascii="Arial" w:hAnsi="Arial"/>
        </w:rPr>
        <w:t>- Liê</w:t>
      </w:r>
      <w:r>
        <w:rPr>
          <w:rFonts w:ascii="Arial" w:hAnsi="Arial"/>
          <w:lang w:val="it-IT"/>
        </w:rPr>
        <w:t xml:space="preserve">n qua </w:t>
      </w:r>
      <w:r>
        <w:rPr>
          <w:rFonts w:ascii="Arial" w:hAnsi="Arial"/>
        </w:rPr>
        <w:t>đến tá</w:t>
      </w:r>
      <w:r>
        <w:rPr>
          <w:rFonts w:ascii="Arial" w:hAnsi="Arial"/>
          <w:lang w:val="it-IT"/>
        </w:rPr>
        <w:t>i c</w:t>
      </w:r>
      <w:r>
        <w:rPr>
          <w:rFonts w:ascii="Arial" w:hAnsi="Arial"/>
        </w:rPr>
        <w:t>ơ cấu hệ thống cá</w:t>
      </w:r>
      <w:r>
        <w:rPr>
          <w:rFonts w:ascii="Arial" w:hAnsi="Arial"/>
          <w:lang w:val="it-IT"/>
        </w:rPr>
        <w:t xml:space="preserve">c TCTD, trong giai </w:t>
      </w:r>
      <w:r>
        <w:rPr>
          <w:rFonts w:ascii="Arial" w:hAnsi="Arial"/>
        </w:rPr>
        <w:t>đoạ</w:t>
      </w:r>
      <w:r>
        <w:rPr>
          <w:rFonts w:ascii="Arial" w:hAnsi="Arial"/>
          <w:lang w:val="pt-PT"/>
        </w:rPr>
        <w:t>n 2011-2015, qu</w:t>
      </w:r>
      <w:r>
        <w:rPr>
          <w:rFonts w:ascii="Arial" w:hAnsi="Arial"/>
        </w:rPr>
        <w:t>á trì</w:t>
      </w:r>
      <w:r>
        <w:rPr>
          <w:rFonts w:ascii="Arial" w:hAnsi="Arial"/>
          <w:lang w:val="pt-PT"/>
        </w:rPr>
        <w:t>nh c</w:t>
      </w:r>
      <w:r>
        <w:rPr>
          <w:rFonts w:ascii="Arial" w:hAnsi="Arial"/>
        </w:rPr>
        <w:t>ủng cố</w:t>
      </w:r>
      <w:r>
        <w:rPr>
          <w:rFonts w:ascii="Arial" w:hAnsi="Arial"/>
          <w:lang w:val="it-IT"/>
        </w:rPr>
        <w:t>, ch</w:t>
      </w:r>
      <w:r>
        <w:rPr>
          <w:rFonts w:ascii="Arial" w:hAnsi="Arial"/>
        </w:rPr>
        <w:t>ấ</w:t>
      </w:r>
      <w:r>
        <w:rPr>
          <w:rFonts w:ascii="Arial" w:hAnsi="Arial"/>
          <w:lang w:val="it-IT"/>
        </w:rPr>
        <w:t>n ch</w:t>
      </w:r>
      <w:r>
        <w:rPr>
          <w:rFonts w:ascii="Arial" w:hAnsi="Arial"/>
        </w:rPr>
        <w:t>ỉ</w:t>
      </w:r>
      <w:r>
        <w:rPr>
          <w:rFonts w:ascii="Arial" w:hAnsi="Arial"/>
          <w:lang w:val="pt-PT"/>
        </w:rPr>
        <w:t>nh, c</w:t>
      </w:r>
      <w:r>
        <w:rPr>
          <w:rFonts w:ascii="Arial" w:hAnsi="Arial"/>
        </w:rPr>
        <w:t>ơ cấu lại hệ thống các TCTD về cơ bản đã đạt được các mục tiêu đề ra tại Đề án “Cơ cấu lại hệ thống cá</w:t>
      </w:r>
      <w:r>
        <w:rPr>
          <w:rFonts w:ascii="Arial" w:hAnsi="Arial"/>
          <w:lang w:val="it-IT"/>
        </w:rPr>
        <w:t xml:space="preserve">c TCTD giai </w:t>
      </w:r>
      <w:r>
        <w:rPr>
          <w:rFonts w:ascii="Arial" w:hAnsi="Arial"/>
        </w:rPr>
        <w:t>đoạn 2011 – 2015” ban hà</w:t>
      </w:r>
      <w:r>
        <w:rPr>
          <w:rFonts w:ascii="Arial" w:hAnsi="Arial"/>
          <w:lang w:val="pt-PT"/>
        </w:rPr>
        <w:t>nh k</w:t>
      </w:r>
      <w:r>
        <w:rPr>
          <w:rFonts w:ascii="Arial" w:hAnsi="Arial"/>
        </w:rPr>
        <w:t>èm theo Quyết định 254/QĐ-TTg ngày 01/3/2012. Sự an toàn, ổn đị</w:t>
      </w:r>
      <w:r>
        <w:rPr>
          <w:rFonts w:ascii="Arial" w:hAnsi="Arial"/>
          <w:lang w:val="pt-PT"/>
        </w:rPr>
        <w:t>nh c</w:t>
      </w:r>
      <w:r>
        <w:rPr>
          <w:rFonts w:ascii="Arial" w:hAnsi="Arial"/>
        </w:rPr>
        <w:t>ủa hệ thống các TCTD đã được duy trì và cải thiện cơ bản, cá</w:t>
      </w:r>
      <w:r>
        <w:rPr>
          <w:rFonts w:ascii="Arial" w:hAnsi="Arial"/>
          <w:lang w:val="es-ES_tradnl"/>
        </w:rPr>
        <w:t>c NHTM y</w:t>
      </w:r>
      <w:r>
        <w:rPr>
          <w:rFonts w:ascii="Arial" w:hAnsi="Arial"/>
        </w:rPr>
        <w:t>ếu kém đã được kiểm soát, giảm dần và cơ cấu lại toà</w:t>
      </w:r>
      <w:r>
        <w:rPr>
          <w:rFonts w:ascii="Arial" w:hAnsi="Arial"/>
          <w:lang w:val="de-DE"/>
        </w:rPr>
        <w:t>n di</w:t>
      </w:r>
      <w:r>
        <w:rPr>
          <w:rFonts w:ascii="Arial" w:hAnsi="Arial"/>
        </w:rPr>
        <w:t>ện. Nợ xấu được xử lý một bướ</w:t>
      </w:r>
      <w:r>
        <w:rPr>
          <w:rFonts w:ascii="Arial" w:hAnsi="Arial"/>
          <w:lang w:val="pt-PT"/>
        </w:rPr>
        <w:t>c quan tr</w:t>
      </w:r>
      <w:r>
        <w:rPr>
          <w:rFonts w:ascii="Arial" w:hAnsi="Arial"/>
        </w:rPr>
        <w:t>ọ</w:t>
      </w:r>
      <w:r>
        <w:rPr>
          <w:rFonts w:ascii="Arial" w:hAnsi="Arial"/>
          <w:lang w:val="nl-NL"/>
        </w:rPr>
        <w:t>ng v</w:t>
      </w:r>
      <w:r>
        <w:rPr>
          <w:rFonts w:ascii="Arial" w:hAnsi="Arial"/>
        </w:rPr>
        <w:t>à giữ ổn đị</w:t>
      </w:r>
      <w:r>
        <w:rPr>
          <w:rFonts w:ascii="Arial" w:hAnsi="Arial"/>
          <w:lang w:val="pt-PT"/>
        </w:rPr>
        <w:t xml:space="preserve">nh </w:t>
      </w:r>
      <w:r>
        <w:rPr>
          <w:rFonts w:ascii="Arial" w:hAnsi="Arial"/>
        </w:rPr>
        <w:t xml:space="preserve">ở mức dưới 3% </w:t>
      </w:r>
      <w:proofErr w:type="gramStart"/>
      <w:r>
        <w:rPr>
          <w:rFonts w:ascii="Arial" w:hAnsi="Arial"/>
        </w:rPr>
        <w:t>theo</w:t>
      </w:r>
      <w:proofErr w:type="gramEnd"/>
      <w:r>
        <w:rPr>
          <w:rFonts w:ascii="Arial" w:hAnsi="Arial"/>
        </w:rPr>
        <w:t xml:space="preserve"> đúng các giải pháp mục tiêu tại Đề án “Xử lý nợ xấu của hệ thống các TCTD” ban hà</w:t>
      </w:r>
      <w:r>
        <w:rPr>
          <w:rFonts w:ascii="Arial" w:hAnsi="Arial"/>
          <w:lang w:val="pt-PT"/>
        </w:rPr>
        <w:t>nh k</w:t>
      </w:r>
      <w:r>
        <w:rPr>
          <w:rFonts w:ascii="Arial" w:hAnsi="Arial"/>
        </w:rPr>
        <w:t xml:space="preserve">èm theo Quyết định 843/QĐ-TTg ngày 31/5/2013. </w:t>
      </w:r>
      <w:proofErr w:type="gramStart"/>
      <w:r>
        <w:rPr>
          <w:rFonts w:ascii="Arial" w:hAnsi="Arial"/>
        </w:rPr>
        <w:t>Dò</w:t>
      </w:r>
      <w:r>
        <w:rPr>
          <w:rFonts w:ascii="Arial" w:hAnsi="Arial"/>
          <w:lang w:val="nl-NL"/>
        </w:rPr>
        <w:t>ng v</w:t>
      </w:r>
      <w:r>
        <w:rPr>
          <w:rFonts w:ascii="Arial" w:hAnsi="Arial"/>
        </w:rPr>
        <w:t>ốn của nề</w:t>
      </w:r>
      <w:r>
        <w:rPr>
          <w:rFonts w:ascii="Arial" w:hAnsi="Arial"/>
          <w:lang w:val="nl-NL"/>
        </w:rPr>
        <w:t>n kinh t</w:t>
      </w:r>
      <w:r>
        <w:rPr>
          <w:rFonts w:ascii="Arial" w:hAnsi="Arial"/>
        </w:rPr>
        <w:t>ế từng bước được khơi thông, tín dụng ngân hàng tiếp tục được mở rộ</w:t>
      </w:r>
      <w:r>
        <w:rPr>
          <w:rFonts w:ascii="Arial" w:hAnsi="Arial"/>
          <w:lang w:val="nl-NL"/>
        </w:rPr>
        <w:t>ng va</w:t>
      </w:r>
      <w:r>
        <w:rPr>
          <w:rFonts w:ascii="Arial" w:hAnsi="Arial"/>
        </w:rPr>
        <w:t>̀ phân bổ phù hợ</w:t>
      </w:r>
      <w:r>
        <w:rPr>
          <w:rFonts w:ascii="Arial" w:hAnsi="Arial"/>
          <w:lang w:val="nl-NL"/>
        </w:rPr>
        <w:t>p v</w:t>
      </w:r>
      <w:r>
        <w:rPr>
          <w:rFonts w:ascii="Arial" w:hAnsi="Arial"/>
        </w:rPr>
        <w:t>ới đị</w:t>
      </w:r>
      <w:r>
        <w:rPr>
          <w:rFonts w:ascii="Arial" w:hAnsi="Arial"/>
          <w:lang w:val="pt-PT"/>
        </w:rPr>
        <w:t>nh h</w:t>
      </w:r>
      <w:r>
        <w:rPr>
          <w:rFonts w:ascii="Arial" w:hAnsi="Arial"/>
        </w:rPr>
        <w:t>ướng đổi mới, phát triể</w:t>
      </w:r>
      <w:r>
        <w:rPr>
          <w:rFonts w:ascii="Arial" w:hAnsi="Arial"/>
          <w:lang w:val="nl-NL"/>
        </w:rPr>
        <w:t>n kinh t</w:t>
      </w:r>
      <w:r>
        <w:rPr>
          <w:rFonts w:ascii="Arial" w:hAnsi="Arial"/>
        </w:rPr>
        <w:t>ế - xã hộ</w:t>
      </w:r>
      <w:r>
        <w:rPr>
          <w:rFonts w:ascii="Arial" w:hAnsi="Arial"/>
          <w:lang w:val="it-IT"/>
        </w:rPr>
        <w:t>i qu</w:t>
      </w:r>
      <w:r>
        <w:rPr>
          <w:rFonts w:ascii="Arial" w:hAnsi="Arial"/>
        </w:rPr>
        <w:t>ố</w:t>
      </w:r>
      <w:r>
        <w:rPr>
          <w:rFonts w:ascii="Arial" w:hAnsi="Arial"/>
          <w:lang w:val="it-IT"/>
        </w:rPr>
        <w:t>c gia b</w:t>
      </w:r>
      <w:r>
        <w:rPr>
          <w:rFonts w:ascii="Arial" w:hAnsi="Arial"/>
        </w:rPr>
        <w:t>ền vững.</w:t>
      </w:r>
      <w:proofErr w:type="gramEnd"/>
      <w:r>
        <w:rPr>
          <w:rFonts w:ascii="Arial" w:hAnsi="Arial"/>
        </w:rPr>
        <w:t xml:space="preserve"> Kế</w:t>
      </w:r>
      <w:r>
        <w:rPr>
          <w:rFonts w:ascii="Arial" w:hAnsi="Arial"/>
          <w:lang w:val="fr-FR"/>
        </w:rPr>
        <w:t>t qu</w:t>
      </w:r>
      <w:r>
        <w:rPr>
          <w:rFonts w:ascii="Arial" w:hAnsi="Arial"/>
        </w:rPr>
        <w:t>ả cơ cấu lạ</w:t>
      </w:r>
      <w:r>
        <w:rPr>
          <w:rFonts w:ascii="Arial" w:hAnsi="Arial"/>
          <w:lang w:val="it-IT"/>
        </w:rPr>
        <w:t>i c</w:t>
      </w:r>
      <w:r>
        <w:rPr>
          <w:rFonts w:ascii="Arial" w:hAnsi="Arial"/>
        </w:rPr>
        <w:t>ác TCTD có tác dụng không chỉ làm là</w:t>
      </w:r>
      <w:r>
        <w:rPr>
          <w:rFonts w:ascii="Arial" w:hAnsi="Arial"/>
          <w:lang w:val="pt-PT"/>
        </w:rPr>
        <w:t>nh m</w:t>
      </w:r>
      <w:r>
        <w:rPr>
          <w:rFonts w:ascii="Arial" w:hAnsi="Arial"/>
        </w:rPr>
        <w:t>ạ</w:t>
      </w:r>
      <w:r>
        <w:rPr>
          <w:rFonts w:ascii="Arial" w:hAnsi="Arial"/>
          <w:lang w:val="pt-PT"/>
        </w:rPr>
        <w:t>nh c</w:t>
      </w:r>
      <w:r>
        <w:rPr>
          <w:rFonts w:ascii="Arial" w:hAnsi="Arial"/>
        </w:rPr>
        <w:t>ác TCTD mà còn có tác dụng hỗ trợ tá</w:t>
      </w:r>
      <w:r>
        <w:rPr>
          <w:rFonts w:ascii="Arial" w:hAnsi="Arial"/>
          <w:lang w:val="it-IT"/>
        </w:rPr>
        <w:t>i c</w:t>
      </w:r>
      <w:r>
        <w:rPr>
          <w:rFonts w:ascii="Arial" w:hAnsi="Arial"/>
        </w:rPr>
        <w:t>ấu trúc doanh nghiệp, thị trường tà</w:t>
      </w:r>
      <w:r>
        <w:rPr>
          <w:rFonts w:ascii="Arial" w:hAnsi="Arial"/>
          <w:lang w:val="it-IT"/>
        </w:rPr>
        <w:t>i ch</w:t>
      </w:r>
      <w:r>
        <w:rPr>
          <w:rFonts w:ascii="Arial" w:hAnsi="Arial"/>
        </w:rPr>
        <w:t>í</w:t>
      </w:r>
      <w:r>
        <w:rPr>
          <w:rFonts w:ascii="Arial" w:hAnsi="Arial"/>
          <w:lang w:val="pt-PT"/>
        </w:rPr>
        <w:t>nh v</w:t>
      </w:r>
      <w:r>
        <w:rPr>
          <w:rFonts w:ascii="Arial" w:hAnsi="Arial"/>
        </w:rPr>
        <w:t>à đầu tư, từ đó thúc đẩy tăng trưở</w:t>
      </w:r>
      <w:r>
        <w:rPr>
          <w:rFonts w:ascii="Arial" w:hAnsi="Arial"/>
          <w:lang w:val="pt-PT"/>
        </w:rPr>
        <w:t>ng kinh t</w:t>
      </w:r>
      <w:r>
        <w:rPr>
          <w:rFonts w:ascii="Arial" w:hAnsi="Arial"/>
        </w:rPr>
        <w:t>ế và ổn đị</w:t>
      </w:r>
      <w:r>
        <w:rPr>
          <w:rFonts w:ascii="Arial" w:hAnsi="Arial"/>
          <w:lang w:val="pt-PT"/>
        </w:rPr>
        <w:t>nh kinh t</w:t>
      </w:r>
      <w:r>
        <w:rPr>
          <w:rFonts w:ascii="Arial" w:hAnsi="Arial"/>
        </w:rPr>
        <w:t>ế vĩ mô bền vững.</w:t>
      </w:r>
    </w:p>
    <w:p w:rsidR="008C70C0" w:rsidRDefault="007874F6" w:rsidP="00B83839">
      <w:pPr>
        <w:pStyle w:val="NormalWeb"/>
        <w:spacing w:before="0" w:after="0" w:line="360" w:lineRule="auto"/>
        <w:ind w:left="720"/>
        <w:jc w:val="both"/>
        <w:rPr>
          <w:rFonts w:ascii="Arial" w:eastAsia="Arial" w:hAnsi="Arial" w:cs="Arial"/>
          <w:sz w:val="28"/>
          <w:szCs w:val="28"/>
        </w:rPr>
      </w:pPr>
      <w:r>
        <w:rPr>
          <w:rFonts w:ascii="Arial" w:hAnsi="Arial"/>
          <w:sz w:val="28"/>
          <w:szCs w:val="28"/>
        </w:rPr>
        <w:t>Định hướng điều hành CSTT trong thời gian tới</w:t>
      </w:r>
    </w:p>
    <w:p w:rsidR="008C70C0" w:rsidRDefault="007874F6" w:rsidP="00B83839">
      <w:pPr>
        <w:pStyle w:val="NormalWeb"/>
        <w:spacing w:before="0" w:after="0" w:line="360" w:lineRule="auto"/>
        <w:ind w:firstLine="567"/>
        <w:jc w:val="both"/>
        <w:rPr>
          <w:rFonts w:ascii="Arial" w:eastAsia="Arial" w:hAnsi="Arial" w:cs="Arial"/>
          <w:sz w:val="28"/>
          <w:szCs w:val="28"/>
        </w:rPr>
      </w:pPr>
      <w:r>
        <w:rPr>
          <w:rFonts w:ascii="Arial" w:hAnsi="Arial"/>
          <w:spacing w:val="-6"/>
          <w:sz w:val="28"/>
          <w:szCs w:val="28"/>
        </w:rPr>
        <w:t xml:space="preserve">Trên cơ sở chủ trương của Quốc hội, chỉ đạo của Chính phủ và các đánh giá, nhận định về tình hình kinh tế, vĩ mô, tiền tệ năm 2017, NHNN điều hành CSTT chủ động, linh hoạt, phối hợp chặt chẽ với chính sách tài </w:t>
      </w:r>
      <w:r>
        <w:rPr>
          <w:rFonts w:ascii="Arial" w:hAnsi="Arial"/>
          <w:spacing w:val="-6"/>
          <w:sz w:val="28"/>
          <w:szCs w:val="28"/>
        </w:rPr>
        <w:lastRenderedPageBreak/>
        <w:t>khóa và các chính sách kinh tế vĩ mô khác nhằm bảo đảm ổn định các cân đối vĩ mô và kiểm soát lạm phát, hỗ trợ tăng trưởng kinh tế ở mức hợp lý. Trong đó, tập trung thực hiện các giải pháp trọng tâm sau:</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xml:space="preserve">- Tiếp tục điều hành linh hoạt các công cụ CSTT nhằm ổn định thị trường tiền tệ, bảo đảm thanh khoản hệ thống, cung ứng vốn có hiệu quả cho nền kinh tế, hỗ trợ ổn định tỷ giá, tạo điều kiện tăng dự trữ ngoại hối Nhà nước phù hợp với điều kiện thực tế và kiểm soát lạm phát theo mục tiêu. </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xml:space="preserve">- Về điều hành lãi suất, NHNN tiếp tục thực hiện các giải pháp điều hành nhằm phấn đấu ổn định lãi suất như năm 2016. </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Trên cơ sở chỉ tiêu kinh tế vĩ mô được Quốc hội và Chính phủ phê duyệt, NHNN xây dựng chỉ tiêu tăng trưởng tín dụng định hướng cả năm 2017 và thực hiện các biện pháp kiểm soát tăng trưởng tín dụng theo chỉ tiêu định hướng, phù hợp với mục tiêu điều hành CSTT, đảm bảo tăng trưởng tín dụng an toàn, hiệu quả, tạo điều kiện thuận lợi cho doanh nghiệp trong tiếp cận vốn tín dụng. Tập trung tín dụng vào lĩnh vực ưu tiên theo chủ trương của Chính phủ; kiểm soát tín dụng ở một số ngành, lĩnh vực tiềm ẩn rủi ro.</w:t>
      </w: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Tiếp tục  kiểm soát chặt chẽ hoạt động cho vay bằng ngoại tệ, phù hợp với chủ trương chống đô - la hóa trong nền kinh tế. Trong bối cảnh tình hình kinh tế - xã hội và hoạt động sản xuất, kinh doanh của doanh nghiệp vẫn còn khó khăn, nhất là doanh nghiệp xuất khẩu, nên để góp phần thực hiện mục tiêu của Chính phủ tại Nghị quyết số 35/NQ-CP về hỗ trợ và phát triển doanh nghiệp đến năm 2020, NHNN ban hành Thông tư quy định TCTD được xem xét, quyết định cho khách hàng vay vốn bằng ngoại tệ để đáp ứng nhu cầu vốn ngắn hạn ở trong nước nhằm thực hiện phương án SXKD hàng xuất khẩu đến hết 31/12/2017.</w:t>
      </w:r>
    </w:p>
    <w:p w:rsidR="008C70C0" w:rsidRDefault="007874F6" w:rsidP="00B83839">
      <w:pPr>
        <w:pStyle w:val="Body"/>
        <w:spacing w:line="360" w:lineRule="auto"/>
      </w:pPr>
      <w:r>
        <w:rPr>
          <w:rFonts w:ascii="Arial Unicode MS" w:hAnsi="Arial Unicode MS"/>
          <w:lang w:val="sv-SE"/>
        </w:rPr>
        <w:br w:type="page"/>
      </w:r>
    </w:p>
    <w:p w:rsidR="008C70C0" w:rsidRDefault="008C70C0" w:rsidP="00B83839">
      <w:pPr>
        <w:pStyle w:val="Body"/>
        <w:tabs>
          <w:tab w:val="left" w:pos="540"/>
        </w:tabs>
        <w:spacing w:line="360" w:lineRule="auto"/>
        <w:ind w:firstLine="567"/>
        <w:jc w:val="both"/>
        <w:rPr>
          <w:rFonts w:ascii="Arial" w:eastAsia="Arial" w:hAnsi="Arial" w:cs="Arial"/>
          <w:lang w:val="sv-SE"/>
        </w:rPr>
      </w:pPr>
    </w:p>
    <w:p w:rsidR="008C70C0" w:rsidRDefault="007874F6" w:rsidP="00B83839">
      <w:pPr>
        <w:pStyle w:val="Body"/>
        <w:tabs>
          <w:tab w:val="left" w:pos="567"/>
          <w:tab w:val="left" w:pos="851"/>
        </w:tabs>
        <w:spacing w:line="360" w:lineRule="auto"/>
        <w:ind w:firstLine="567"/>
        <w:jc w:val="both"/>
        <w:rPr>
          <w:rFonts w:ascii="Arial" w:eastAsia="Arial" w:hAnsi="Arial" w:cs="Arial"/>
        </w:rPr>
      </w:pPr>
      <w:r>
        <w:rPr>
          <w:rFonts w:ascii="Arial" w:hAnsi="Arial"/>
          <w:lang w:val="sv-SE"/>
        </w:rPr>
        <w:t xml:space="preserve">- Về tỷ giá, </w:t>
      </w:r>
      <w:r>
        <w:rPr>
          <w:rFonts w:ascii="Arial" w:hAnsi="Arial"/>
        </w:rPr>
        <w:t>NHNN sẽ theo dõi sát diễn biến củ</w:t>
      </w:r>
      <w:r>
        <w:rPr>
          <w:rFonts w:ascii="Arial" w:hAnsi="Arial"/>
          <w:lang w:val="pt-PT"/>
        </w:rPr>
        <w:t>a kinh t</w:t>
      </w:r>
      <w:r>
        <w:rPr>
          <w:rFonts w:ascii="Arial" w:hAnsi="Arial"/>
        </w:rPr>
        <w:t xml:space="preserve">ế vĩ mô, tiền tệ trong nước và </w:t>
      </w:r>
      <w:r>
        <w:rPr>
          <w:rFonts w:ascii="Arial" w:hAnsi="Arial"/>
          <w:lang w:val="fr-FR"/>
        </w:rPr>
        <w:t>qu</w:t>
      </w:r>
      <w:r>
        <w:rPr>
          <w:rFonts w:ascii="Arial" w:hAnsi="Arial"/>
        </w:rPr>
        <w:t>ốc tế để chủ động thực hiện các biện phá</w:t>
      </w:r>
      <w:r>
        <w:rPr>
          <w:rFonts w:ascii="Arial" w:hAnsi="Arial"/>
          <w:lang w:val="nl-NL"/>
        </w:rPr>
        <w:t>p v</w:t>
      </w:r>
      <w:r>
        <w:rPr>
          <w:rFonts w:ascii="Arial" w:hAnsi="Arial"/>
        </w:rPr>
        <w:t>à công cụ điều hành phù hợp để ổn định thị trường.</w:t>
      </w:r>
    </w:p>
    <w:p w:rsidR="008C70C0" w:rsidRDefault="008C70C0" w:rsidP="00B83839">
      <w:pPr>
        <w:pStyle w:val="Body"/>
        <w:tabs>
          <w:tab w:val="left" w:pos="567"/>
          <w:tab w:val="left" w:pos="851"/>
        </w:tabs>
        <w:spacing w:line="360" w:lineRule="auto"/>
        <w:ind w:firstLine="567"/>
        <w:jc w:val="both"/>
        <w:rPr>
          <w:rFonts w:ascii="Arial" w:eastAsia="Arial" w:hAnsi="Arial" w:cs="Arial"/>
        </w:rPr>
      </w:pPr>
    </w:p>
    <w:p w:rsidR="008C70C0" w:rsidRDefault="007874F6" w:rsidP="00B83839">
      <w:pPr>
        <w:pStyle w:val="Body"/>
        <w:tabs>
          <w:tab w:val="left" w:pos="540"/>
        </w:tabs>
        <w:spacing w:line="360" w:lineRule="auto"/>
        <w:ind w:firstLine="567"/>
        <w:jc w:val="both"/>
        <w:rPr>
          <w:rFonts w:ascii="Arial" w:eastAsia="Arial" w:hAnsi="Arial" w:cs="Arial"/>
        </w:rPr>
      </w:pPr>
      <w:r>
        <w:rPr>
          <w:rFonts w:ascii="Arial" w:hAnsi="Arial"/>
          <w:lang w:val="sv-SE"/>
        </w:rPr>
        <w:t xml:space="preserve">- Tiếp tục phối hợp chặt chẽ với chính sách tài khóa, theo dõi sát diễn biến thị trường, vốn khả dụng của các TCTD, kế hoạch phát hành, giải ngân TPCP để chủ động, kịp thời trong điều hành CSTT. </w:t>
      </w:r>
    </w:p>
    <w:p w:rsidR="008C70C0" w:rsidRDefault="007874F6" w:rsidP="00B83839">
      <w:pPr>
        <w:pStyle w:val="Body"/>
        <w:spacing w:line="360" w:lineRule="auto"/>
        <w:jc w:val="both"/>
      </w:pPr>
      <w:r>
        <w:rPr>
          <w:rFonts w:ascii="Arial Unicode MS" w:hAnsi="Arial Unicode MS"/>
          <w:lang w:val="pt-PT"/>
        </w:rPr>
        <w:br w:type="page"/>
      </w:r>
    </w:p>
    <w:p w:rsidR="008C70C0" w:rsidRDefault="008C70C0" w:rsidP="00B83839">
      <w:pPr>
        <w:pStyle w:val="Body"/>
        <w:spacing w:line="360" w:lineRule="auto"/>
        <w:ind w:left="720" w:firstLine="720"/>
        <w:jc w:val="both"/>
        <w:rPr>
          <w:rFonts w:ascii="Arial" w:eastAsia="Arial" w:hAnsi="Arial" w:cs="Arial"/>
          <w:lang w:val="pt-PT"/>
        </w:rPr>
      </w:pP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Based on the directions of the National Assembly and the Government, and the key tasks in Directive No.01/CT-NHNN dated January 27, 2016 and the Directive No.04/CT-NHNN dated May 27, 2016, the SBV will continue to manage monetary policy in a proactive and flexible manner in close association with the fiscal policy to control inflation, stabilize macro-economy, support economic growth at a reasonable level; decisively take measures to contribute to removing difficulties and promoting business and production. The whole banking sector shall have to focus on the effective implementation of the following key tasks: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Closely follow up the macroeconomic, monetary and banking development to regulate consistent and synchronous tools of monetary policy mainly via open market operations and refinancing tool with the proper quantity and interest rates to support for credit institution liquidity and control the inflation. Continue to instruct credit institutions to balance resources to stabilize interest rates, reduce operational costs and improve business effectiveness toward reducing lending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manage credit growth of the whole system of credit institutions to ensure safe and effective lending with focus on production sector, especially for the agricultural and rural sector, exporters, supporting industries, small and medium enterprises, high-tech enterprises, start up business; to strictly control lending to potential risky sectors, and continue creating preferable conditions for enterprises to access the bank loans.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take synchronous measures to manage forex market effectively in line with macroeconomic and monetary movement, and anti dollarization objectives of the Government; Continue to announce the central daily reference exchange rate in line with monetary policy objectives and conduct effective solutions of stabilizing exchange rate and forex market.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lastRenderedPageBreak/>
        <w:t>- Closely collaborate with fiscal policy and closely watch the market movement and liquidity of credit institutions, the plan of issuance, disbursement of government bonds to regulate monetary policy in proactive and timely manner.</w:t>
      </w: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Results of monetary policy management and banking operations in the first half of 2016</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Following the instructions of the Government in the Resolution No.01/NQ-CP dated January 7, 2016 on key measures in execution of the socio-economic development plan and state budgeting in 2016, Governor of the State Bank of Vietnam issued Directive No.01/CT-NHNN dated February 23, 2016 on the implementation of the monetary policy and safe and sound banking operations in 2016. Accordingly, in the year 2016, the SBV continues to manage the monetary policy in a proactive, flexible in combination with fiscal and other macroeconomic policies in order to control inflation below 5%, stabilize macro-economy, support economic growth at about 6.7%, while ensuring the liquidity of credit institutions and the economy, and stabilizing money market.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lastRenderedPageBreak/>
        <w:t xml:space="preserve">In order to continue to implement the objectives set by the Government in Resolution No 01/NQ-CP dated January 7, 2016, Resolution No.33/NQ-CP dated May 9, 2016 and Resolution 35/NQ-CP dated May 16, 2016, SBV Governor issued Directive No.04/CT-NHNN on May 27,2016 guiding the banking system to accelerate the implementation of solutions set by the SBV in Directive No.01/CT-NHNN and measures to resolve difficulties for enterprises and proactively control the inflation movement.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The SBV implemented monetary policy tools in flexible and consistent manner to regulate the money supply at a reasonable level for the aim of stabilizing interest rates toward reducing lending interest rates, supporting the stability of foreign exchange rate and the issuance of the government bonds, increasing the state forex reserve.</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By July 29, 2016, the total liquidity increased by 9.45%, mobilizing funds rose by 9.94% (VND mobilizing funds increased by 12.28%; mobilizing funds in foreign currencies reduced by 6.25%); the liquidity of the entire banking system was ensured and excessive, interbank interest rates reduced as compared to end of 2015. On the basis of macroeconomic, money and inflation movements, the SBV maintained stable interest rates and utilized monetary policy tools to ensure the liquidity, creating conditions for credit institutions to stabilize interest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From end of May 2016, the SBV instructed credit institutions to conduct several measures to balance funds in order to stabilize interest rates, to reduce operational costs and improve business effectiveness for the aim of reducing lending rates; the SBV issued Circular No.06/2016/TT-NHNN to revise regulations on prudent ratios in operations of credit institutions and foreign bank branches. Specifically, SBV revised the ratio of using short term capital for lending mid and long term loans with an appropriate reducing schedule that contributed to ease the tenseness of interest </w:t>
      </w:r>
      <w:r>
        <w:rPr>
          <w:rFonts w:ascii="Arial" w:hAnsi="Arial"/>
          <w:sz w:val="28"/>
          <w:szCs w:val="28"/>
          <w:lang w:val="en-US"/>
        </w:rPr>
        <w:lastRenderedPageBreak/>
        <w:t xml:space="preserve">rates. Together with the conduction of synchronous measures, the interest rates were maintained stable, from April 2016, the state commercial banks and several joint stock commercial banks reduced interest rates of short term loans by 0.5 percentage point; setting up the interest rate of mid and long term loans at the maximum level of 10%.p.a for loans provided to production and business; concurrently, proactively conducted several lending programs with preferential interest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The daily reference exchange rate was regulated in a flexible manner on the basis of closely watching the demand </w:t>
      </w:r>
      <w:r>
        <w:rPr>
          <w:rFonts w:ascii="Arial" w:hAnsi="Arial"/>
          <w:sz w:val="28"/>
          <w:szCs w:val="28"/>
        </w:rPr>
        <w:t xml:space="preserve">– </w:t>
      </w:r>
      <w:r>
        <w:rPr>
          <w:rFonts w:ascii="Arial" w:hAnsi="Arial"/>
          <w:sz w:val="28"/>
          <w:szCs w:val="28"/>
          <w:lang w:val="en-US"/>
        </w:rPr>
        <w:t xml:space="preserve">supply relation of the international and domestic financial markets and monetary policy objectives. The synchronous solutions were conducted by the SBV to support for the exchange rates whenever the needs be. Hence forex market movement was positive right from the beginning of the year.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The interbank exchange rate of USD/VND in the interbank markets reduced and was relatively stable and fluctuated around the buying rate set by the SBV (VND/USD 22,300).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The liquidity of money market was maintained good, legitimate demand of the customers on foreign currencies was met sufficiently. The psychology of foreign exchange hoarding remarkably reduced; credit institutions bought foreign currencies from the economy, and SBV was able to mobilize foreign exchange to increase the state exchange reserve.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Additionally, SBV conducted synchronous measures of credit management to control credit growth to contribute to supporting economic growth while ensuring credit quality and strictly managing lending activities on risky sectors. Accordingly, the SBV set the orientations to increase credit by 18-20% for the whole 2016, promptly made announcement to every credit institutions and closely watch the movement of lending operations of commercial banks. In the context of </w:t>
      </w:r>
      <w:r>
        <w:rPr>
          <w:rFonts w:ascii="Arial" w:hAnsi="Arial"/>
          <w:sz w:val="28"/>
          <w:szCs w:val="28"/>
          <w:lang w:val="en-US"/>
        </w:rPr>
        <w:lastRenderedPageBreak/>
        <w:t xml:space="preserve">numerous difficulties of the economy in the first six months together with serious incidence of drought, salt intrusion from June 1st, the SBV allowed credit institutions to made their decisions of lending in foreign currencies to meet the domestic demand of short term loans of production and business of export enterprises by December 31, 2016; concurrently the SBV instructed credit institutions to continue to collaborate with local authorities to accelerate program of connecting banks and enterprises, creating favorable conditions for enterprises to access bank loans.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In order to ensure credit quality of the system of credit institutions, the SBV issued Circular to revise regulation on capital-to-risk weighted assets ratio applicable to real estate loans to be applied from January 1, 2017 with the exception of the application to end user clients; SBV revised and supplemented the methodology of identifying and reduced the ratio of short </w:t>
      </w:r>
      <w:r>
        <w:rPr>
          <w:rFonts w:ascii="Arial" w:hAnsi="Arial"/>
          <w:sz w:val="28"/>
          <w:szCs w:val="28"/>
        </w:rPr>
        <w:t xml:space="preserve">– </w:t>
      </w:r>
      <w:r>
        <w:rPr>
          <w:rFonts w:ascii="Arial" w:hAnsi="Arial"/>
          <w:sz w:val="28"/>
          <w:szCs w:val="28"/>
          <w:lang w:val="en-US"/>
        </w:rPr>
        <w:t xml:space="preserve">term capital to be used for lending medium and long term loans applied to credit institutions and branches of foreign banks with appropriate roadmap for the aim of managing liquidity risk and ensuring safe and sound operations of banks. Credit growth was recorded with higher level than that of the same period of the last year. By July 29, 2016, the outstanding credit to the economy increased by 8.54% as compared to end of 2015, the credit structure positively supported to the production and economic growth. The lending policies for fields and industries were conducted effectively by using the SBV resources to contribute to develop the economy and ensure social protection.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SBV continued to take consistent and synchronous measures to manage forex market and effectively eliminated the dollarization and improved the state exchange reserve and the international balance.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lastRenderedPageBreak/>
        <w:t xml:space="preserve">The gold market management was conducted effectively in accordance with Degree No.24/2012/ND-CP; gold price was stable and closely followed by international gold price; gold supply and demand in the market were relatively balanced, the goldization continued to be eliminated, the utilization of gold as payment tool was prevented significantly.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For NPL resolution, by end of June 2016, NPL ratio of whole banking system was 2.58% lower than that ratio of 2.78% recorded in May 2016. According to statistics from credit institutions and VAMC, total amount of NPL resolution in the first six months of 2016 reached VND 59.71 trillion, decreased by 14.55% as compared to the same period of the last year, of which the amount of NPLs sold to VAMC was VND 8.88 trillion; the amount of debt repayment of the customers was VND 30.98 trillion, and using risk provision for resolving NPLs was VND 7.24 trillion.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The orientation of monetary policy management and banking operations in the coming time</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Based on the directions of the National Assembly and the Government, and the key tasks in Directive No.01/CT-NHNN dated January 27, 2016 and the Directive No.04/CT-NHNN dated May 27, 2016, the SBV will continue to manage monetary policy in a proactive and flexible manner in close association with the fiscal policy to control inflation, stabilize macro-economy, support economic growth at a reasonable level; decisively take measures to contribute to removing difficulties and promoting business and production. The whole banking sector shall have to focus on the effective implementation of the following key tasks: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Closely follow up the macroeconomic, monetary and banking development to regulate consistent and synchronous tools of monetary policy mainly via open market operations and refinancing tool with the proper quantity and interest rates to support for credit institution liquidity </w:t>
      </w:r>
      <w:r>
        <w:rPr>
          <w:rFonts w:ascii="Arial" w:hAnsi="Arial"/>
          <w:sz w:val="28"/>
          <w:szCs w:val="28"/>
          <w:lang w:val="en-US"/>
        </w:rPr>
        <w:lastRenderedPageBreak/>
        <w:t xml:space="preserve">and control the inflation. Continue to instruct credit institutions to balance resources to stabilize interest rates, reduce operational costs and improve business effectiveness toward reducing lending rates.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manage credit growth of the whole system of credit institutions to ensure safe and effective lending with focus on production sector, especially for the agricultural and rural sector, exporters, supporting industries, small and medium enterprises, high-tech enterprises, start up business; to strictly control lending to potential risky sectors, and continue creating preferable conditions for enterprises to access the bank loans.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xml:space="preserve">- To take synchronous measures to manage forex market effectively in line with macroeconomic and monetary movement, and anti dollarization objectives of the Government; Continue to announce the central daily reference exchange rate in line with monetary policy objectives and conduct effective solutions of stabilizing exchange rate and forex market. </w:t>
      </w:r>
    </w:p>
    <w:p w:rsidR="008C70C0" w:rsidRDefault="007874F6" w:rsidP="00B83839">
      <w:pPr>
        <w:pStyle w:val="NormalWeb"/>
        <w:spacing w:before="0" w:after="0" w:line="360" w:lineRule="auto"/>
        <w:jc w:val="both"/>
        <w:rPr>
          <w:rFonts w:ascii="Arial" w:eastAsia="Arial" w:hAnsi="Arial" w:cs="Arial"/>
          <w:sz w:val="28"/>
          <w:szCs w:val="28"/>
        </w:rPr>
      </w:pPr>
      <w:r>
        <w:rPr>
          <w:rFonts w:ascii="Arial" w:hAnsi="Arial"/>
          <w:sz w:val="28"/>
          <w:szCs w:val="28"/>
          <w:lang w:val="en-US"/>
        </w:rPr>
        <w:t>- Closely collaborate with fiscal policy and closely watch the market movement and liquidity of credit institutions, the plan of issuance, disbursement of government bonds to regulate monetary policy in proactive and timely manner.</w:t>
      </w:r>
    </w:p>
    <w:p w:rsidR="008C70C0" w:rsidRDefault="007874F6" w:rsidP="00B83839">
      <w:pPr>
        <w:pStyle w:val="Body"/>
        <w:spacing w:line="360" w:lineRule="auto"/>
        <w:jc w:val="both"/>
        <w:rPr>
          <w:rFonts w:ascii="Arial" w:eastAsia="Arial" w:hAnsi="Arial" w:cs="Arial"/>
        </w:rPr>
      </w:pPr>
      <w:r>
        <w:rPr>
          <w:rFonts w:ascii="Arial" w:hAnsi="Arial"/>
        </w:rPr>
        <w:t>The State Bank of Vietnam</w:t>
      </w:r>
    </w:p>
    <w:p w:rsidR="008C70C0" w:rsidRDefault="007874F6" w:rsidP="00B83839">
      <w:pPr>
        <w:pStyle w:val="Body"/>
        <w:spacing w:line="360" w:lineRule="auto"/>
        <w:jc w:val="both"/>
        <w:rPr>
          <w:rFonts w:ascii="Arial" w:eastAsia="Arial" w:hAnsi="Arial" w:cs="Arial"/>
        </w:rPr>
      </w:pPr>
      <w:r>
        <w:rPr>
          <w:rFonts w:ascii="Arial" w:hAnsi="Arial"/>
        </w:rPr>
        <w:t xml:space="preserve">Translated by Mai Huong </w:t>
      </w:r>
    </w:p>
    <w:p w:rsidR="008C70C0" w:rsidRDefault="008C70C0" w:rsidP="00B83839">
      <w:pPr>
        <w:pStyle w:val="Body"/>
        <w:spacing w:line="360" w:lineRule="auto"/>
        <w:jc w:val="both"/>
        <w:rPr>
          <w:rFonts w:ascii="Arial" w:eastAsia="Arial" w:hAnsi="Arial" w:cs="Arial"/>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rPr>
          <w:rFonts w:ascii="Arial" w:eastAsia="Arial" w:hAnsi="Arial" w:cs="Arial"/>
          <w:lang w:val="pt-PT"/>
        </w:rPr>
      </w:pPr>
    </w:p>
    <w:p w:rsidR="008C70C0" w:rsidRDefault="008C70C0" w:rsidP="00B83839">
      <w:pPr>
        <w:pStyle w:val="Body"/>
        <w:spacing w:line="360" w:lineRule="auto"/>
        <w:ind w:left="720" w:firstLine="720"/>
        <w:jc w:val="both"/>
      </w:pPr>
    </w:p>
    <w:sectPr w:rsidR="008C70C0" w:rsidSect="008C70C0">
      <w:headerReference w:type="default" r:id="rId7"/>
      <w:footerReference w:type="default" r:id="rId8"/>
      <w:pgSz w:w="11900" w:h="16840"/>
      <w:pgMar w:top="1418"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DA" w:rsidRDefault="006753DA" w:rsidP="008C70C0">
      <w:r>
        <w:separator/>
      </w:r>
    </w:p>
  </w:endnote>
  <w:endnote w:type="continuationSeparator" w:id="0">
    <w:p w:rsidR="006753DA" w:rsidRDefault="006753DA" w:rsidP="008C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C0" w:rsidRDefault="008C70C0">
    <w:pPr>
      <w:pStyle w:val="Footer"/>
      <w:tabs>
        <w:tab w:val="clear" w:pos="9360"/>
        <w:tab w:val="right" w:pos="9045"/>
      </w:tabs>
      <w:jc w:val="right"/>
    </w:pPr>
    <w:r>
      <w:fldChar w:fldCharType="begin"/>
    </w:r>
    <w:r w:rsidR="007874F6">
      <w:instrText xml:space="preserve"> PAGE </w:instrText>
    </w:r>
    <w:r>
      <w:fldChar w:fldCharType="separate"/>
    </w:r>
    <w:r w:rsidR="0009684B">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DA" w:rsidRDefault="006753DA" w:rsidP="008C70C0">
      <w:r>
        <w:separator/>
      </w:r>
    </w:p>
  </w:footnote>
  <w:footnote w:type="continuationSeparator" w:id="0">
    <w:p w:rsidR="006753DA" w:rsidRDefault="006753DA" w:rsidP="008C7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C0" w:rsidRDefault="008C70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C0"/>
    <w:rsid w:val="0009684B"/>
    <w:rsid w:val="005F0332"/>
    <w:rsid w:val="006753DA"/>
    <w:rsid w:val="007874F6"/>
    <w:rsid w:val="007D1AF5"/>
    <w:rsid w:val="008C70C0"/>
    <w:rsid w:val="00B838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vi-VN" w:eastAsia="vi-V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70C0"/>
    <w:rPr>
      <w:u w:val="single"/>
    </w:rPr>
  </w:style>
  <w:style w:type="paragraph" w:customStyle="1" w:styleId="HeaderFooter">
    <w:name w:val="Header &amp; Footer"/>
    <w:rsid w:val="008C70C0"/>
    <w:pPr>
      <w:tabs>
        <w:tab w:val="right" w:pos="9020"/>
      </w:tabs>
    </w:pPr>
    <w:rPr>
      <w:rFonts w:ascii="Helvetica" w:hAnsi="Helvetica" w:cs="Arial Unicode MS"/>
      <w:color w:val="000000"/>
      <w:sz w:val="24"/>
      <w:szCs w:val="24"/>
    </w:rPr>
  </w:style>
  <w:style w:type="paragraph" w:styleId="Footer">
    <w:name w:val="footer"/>
    <w:rsid w:val="008C70C0"/>
    <w:pPr>
      <w:tabs>
        <w:tab w:val="center" w:pos="4680"/>
        <w:tab w:val="right" w:pos="9360"/>
      </w:tabs>
    </w:pPr>
    <w:rPr>
      <w:rFonts w:cs="Arial Unicode MS"/>
      <w:color w:val="000000"/>
      <w:sz w:val="28"/>
      <w:szCs w:val="28"/>
      <w:u w:color="000000"/>
      <w:lang w:val="en-US"/>
    </w:rPr>
  </w:style>
  <w:style w:type="paragraph" w:customStyle="1" w:styleId="Body">
    <w:name w:val="Body"/>
    <w:rsid w:val="008C70C0"/>
    <w:rPr>
      <w:rFonts w:cs="Arial Unicode MS"/>
      <w:color w:val="000000"/>
      <w:sz w:val="28"/>
      <w:szCs w:val="28"/>
      <w:u w:color="000000"/>
      <w:lang w:val="en-US"/>
    </w:rPr>
  </w:style>
  <w:style w:type="paragraph" w:styleId="NormalWeb">
    <w:name w:val="Normal (Web)"/>
    <w:rsid w:val="008C70C0"/>
    <w:pPr>
      <w:spacing w:before="100" w:after="100"/>
    </w:pPr>
    <w:rPr>
      <w:rFonts w:cs="Arial Unicode MS"/>
      <w:color w:val="000000"/>
      <w:sz w:val="24"/>
      <w:szCs w:val="24"/>
      <w:u w:color="00000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vi-VN" w:eastAsia="vi-V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70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70C0"/>
    <w:rPr>
      <w:u w:val="single"/>
    </w:rPr>
  </w:style>
  <w:style w:type="paragraph" w:customStyle="1" w:styleId="HeaderFooter">
    <w:name w:val="Header &amp; Footer"/>
    <w:rsid w:val="008C70C0"/>
    <w:pPr>
      <w:tabs>
        <w:tab w:val="right" w:pos="9020"/>
      </w:tabs>
    </w:pPr>
    <w:rPr>
      <w:rFonts w:ascii="Helvetica" w:hAnsi="Helvetica" w:cs="Arial Unicode MS"/>
      <w:color w:val="000000"/>
      <w:sz w:val="24"/>
      <w:szCs w:val="24"/>
    </w:rPr>
  </w:style>
  <w:style w:type="paragraph" w:styleId="Footer">
    <w:name w:val="footer"/>
    <w:rsid w:val="008C70C0"/>
    <w:pPr>
      <w:tabs>
        <w:tab w:val="center" w:pos="4680"/>
        <w:tab w:val="right" w:pos="9360"/>
      </w:tabs>
    </w:pPr>
    <w:rPr>
      <w:rFonts w:cs="Arial Unicode MS"/>
      <w:color w:val="000000"/>
      <w:sz w:val="28"/>
      <w:szCs w:val="28"/>
      <w:u w:color="000000"/>
      <w:lang w:val="en-US"/>
    </w:rPr>
  </w:style>
  <w:style w:type="paragraph" w:customStyle="1" w:styleId="Body">
    <w:name w:val="Body"/>
    <w:rsid w:val="008C70C0"/>
    <w:rPr>
      <w:rFonts w:cs="Arial Unicode MS"/>
      <w:color w:val="000000"/>
      <w:sz w:val="28"/>
      <w:szCs w:val="28"/>
      <w:u w:color="000000"/>
      <w:lang w:val="en-US"/>
    </w:rPr>
  </w:style>
  <w:style w:type="paragraph" w:styleId="NormalWeb">
    <w:name w:val="Normal (Web)"/>
    <w:rsid w:val="008C70C0"/>
    <w:pPr>
      <w:spacing w:before="100" w:after="100"/>
    </w:pPr>
    <w:rPr>
      <w:rFonts w:cs="Arial Unicode MS"/>
      <w:color w:val="000000"/>
      <w:sz w:val="24"/>
      <w:szCs w:val="24"/>
      <w:u w:color="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header1.xml" Type="http://schemas.openxmlformats.org/officeDocument/2006/relationships/header"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4067</Words>
  <Characters>23183</Characters>
  <Application>Microsoft Office Word</Application>
  <DocSecurity>0</DocSecurity>
  <Lines>193</Lines>
  <Paragraphs>54</Paragraphs>
  <ScaleCrop>false</ScaleCrop>
  <Company>Microsoft</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TTBC</cp:lastModifiedBy>
  <cp:revision>2</cp:revision>
  <dcterms:created xsi:type="dcterms:W3CDTF">2016-12-21T04:06:00Z</dcterms:created>
  <dcterms:modified xsi:type="dcterms:W3CDTF">2016-12-21T04:06:00Z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SBV246951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249102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http://webcenter-app01:16200/cs/idcplg?IdcService=DESKTOP_DOC_INFO&amp;dDocName=SBV246951&amp;dID=249102&amp;ClientControlled=DocMan,taskpane&amp;coreContentOnly=1</vt:lpwstr>
  </property>
</Properties>
</file>