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38" w:rsidRPr="005D4B1B" w:rsidRDefault="00FE6B38" w:rsidP="00FE6B38">
      <w:pPr>
        <w:tabs>
          <w:tab w:val="left" w:pos="4452"/>
        </w:tabs>
        <w:spacing w:before="120" w:after="120"/>
        <w:jc w:val="center"/>
        <w:rPr>
          <w:rFonts w:ascii="Arial" w:hAnsi="Arial" w:cs="Arial"/>
          <w:b/>
          <w:sz w:val="20"/>
          <w:szCs w:val="20"/>
          <w:lang w:eastAsia="vi-VN"/>
        </w:rPr>
      </w:pPr>
      <w:r w:rsidRPr="005D4B1B">
        <w:rPr>
          <w:rFonts w:ascii="Arial" w:hAnsi="Arial" w:cs="Arial"/>
          <w:b/>
          <w:sz w:val="20"/>
          <w:szCs w:val="20"/>
          <w:lang w:val="vi-VN" w:eastAsia="vi-VN"/>
        </w:rPr>
        <w:t>Weekly information on banking operations (</w:t>
      </w:r>
      <w:r w:rsidRPr="005D4B1B">
        <w:rPr>
          <w:rFonts w:ascii="Arial" w:hAnsi="Arial" w:cs="Arial"/>
          <w:b/>
          <w:sz w:val="20"/>
          <w:szCs w:val="20"/>
          <w:lang w:eastAsia="vi-VN"/>
        </w:rPr>
        <w:t>September 5</w:t>
      </w:r>
      <w:r w:rsidRPr="005D4B1B">
        <w:rPr>
          <w:rFonts w:ascii="Arial" w:hAnsi="Arial" w:cs="Arial"/>
          <w:b/>
          <w:sz w:val="20"/>
          <w:szCs w:val="20"/>
          <w:vertAlign w:val="superscript"/>
          <w:lang w:eastAsia="vi-VN"/>
        </w:rPr>
        <w:t>th</w:t>
      </w:r>
      <w:r w:rsidRPr="005D4B1B">
        <w:rPr>
          <w:rFonts w:ascii="Arial" w:hAnsi="Arial" w:cs="Arial"/>
          <w:b/>
          <w:sz w:val="20"/>
          <w:szCs w:val="20"/>
          <w:lang w:eastAsia="vi-VN"/>
        </w:rPr>
        <w:t xml:space="preserve"> – September 9</w:t>
      </w:r>
      <w:r w:rsidRPr="005D4B1B">
        <w:rPr>
          <w:rFonts w:ascii="Arial" w:hAnsi="Arial" w:cs="Arial"/>
          <w:b/>
          <w:sz w:val="20"/>
          <w:szCs w:val="20"/>
          <w:vertAlign w:val="superscript"/>
          <w:lang w:eastAsia="vi-VN"/>
        </w:rPr>
        <w:t>th</w:t>
      </w:r>
      <w:r w:rsidRPr="005D4B1B">
        <w:rPr>
          <w:rFonts w:ascii="Arial" w:hAnsi="Arial" w:cs="Arial"/>
          <w:b/>
          <w:sz w:val="20"/>
          <w:szCs w:val="20"/>
          <w:lang w:eastAsia="vi-VN"/>
        </w:rPr>
        <w:t>, 2016</w:t>
      </w:r>
      <w:r w:rsidRPr="005D4B1B">
        <w:rPr>
          <w:rFonts w:ascii="Arial" w:hAnsi="Arial" w:cs="Arial"/>
          <w:b/>
          <w:sz w:val="20"/>
          <w:szCs w:val="20"/>
          <w:lang w:val="vi-VN" w:eastAsia="vi-VN"/>
        </w:rPr>
        <w:t>)</w:t>
      </w:r>
    </w:p>
    <w:p w:rsidR="00FE6B38" w:rsidRPr="005D4B1B" w:rsidRDefault="00FE6B38" w:rsidP="00FE6B38">
      <w:pPr>
        <w:jc w:val="center"/>
        <w:rPr>
          <w:rFonts w:ascii="Arial" w:hAnsi="Arial" w:cs="Arial"/>
          <w:b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1. Mobilizing and lending rates: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1.1. Mobilizing rates: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- The VND mobilizing rates </w:t>
      </w:r>
      <w:r w:rsidRPr="005D4B1B">
        <w:rPr>
          <w:rFonts w:ascii="Arial" w:hAnsi="Arial" w:cs="Arial"/>
          <w:sz w:val="20"/>
          <w:szCs w:val="20"/>
          <w:lang w:eastAsia="vi-VN"/>
        </w:rPr>
        <w:t>were relatively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stable.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There were several slight fluctuations on adjusting mobilizing rates.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The rates were commonly 0.8 - 1% p.a for demand and below 1 month terms, 4.5 - 5.4% p.a for 1 to below 6 month terms, 5.4 - 6.5% p.a for 6 month to below 12 month terms; and 6.4 – 7.2% p.a for 12 month plus terms.</w:t>
      </w:r>
    </w:p>
    <w:p w:rsidR="00FE6B38" w:rsidRPr="005D4B1B" w:rsidRDefault="00FE6B38" w:rsidP="00FE6B3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>- The USD mobilizing rates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: </w:t>
      </w:r>
      <w:r w:rsidRPr="005D4B1B">
        <w:rPr>
          <w:rFonts w:ascii="Arial" w:hAnsi="Arial" w:cs="Arial"/>
          <w:sz w:val="20"/>
          <w:szCs w:val="20"/>
        </w:rPr>
        <w:t xml:space="preserve">The 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USD mobilizing rates were commonly 0% p.a for individuals </w:t>
      </w:r>
      <w:r w:rsidRPr="005D4B1B">
        <w:rPr>
          <w:rFonts w:ascii="Arial" w:hAnsi="Arial" w:cs="Arial"/>
          <w:sz w:val="20"/>
          <w:szCs w:val="20"/>
          <w:lang w:eastAsia="vi-VN"/>
        </w:rPr>
        <w:t>and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economic institutions</w:t>
      </w:r>
      <w:r w:rsidRPr="005D4B1B">
        <w:rPr>
          <w:rFonts w:ascii="Arial" w:hAnsi="Arial" w:cs="Arial"/>
          <w:b/>
          <w:bCs/>
          <w:sz w:val="20"/>
          <w:szCs w:val="20"/>
          <w:lang w:eastAsia="vi-VN"/>
        </w:rPr>
        <w:t>.</w:t>
      </w:r>
    </w:p>
    <w:p w:rsidR="00FE6B38" w:rsidRPr="005D4B1B" w:rsidRDefault="00FE6B38" w:rsidP="00FE6B38">
      <w:pPr>
        <w:spacing w:before="120" w:after="120"/>
        <w:ind w:firstLine="720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sz w:val="20"/>
          <w:szCs w:val="20"/>
        </w:rPr>
        <w:t xml:space="preserve"> </w:t>
      </w: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1.2. Lending rates: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pt-BR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>- The VND lending rates</w:t>
      </w:r>
      <w:r w:rsidRPr="005D4B1B">
        <w:rPr>
          <w:rFonts w:ascii="Arial" w:hAnsi="Arial" w:cs="Arial"/>
          <w:sz w:val="20"/>
          <w:szCs w:val="20"/>
          <w:lang w:eastAsia="vi-VN"/>
        </w:rPr>
        <w:t>: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The average rates were commonly 6-7% p.a for short-term loans for priority fields, and state-owned commercial banks continued offering the rates of 9 – 10</w:t>
      </w:r>
      <w:r w:rsidRPr="005D4B1B">
        <w:rPr>
          <w:rFonts w:ascii="Arial" w:hAnsi="Arial" w:cs="Arial"/>
          <w:sz w:val="20"/>
          <w:szCs w:val="20"/>
          <w:lang w:eastAsia="vi-VN"/>
        </w:rPr>
        <w:t>%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p.a for medium and long-term loans for priority fields</w:t>
      </w:r>
      <w:r w:rsidRPr="005D4B1B">
        <w:rPr>
          <w:rFonts w:ascii="Arial" w:hAnsi="Arial" w:cs="Arial"/>
          <w:sz w:val="20"/>
          <w:szCs w:val="20"/>
          <w:lang w:eastAsia="vi-VN"/>
        </w:rPr>
        <w:t>. T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he rates were commonly </w:t>
      </w:r>
      <w:r w:rsidRPr="005D4B1B">
        <w:rPr>
          <w:rFonts w:ascii="Arial" w:hAnsi="Arial" w:cs="Arial"/>
          <w:sz w:val="20"/>
          <w:szCs w:val="20"/>
          <w:lang w:eastAsia="vi-VN"/>
        </w:rPr>
        <w:t>6.8%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- 9</w:t>
      </w:r>
      <w:r w:rsidRPr="005D4B1B">
        <w:rPr>
          <w:rFonts w:ascii="Arial" w:hAnsi="Arial" w:cs="Arial"/>
          <w:sz w:val="20"/>
          <w:szCs w:val="20"/>
          <w:lang w:eastAsia="vi-VN"/>
        </w:rPr>
        <w:t>.0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p.a for short-term and 9.3</w:t>
      </w:r>
      <w:r w:rsidRPr="005D4B1B">
        <w:rPr>
          <w:rFonts w:ascii="Arial" w:hAnsi="Arial" w:cs="Arial"/>
          <w:sz w:val="20"/>
          <w:szCs w:val="20"/>
          <w:lang w:eastAsia="vi-VN"/>
        </w:rPr>
        <w:t>%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– 11</w:t>
      </w:r>
      <w:r w:rsidRPr="005D4B1B">
        <w:rPr>
          <w:rFonts w:ascii="Arial" w:hAnsi="Arial" w:cs="Arial"/>
          <w:sz w:val="20"/>
          <w:szCs w:val="20"/>
          <w:lang w:eastAsia="vi-VN"/>
        </w:rPr>
        <w:t>.0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p.a for medium and long-term ordinary loans.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The lending rate for short term loans was 4-5%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applied to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those </w:t>
      </w:r>
      <w:r w:rsidRPr="005D4B1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customers who have </w:t>
      </w:r>
      <w:r w:rsidRPr="005D4B1B">
        <w:rPr>
          <w:rFonts w:ascii="Arial" w:hAnsi="Arial" w:cs="Arial"/>
          <w:sz w:val="20"/>
          <w:szCs w:val="20"/>
        </w:rPr>
        <w:t>good loan repayment track record, strong and transparent finance.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>- The USD lending rates were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relatively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</w:t>
      </w:r>
      <w:r w:rsidRPr="005D4B1B">
        <w:rPr>
          <w:rFonts w:ascii="Arial" w:hAnsi="Arial" w:cs="Arial"/>
          <w:sz w:val="20"/>
          <w:szCs w:val="20"/>
          <w:lang w:eastAsia="vi-VN"/>
        </w:rPr>
        <w:t>stable. The USD lending rates were commonly 2.8%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5D4B1B">
        <w:rPr>
          <w:rFonts w:ascii="Arial" w:hAnsi="Arial" w:cs="Arial"/>
          <w:sz w:val="20"/>
          <w:szCs w:val="20"/>
          <w:lang w:eastAsia="vi-VN"/>
        </w:rPr>
        <w:t>2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% p.a. The rates were </w:t>
      </w:r>
      <w:r w:rsidRPr="005D4B1B">
        <w:rPr>
          <w:rFonts w:ascii="Arial" w:hAnsi="Arial" w:cs="Arial"/>
          <w:sz w:val="20"/>
          <w:szCs w:val="20"/>
          <w:lang w:eastAsia="vi-VN"/>
        </w:rPr>
        <w:t>2.8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– 5.</w:t>
      </w:r>
      <w:r w:rsidRPr="005D4B1B">
        <w:rPr>
          <w:rFonts w:ascii="Arial" w:hAnsi="Arial" w:cs="Arial"/>
          <w:sz w:val="20"/>
          <w:szCs w:val="20"/>
          <w:lang w:eastAsia="vi-VN"/>
        </w:rPr>
        <w:t>0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p.a for short term and 5.</w:t>
      </w:r>
      <w:r w:rsidRPr="005D4B1B">
        <w:rPr>
          <w:rFonts w:ascii="Arial" w:hAnsi="Arial" w:cs="Arial"/>
          <w:sz w:val="20"/>
          <w:szCs w:val="20"/>
          <w:lang w:eastAsia="vi-VN"/>
        </w:rPr>
        <w:t>1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– 6.</w:t>
      </w:r>
      <w:r w:rsidRPr="005D4B1B">
        <w:rPr>
          <w:rFonts w:ascii="Arial" w:hAnsi="Arial" w:cs="Arial"/>
          <w:sz w:val="20"/>
          <w:szCs w:val="20"/>
          <w:lang w:eastAsia="vi-VN"/>
        </w:rPr>
        <w:t>0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p.a for medium and long term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loans</w:t>
      </w:r>
      <w:r w:rsidRPr="005D4B1B">
        <w:rPr>
          <w:rFonts w:ascii="Arial" w:hAnsi="Arial" w:cs="Arial"/>
          <w:sz w:val="20"/>
          <w:szCs w:val="20"/>
          <w:lang w:val="vi-VN" w:eastAsia="vi-VN"/>
        </w:rPr>
        <w:t>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>The specific lending rates were as follows: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FE6B38" w:rsidRPr="005D4B1B" w:rsidTr="002750D4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Short term</w:t>
            </w: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Medium and long terms</w:t>
            </w: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(% p.a)</w:t>
            </w:r>
          </w:p>
        </w:tc>
      </w:tr>
      <w:tr w:rsidR="00FE6B38" w:rsidRPr="005D4B1B" w:rsidTr="002750D4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6.8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-8.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9.3-10.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</w:tr>
      <w:tr w:rsidR="00FE6B38" w:rsidRPr="005D4B1B" w:rsidTr="002750D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9.0-10.0</w:t>
            </w:r>
          </w:p>
        </w:tc>
      </w:tr>
      <w:tr w:rsidR="00FE6B38" w:rsidRPr="005D4B1B" w:rsidTr="002750D4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2.8-4.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3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1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-6.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</w:tr>
      <w:tr w:rsidR="00FE6B38" w:rsidRPr="005D4B1B" w:rsidTr="002750D4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Group of joint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 xml:space="preserve"> s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toc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 xml:space="preserve">k 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commercial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 xml:space="preserve"> 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7.8-9.0</w:t>
            </w: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10.0-11.0</w:t>
            </w:r>
          </w:p>
        </w:tc>
      </w:tr>
      <w:tr w:rsidR="00FE6B38" w:rsidRPr="005D4B1B" w:rsidTr="002750D4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7.0</w:t>
            </w:r>
          </w:p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10.0-10.5</w:t>
            </w:r>
          </w:p>
        </w:tc>
      </w:tr>
      <w:tr w:rsidR="00FE6B38" w:rsidRPr="005D4B1B" w:rsidTr="002750D4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4.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2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-5.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sz w:val="20"/>
                <w:szCs w:val="20"/>
                <w:lang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5.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2</w:t>
            </w: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-6.</w:t>
            </w:r>
            <w:r w:rsidRPr="005D4B1B">
              <w:rPr>
                <w:rFonts w:ascii="Arial" w:hAnsi="Arial" w:cs="Arial"/>
                <w:sz w:val="20"/>
                <w:szCs w:val="20"/>
                <w:lang w:eastAsia="vi-VN"/>
              </w:rPr>
              <w:t>0</w:t>
            </w:r>
          </w:p>
        </w:tc>
      </w:tr>
    </w:tbl>
    <w:p w:rsidR="00FE6B38" w:rsidRPr="005D4B1B" w:rsidRDefault="00FE6B38" w:rsidP="00FE6B38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E6B38" w:rsidRPr="005D4B1B" w:rsidRDefault="00FE6B38" w:rsidP="00FE6B38">
      <w:pPr>
        <w:spacing w:after="120" w:line="264" w:lineRule="auto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2. Inter-bank transaction turnover: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2.1. Transactions: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>According to the reports of credit institutions and foreign bank branches, the total amount of transactions in the inter-bank market reached about VND 118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407 billion (VND 29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.</w:t>
      </w:r>
      <w:proofErr w:type="gramEnd"/>
      <w:r w:rsidRPr="005D4B1B">
        <w:rPr>
          <w:rFonts w:ascii="Arial" w:hAnsi="Arial" w:cs="Arial"/>
          <w:sz w:val="20"/>
          <w:szCs w:val="20"/>
        </w:rPr>
        <w:t>602 billion per day averagely), increased by VND 3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742 billion per day averagely as compared to the week of August 29 – September 1; and USD amount equivalent to VND 72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230 billion (VND 18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058 billion per day averagely), increased by VND 1</w:t>
      </w:r>
      <w:r>
        <w:rPr>
          <w:rFonts w:ascii="Arial" w:hAnsi="Arial" w:cs="Arial"/>
          <w:sz w:val="20"/>
          <w:szCs w:val="20"/>
        </w:rPr>
        <w:t>,</w:t>
      </w:r>
      <w:r w:rsidRPr="005D4B1B">
        <w:rPr>
          <w:rFonts w:ascii="Arial" w:hAnsi="Arial" w:cs="Arial"/>
          <w:sz w:val="20"/>
          <w:szCs w:val="20"/>
        </w:rPr>
        <w:t>461 billion per day averagely in comparison to the previous week.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eastAsia="vi-VN"/>
        </w:rPr>
        <w:t xml:space="preserve"> 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lastRenderedPageBreak/>
        <w:t xml:space="preserve">Most VND transactions were </w:t>
      </w:r>
      <w:r w:rsidRPr="005D4B1B">
        <w:rPr>
          <w:rFonts w:ascii="Arial" w:hAnsi="Arial" w:cs="Arial"/>
          <w:sz w:val="20"/>
          <w:szCs w:val="20"/>
          <w:lang w:eastAsia="vi-VN"/>
        </w:rPr>
        <w:t>1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 week terms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and 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overnight (accounting </w:t>
      </w:r>
      <w:r w:rsidRPr="005D4B1B">
        <w:rPr>
          <w:rFonts w:ascii="Arial" w:hAnsi="Arial" w:cs="Arial"/>
          <w:sz w:val="20"/>
          <w:szCs w:val="20"/>
          <w:lang w:eastAsia="vi-VN"/>
        </w:rPr>
        <w:t>39% and 32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of the total amount of VND transactions respectively). Transactions in USD were mostly overnight and 1 week terms which accounted for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47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% and </w:t>
      </w:r>
      <w:r w:rsidRPr="005D4B1B">
        <w:rPr>
          <w:rFonts w:ascii="Arial" w:hAnsi="Arial" w:cs="Arial"/>
          <w:sz w:val="20"/>
          <w:szCs w:val="20"/>
          <w:lang w:eastAsia="vi-VN"/>
        </w:rPr>
        <w:t>14</w:t>
      </w:r>
      <w:r w:rsidRPr="005D4B1B">
        <w:rPr>
          <w:rFonts w:ascii="Arial" w:hAnsi="Arial" w:cs="Arial"/>
          <w:sz w:val="20"/>
          <w:szCs w:val="20"/>
          <w:lang w:val="vi-VN" w:eastAsia="vi-VN"/>
        </w:rPr>
        <w:t>% of the total amount of USD transactions respectively.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val="vi-VN"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2.2. The average inter-bank interest rates: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For  VND transactions: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As compared to the week of </w:t>
      </w:r>
      <w:r w:rsidRPr="005D4B1B">
        <w:rPr>
          <w:rFonts w:ascii="Arial" w:hAnsi="Arial" w:cs="Arial"/>
          <w:sz w:val="20"/>
          <w:szCs w:val="20"/>
        </w:rPr>
        <w:t>August 29 – September 1</w:t>
      </w:r>
      <w:r w:rsidRPr="005D4B1B">
        <w:rPr>
          <w:rFonts w:ascii="Arial" w:hAnsi="Arial" w:cs="Arial"/>
          <w:sz w:val="20"/>
          <w:szCs w:val="20"/>
          <w:lang w:eastAsia="vi-VN"/>
        </w:rPr>
        <w:t>, 2016, t</w:t>
      </w:r>
      <w:r w:rsidRPr="005D4B1B">
        <w:rPr>
          <w:rFonts w:ascii="Arial" w:hAnsi="Arial" w:cs="Arial"/>
          <w:sz w:val="20"/>
          <w:szCs w:val="20"/>
          <w:lang w:val="vi-VN" w:eastAsia="vi-VN"/>
        </w:rPr>
        <w:t>he inter-bank interest rate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s </w:t>
      </w:r>
      <w:r>
        <w:rPr>
          <w:rFonts w:ascii="Arial" w:hAnsi="Arial" w:cs="Arial"/>
          <w:sz w:val="20"/>
          <w:szCs w:val="20"/>
          <w:lang w:eastAsia="vi-VN"/>
        </w:rPr>
        <w:t>i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ncreased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for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most key terms below one month. Specifically, the rate for overnight, 1 week and 1 month terms went up to 0.55%, 0.</w:t>
      </w:r>
      <w:r>
        <w:rPr>
          <w:rFonts w:ascii="Arial" w:hAnsi="Arial" w:cs="Arial"/>
          <w:sz w:val="20"/>
          <w:szCs w:val="20"/>
          <w:lang w:eastAsia="vi-VN"/>
        </w:rPr>
        <w:t>60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% and 1.94%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respectively.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For USD transactions: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The average inter – bank interest rates increased for most key terms, specifically average inter – bank interest rates of overnight, one week and one month terms increased to 0.45%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, 0.51%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and 0.70%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p.a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respectively as compared to the previous week.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  <w:r w:rsidRPr="005D4B1B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The specific average inter-bank interest rates were as follows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for </w:t>
      </w:r>
      <w:r w:rsidRPr="005D4B1B">
        <w:rPr>
          <w:rFonts w:ascii="Arial" w:hAnsi="Arial" w:cs="Arial"/>
          <w:sz w:val="20"/>
          <w:szCs w:val="20"/>
        </w:rPr>
        <w:t>August 29 – September 1</w:t>
      </w:r>
      <w:r w:rsidRPr="005D4B1B">
        <w:rPr>
          <w:rFonts w:ascii="Arial" w:hAnsi="Arial" w:cs="Arial"/>
          <w:sz w:val="20"/>
          <w:szCs w:val="20"/>
          <w:lang w:eastAsia="vi-VN"/>
        </w:rPr>
        <w:t>, 2016</w:t>
      </w:r>
      <w:r w:rsidRPr="005D4B1B">
        <w:rPr>
          <w:rFonts w:ascii="Arial" w:hAnsi="Arial" w:cs="Arial"/>
          <w:sz w:val="20"/>
          <w:szCs w:val="20"/>
          <w:lang w:val="vi-VN" w:eastAsia="vi-VN"/>
        </w:rPr>
        <w:t>:</w:t>
      </w: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4"/>
        <w:gridCol w:w="1092"/>
        <w:gridCol w:w="903"/>
        <w:gridCol w:w="850"/>
        <w:gridCol w:w="851"/>
        <w:gridCol w:w="981"/>
        <w:gridCol w:w="862"/>
        <w:gridCol w:w="982"/>
      </w:tblGrid>
      <w:tr w:rsidR="00FE6B38" w:rsidRPr="005D4B1B" w:rsidTr="002750D4">
        <w:trPr>
          <w:trHeight w:val="405"/>
          <w:jc w:val="center"/>
        </w:trPr>
        <w:tc>
          <w:tcPr>
            <w:tcW w:w="8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Term</w:t>
            </w:r>
          </w:p>
        </w:tc>
        <w:tc>
          <w:tcPr>
            <w:tcW w:w="10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Over night</w:t>
            </w:r>
          </w:p>
        </w:tc>
        <w:tc>
          <w:tcPr>
            <w:tcW w:w="90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1 week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2 weeks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1 month</w:t>
            </w:r>
          </w:p>
        </w:tc>
        <w:tc>
          <w:tcPr>
            <w:tcW w:w="98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3 months</w:t>
            </w:r>
          </w:p>
        </w:tc>
        <w:tc>
          <w:tcPr>
            <w:tcW w:w="86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6 months</w:t>
            </w:r>
          </w:p>
        </w:tc>
        <w:tc>
          <w:tcPr>
            <w:tcW w:w="982" w:type="dxa"/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9 months</w:t>
            </w:r>
          </w:p>
        </w:tc>
      </w:tr>
      <w:tr w:rsidR="00FE6B38" w:rsidRPr="005D4B1B" w:rsidTr="002750D4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VND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6.35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E6B38" w:rsidRPr="005D4B1B" w:rsidTr="002750D4">
        <w:trPr>
          <w:trHeight w:val="345"/>
          <w:jc w:val="center"/>
        </w:trPr>
        <w:tc>
          <w:tcPr>
            <w:tcW w:w="8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both"/>
              <w:rPr>
                <w:rFonts w:ascii="Arial" w:hAnsi="Arial" w:cs="Arial"/>
                <w:sz w:val="20"/>
                <w:szCs w:val="20"/>
                <w:lang w:val="vi-VN" w:eastAsia="vi-VN"/>
              </w:rPr>
            </w:pPr>
            <w:r w:rsidRPr="005D4B1B">
              <w:rPr>
                <w:rFonts w:ascii="Arial" w:hAnsi="Arial" w:cs="Arial"/>
                <w:sz w:val="20"/>
                <w:szCs w:val="20"/>
                <w:lang w:val="vi-VN" w:eastAsia="vi-VN"/>
              </w:rPr>
              <w:t>USD</w:t>
            </w:r>
          </w:p>
        </w:tc>
        <w:tc>
          <w:tcPr>
            <w:tcW w:w="10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8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98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FE6B38" w:rsidRPr="005D4B1B" w:rsidRDefault="00FE6B38" w:rsidP="002750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D4B1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  <w:lang w:eastAsia="vi-VN"/>
        </w:rPr>
      </w:pP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 xml:space="preserve">3. </w:t>
      </w:r>
      <w:proofErr w:type="spellStart"/>
      <w:r w:rsidRPr="005D4B1B">
        <w:rPr>
          <w:rFonts w:ascii="Arial" w:hAnsi="Arial" w:cs="Arial"/>
          <w:b/>
          <w:bCs/>
          <w:sz w:val="20"/>
          <w:szCs w:val="20"/>
          <w:lang w:eastAsia="vi-VN"/>
        </w:rPr>
        <w:t>Forex</w:t>
      </w:r>
      <w:proofErr w:type="spellEnd"/>
      <w:r w:rsidRPr="005D4B1B">
        <w:rPr>
          <w:rFonts w:ascii="Arial" w:hAnsi="Arial" w:cs="Arial"/>
          <w:b/>
          <w:bCs/>
          <w:sz w:val="20"/>
          <w:szCs w:val="20"/>
          <w:lang w:eastAsia="vi-VN"/>
        </w:rPr>
        <w:t xml:space="preserve"> market</w:t>
      </w:r>
      <w:r w:rsidRPr="005D4B1B">
        <w:rPr>
          <w:rFonts w:ascii="Arial" w:hAnsi="Arial" w:cs="Arial"/>
          <w:b/>
          <w:bCs/>
          <w:sz w:val="20"/>
          <w:szCs w:val="20"/>
          <w:lang w:val="vi-VN" w:eastAsia="vi-VN"/>
        </w:rPr>
        <w:t>: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>T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he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buying and selling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VND/USD exchange rate quoted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</w:t>
      </w:r>
      <w:r w:rsidRPr="005D4B1B">
        <w:rPr>
          <w:rFonts w:ascii="Arial" w:hAnsi="Arial" w:cs="Arial"/>
          <w:sz w:val="20"/>
          <w:szCs w:val="20"/>
          <w:lang w:val="vi-VN" w:eastAsia="vi-VN"/>
        </w:rPr>
        <w:t xml:space="preserve">by 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the </w:t>
      </w:r>
      <w:r w:rsidRPr="005D4B1B">
        <w:rPr>
          <w:rFonts w:ascii="Arial" w:hAnsi="Arial" w:cs="Arial"/>
          <w:sz w:val="20"/>
          <w:szCs w:val="20"/>
          <w:lang w:val="vi-VN" w:eastAsia="vi-VN"/>
        </w:rPr>
        <w:t>Vietcombank</w:t>
      </w:r>
      <w:r w:rsidRPr="005D4B1B">
        <w:rPr>
          <w:rFonts w:ascii="Arial" w:hAnsi="Arial" w:cs="Arial"/>
          <w:sz w:val="20"/>
          <w:szCs w:val="20"/>
          <w:lang w:eastAsia="vi-VN"/>
        </w:rPr>
        <w:t xml:space="preserve"> </w:t>
      </w:r>
      <w:proofErr w:type="spellStart"/>
      <w:r w:rsidRPr="005D4B1B">
        <w:rPr>
          <w:rFonts w:ascii="Arial" w:hAnsi="Arial" w:cs="Arial"/>
          <w:sz w:val="20"/>
          <w:szCs w:val="20"/>
          <w:lang w:eastAsia="vi-VN"/>
        </w:rPr>
        <w:t>stablized</w:t>
      </w:r>
      <w:proofErr w:type="spellEnd"/>
      <w:r w:rsidRPr="005D4B1B">
        <w:rPr>
          <w:rFonts w:ascii="Arial" w:hAnsi="Arial" w:cs="Arial"/>
          <w:sz w:val="20"/>
          <w:szCs w:val="20"/>
          <w:lang w:eastAsia="vi-VN"/>
        </w:rPr>
        <w:t xml:space="preserve"> and stood at </w:t>
      </w:r>
      <w:r w:rsidRPr="005D4B1B">
        <w:rPr>
          <w:rFonts w:ascii="Arial" w:hAnsi="Arial" w:cs="Arial"/>
          <w:sz w:val="20"/>
          <w:szCs w:val="20"/>
        </w:rPr>
        <w:t xml:space="preserve">VND/USD 22.260/22.330 at the end of day (unchanged as compared to the last day of previous week). 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 xml:space="preserve"> 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 xml:space="preserve">The SBV will continue to conduct synchronous measures and tools of monetary policy to stabilize </w:t>
      </w:r>
      <w:proofErr w:type="spellStart"/>
      <w:r w:rsidRPr="005D4B1B">
        <w:rPr>
          <w:rFonts w:ascii="Arial" w:hAnsi="Arial" w:cs="Arial"/>
          <w:sz w:val="20"/>
          <w:szCs w:val="20"/>
        </w:rPr>
        <w:t>forex</w:t>
      </w:r>
      <w:proofErr w:type="spellEnd"/>
      <w:r w:rsidRPr="005D4B1B">
        <w:rPr>
          <w:rFonts w:ascii="Arial" w:hAnsi="Arial" w:cs="Arial"/>
          <w:sz w:val="20"/>
          <w:szCs w:val="20"/>
        </w:rPr>
        <w:t xml:space="preserve"> market and foreign exchange rate within the allowed margin.</w:t>
      </w:r>
    </w:p>
    <w:p w:rsidR="00FE6B38" w:rsidRPr="005D4B1B" w:rsidRDefault="00FE6B38" w:rsidP="00FE6B38">
      <w:pPr>
        <w:jc w:val="both"/>
        <w:rPr>
          <w:rFonts w:ascii="Arial" w:hAnsi="Arial" w:cs="Arial"/>
          <w:sz w:val="20"/>
          <w:szCs w:val="20"/>
          <w:lang w:eastAsia="vi-VN"/>
        </w:rPr>
      </w:pPr>
    </w:p>
    <w:p w:rsidR="00FE6B38" w:rsidRPr="005D4B1B" w:rsidRDefault="00FE6B38" w:rsidP="00FE6B38">
      <w:pPr>
        <w:rPr>
          <w:rFonts w:ascii="Arial" w:hAnsi="Arial" w:cs="Arial"/>
          <w:sz w:val="20"/>
          <w:szCs w:val="20"/>
        </w:rPr>
      </w:pPr>
      <w:r w:rsidRPr="005D4B1B">
        <w:rPr>
          <w:rFonts w:ascii="Arial" w:hAnsi="Arial" w:cs="Arial"/>
          <w:sz w:val="20"/>
          <w:szCs w:val="20"/>
        </w:rPr>
        <w:t>The State Bank of Vietnam</w:t>
      </w:r>
    </w:p>
    <w:p w:rsidR="00A51A49" w:rsidRDefault="00FE6B38">
      <w:r w:rsidRPr="005D4B1B">
        <w:rPr>
          <w:rFonts w:ascii="Arial" w:hAnsi="Arial" w:cs="Arial"/>
          <w:sz w:val="20"/>
          <w:szCs w:val="20"/>
        </w:rPr>
        <w:t xml:space="preserve">Translated by </w:t>
      </w:r>
      <w:proofErr w:type="spellStart"/>
      <w:r w:rsidRPr="005D4B1B">
        <w:rPr>
          <w:rFonts w:ascii="Arial" w:hAnsi="Arial" w:cs="Arial"/>
          <w:sz w:val="20"/>
          <w:szCs w:val="20"/>
        </w:rPr>
        <w:t>Thoa</w:t>
      </w:r>
      <w:proofErr w:type="spellEnd"/>
      <w:r w:rsidRPr="005D4B1B">
        <w:rPr>
          <w:rFonts w:ascii="Arial" w:hAnsi="Arial" w:cs="Arial"/>
          <w:sz w:val="20"/>
          <w:szCs w:val="20"/>
        </w:rPr>
        <w:t xml:space="preserve"> Le</w:t>
      </w:r>
      <w:bookmarkStart w:id="0" w:name="_GoBack"/>
      <w:bookmarkEnd w:id="0"/>
    </w:p>
    <w:sectPr w:rsidR="00A51A49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38"/>
    <w:rsid w:val="0009772D"/>
    <w:rsid w:val="003B5E1B"/>
    <w:rsid w:val="00433A62"/>
    <w:rsid w:val="00A51A49"/>
    <w:rsid w:val="00E65D12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38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6B3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B38"/>
    <w:pPr>
      <w:spacing w:before="0" w:after="0" w:line="240" w:lineRule="auto"/>
      <w:jc w:val="lef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E6B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4</cp:revision>
  <dcterms:created xsi:type="dcterms:W3CDTF">2016-09-16T07:35:00Z</dcterms:created>
  <dcterms:modified xsi:type="dcterms:W3CDTF">2016-09-16T07:36:00Z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SBV244286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246735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http://webcenter-app01:16200/cs/idcplg?IdcService=DESKTOP_DOC_INFO&amp;dDocName=SBV244286&amp;dID=246735&amp;ClientControlled=DocMan,taskpane&amp;coreContentOnly=1</vt:lpwstr>
  </property>
</Properties>
</file>