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7D7" w:rsidRDefault="003937D7">
      <w:pPr>
        <w:tabs>
          <w:tab w:val="left" w:pos="6660"/>
        </w:tabs>
        <w:spacing w:after="120"/>
        <w:jc w:val="center"/>
        <w:rPr>
          <w:b/>
          <w:bCs/>
          <w:sz w:val="28"/>
          <w:szCs w:val="28"/>
        </w:rPr>
      </w:pPr>
    </w:p>
    <w:p w:rsidR="003937D7" w:rsidRDefault="004A1DD5">
      <w:pPr>
        <w:jc w:val="both"/>
        <w:rPr>
          <w:rFonts w:ascii="Arial" w:eastAsia="Arial" w:hAnsi="Arial" w:cs="Arial"/>
          <w:b/>
          <w:bCs/>
          <w:sz w:val="20"/>
          <w:szCs w:val="20"/>
        </w:rPr>
      </w:pPr>
      <w:r>
        <w:rPr>
          <w:rFonts w:ascii="Arial" w:hAnsi="Arial"/>
          <w:b/>
          <w:bCs/>
          <w:sz w:val="20"/>
          <w:szCs w:val="20"/>
        </w:rPr>
        <w:t>Press Release on issuance of Circular No.30/2016/TT-NHNN</w:t>
      </w:r>
    </w:p>
    <w:p w:rsidR="003937D7" w:rsidRDefault="003937D7">
      <w:pPr>
        <w:jc w:val="both"/>
        <w:rPr>
          <w:rFonts w:ascii="Arial" w:eastAsia="Arial" w:hAnsi="Arial" w:cs="Arial"/>
          <w:sz w:val="20"/>
          <w:szCs w:val="20"/>
        </w:rPr>
      </w:pPr>
    </w:p>
    <w:p w:rsidR="003937D7" w:rsidRDefault="004A1DD5">
      <w:pPr>
        <w:jc w:val="both"/>
        <w:rPr>
          <w:rFonts w:ascii="Arial" w:eastAsia="Arial" w:hAnsi="Arial" w:cs="Arial"/>
          <w:sz w:val="20"/>
          <w:szCs w:val="20"/>
        </w:rPr>
      </w:pPr>
      <w:r>
        <w:rPr>
          <w:rFonts w:ascii="Arial" w:hAnsi="Arial"/>
          <w:sz w:val="20"/>
          <w:szCs w:val="20"/>
        </w:rPr>
        <w:t>The Governor of the State Bank of Vietnam (SBV) issued Circular No. 30/2016/TT-NHNN on October 14, 216 to revise a number of</w:t>
      </w:r>
      <w:r>
        <w:rPr>
          <w:rFonts w:ascii="Arial" w:hAnsi="Arial"/>
          <w:sz w:val="20"/>
          <w:szCs w:val="20"/>
        </w:rPr>
        <w:t xml:space="preserve"> circulars on the provision of payment services and payment agent services. </w:t>
      </w:r>
    </w:p>
    <w:p w:rsidR="003937D7" w:rsidRDefault="003937D7">
      <w:pPr>
        <w:jc w:val="both"/>
        <w:rPr>
          <w:rFonts w:ascii="Arial" w:eastAsia="Arial" w:hAnsi="Arial" w:cs="Arial"/>
          <w:sz w:val="20"/>
          <w:szCs w:val="20"/>
        </w:rPr>
      </w:pPr>
    </w:p>
    <w:p w:rsidR="003937D7" w:rsidRDefault="004A1DD5">
      <w:pPr>
        <w:jc w:val="both"/>
        <w:rPr>
          <w:rFonts w:ascii="Arial" w:eastAsia="Arial" w:hAnsi="Arial" w:cs="Arial"/>
          <w:sz w:val="20"/>
          <w:szCs w:val="20"/>
        </w:rPr>
      </w:pPr>
      <w:r>
        <w:rPr>
          <w:rFonts w:ascii="Arial" w:hAnsi="Arial"/>
          <w:sz w:val="20"/>
          <w:szCs w:val="20"/>
        </w:rPr>
        <w:t xml:space="preserve">Accordingly, revised circulars include Circular No. 19/2016/TT-NHNN dated June 30, 2016 on bank </w:t>
      </w:r>
      <w:r w:rsidR="00D61017">
        <w:rPr>
          <w:rFonts w:ascii="Arial" w:hAnsi="Arial"/>
          <w:sz w:val="20"/>
          <w:szCs w:val="20"/>
        </w:rPr>
        <w:t>card activities; Circular No.</w:t>
      </w:r>
      <w:r>
        <w:rPr>
          <w:rFonts w:ascii="Arial" w:hAnsi="Arial"/>
          <w:sz w:val="20"/>
          <w:szCs w:val="20"/>
        </w:rPr>
        <w:t>22/2015/TT-NHNN dated November 20, 2015 on the pro</w:t>
      </w:r>
      <w:r>
        <w:rPr>
          <w:rFonts w:ascii="Arial" w:hAnsi="Arial"/>
          <w:sz w:val="20"/>
          <w:szCs w:val="20"/>
        </w:rPr>
        <w:t>vision and utili</w:t>
      </w:r>
      <w:r w:rsidR="00D61017">
        <w:rPr>
          <w:rFonts w:ascii="Arial" w:hAnsi="Arial"/>
          <w:sz w:val="20"/>
          <w:szCs w:val="20"/>
        </w:rPr>
        <w:t xml:space="preserve">zation of </w:t>
      </w:r>
      <w:proofErr w:type="spellStart"/>
      <w:r w:rsidR="00D61017">
        <w:rPr>
          <w:rFonts w:ascii="Arial" w:hAnsi="Arial"/>
          <w:sz w:val="20"/>
          <w:szCs w:val="20"/>
        </w:rPr>
        <w:t>cheques</w:t>
      </w:r>
      <w:proofErr w:type="spellEnd"/>
      <w:r w:rsidR="00D61017">
        <w:rPr>
          <w:rFonts w:ascii="Arial" w:hAnsi="Arial"/>
          <w:sz w:val="20"/>
          <w:szCs w:val="20"/>
        </w:rPr>
        <w:t>; Circular No.</w:t>
      </w:r>
      <w:r>
        <w:rPr>
          <w:rFonts w:ascii="Arial" w:hAnsi="Arial"/>
          <w:sz w:val="20"/>
          <w:szCs w:val="20"/>
        </w:rPr>
        <w:t xml:space="preserve">39/2014/TT-NHNN dated December 11, 2014 for guidance on payment agent services and Circular No. 36/2012/TT-NHNN dated December 28, 2012 on regulations with regard to managing, operating and ensuring the safe </w:t>
      </w:r>
      <w:r>
        <w:rPr>
          <w:rFonts w:ascii="Arial" w:hAnsi="Arial"/>
          <w:sz w:val="20"/>
          <w:szCs w:val="20"/>
        </w:rPr>
        <w:t>operation of ATMs.</w:t>
      </w:r>
    </w:p>
    <w:p w:rsidR="003937D7" w:rsidRDefault="004A1DD5">
      <w:pPr>
        <w:spacing w:before="80" w:after="160"/>
        <w:jc w:val="both"/>
        <w:rPr>
          <w:rFonts w:ascii="Arial" w:eastAsia="Arial" w:hAnsi="Arial" w:cs="Arial"/>
          <w:sz w:val="20"/>
          <w:szCs w:val="20"/>
        </w:rPr>
      </w:pPr>
      <w:r>
        <w:rPr>
          <w:rFonts w:ascii="Arial" w:hAnsi="Arial"/>
          <w:sz w:val="20"/>
          <w:szCs w:val="20"/>
        </w:rPr>
        <w:t>In response to an increase in the risks and fraud of electronic and card payment in Vietnam, and the requirement to clarify regulations on reviewing, and the claiming of loss and errors arising during card usage in order to ensure the ri</w:t>
      </w:r>
      <w:r>
        <w:rPr>
          <w:rFonts w:ascii="Arial" w:hAnsi="Arial"/>
          <w:sz w:val="20"/>
          <w:szCs w:val="20"/>
        </w:rPr>
        <w:t xml:space="preserve">ghts of customers when using payment services, the SBV has issued this Circular with the following main points: </w:t>
      </w:r>
    </w:p>
    <w:p w:rsidR="003937D7" w:rsidRDefault="004A1DD5">
      <w:pPr>
        <w:jc w:val="both"/>
        <w:rPr>
          <w:rFonts w:ascii="Arial" w:eastAsia="Arial" w:hAnsi="Arial" w:cs="Arial"/>
          <w:sz w:val="20"/>
          <w:szCs w:val="20"/>
        </w:rPr>
      </w:pPr>
      <w:r>
        <w:rPr>
          <w:rFonts w:ascii="Arial" w:hAnsi="Arial"/>
          <w:sz w:val="20"/>
          <w:szCs w:val="20"/>
          <w:lang w:val="pt-PT"/>
        </w:rPr>
        <w:t>1. Revising articles of Circular No.</w:t>
      </w:r>
      <w:r>
        <w:rPr>
          <w:rFonts w:ascii="Arial" w:hAnsi="Arial"/>
          <w:sz w:val="20"/>
          <w:szCs w:val="20"/>
        </w:rPr>
        <w:t xml:space="preserve"> 19/2016/TT-NHNN to supplement regulations relating to the method of card issuers to receive claims; card i</w:t>
      </w:r>
      <w:r>
        <w:rPr>
          <w:rFonts w:ascii="Arial" w:hAnsi="Arial"/>
          <w:sz w:val="20"/>
          <w:szCs w:val="20"/>
        </w:rPr>
        <w:t>ssuers</w:t>
      </w:r>
      <w:r>
        <w:rPr>
          <w:rFonts w:ascii="Arial" w:hAnsi="Arial"/>
          <w:sz w:val="20"/>
          <w:szCs w:val="20"/>
        </w:rPr>
        <w:t xml:space="preserve">’ </w:t>
      </w:r>
      <w:r>
        <w:rPr>
          <w:rFonts w:ascii="Arial" w:hAnsi="Arial"/>
          <w:sz w:val="20"/>
          <w:szCs w:val="20"/>
        </w:rPr>
        <w:t>time and results of solving claims by cardholders. To revise articles related to procedures for registering the card designs of card issuers at the SBV.</w:t>
      </w:r>
    </w:p>
    <w:p w:rsidR="003937D7" w:rsidRDefault="004A1DD5">
      <w:pPr>
        <w:spacing w:before="120"/>
        <w:jc w:val="both"/>
        <w:rPr>
          <w:rFonts w:ascii="Arial" w:eastAsia="Arial" w:hAnsi="Arial" w:cs="Arial"/>
          <w:sz w:val="20"/>
          <w:szCs w:val="20"/>
        </w:rPr>
      </w:pPr>
      <w:r>
        <w:rPr>
          <w:rFonts w:ascii="Arial" w:hAnsi="Arial"/>
          <w:sz w:val="20"/>
          <w:szCs w:val="20"/>
        </w:rPr>
        <w:t xml:space="preserve">2. </w:t>
      </w:r>
      <w:r>
        <w:rPr>
          <w:rFonts w:ascii="Arial" w:hAnsi="Arial"/>
          <w:sz w:val="20"/>
          <w:szCs w:val="20"/>
          <w:lang w:val="pt-PT"/>
        </w:rPr>
        <w:t xml:space="preserve">Revising several articles of Circular No. </w:t>
      </w:r>
      <w:r>
        <w:rPr>
          <w:rFonts w:ascii="Arial" w:hAnsi="Arial"/>
          <w:sz w:val="20"/>
          <w:szCs w:val="20"/>
        </w:rPr>
        <w:t xml:space="preserve">22/2015/TT-NHNN to supplement regulations related </w:t>
      </w:r>
      <w:r>
        <w:rPr>
          <w:rFonts w:ascii="Arial" w:hAnsi="Arial"/>
          <w:sz w:val="20"/>
          <w:szCs w:val="20"/>
        </w:rPr>
        <w:t xml:space="preserve">to the method by which </w:t>
      </w:r>
      <w:proofErr w:type="spellStart"/>
      <w:r>
        <w:rPr>
          <w:rFonts w:ascii="Arial" w:hAnsi="Arial"/>
          <w:sz w:val="20"/>
          <w:szCs w:val="20"/>
        </w:rPr>
        <w:t>cheque</w:t>
      </w:r>
      <w:proofErr w:type="spellEnd"/>
      <w:r>
        <w:rPr>
          <w:rFonts w:ascii="Arial" w:hAnsi="Arial"/>
          <w:sz w:val="20"/>
          <w:szCs w:val="20"/>
        </w:rPr>
        <w:t xml:space="preserve"> issuers receive claims; </w:t>
      </w:r>
      <w:proofErr w:type="spellStart"/>
      <w:r>
        <w:rPr>
          <w:rFonts w:ascii="Arial" w:hAnsi="Arial"/>
          <w:sz w:val="20"/>
          <w:szCs w:val="20"/>
        </w:rPr>
        <w:t>cheque</w:t>
      </w:r>
      <w:proofErr w:type="spellEnd"/>
      <w:r>
        <w:rPr>
          <w:rFonts w:ascii="Arial" w:hAnsi="Arial"/>
          <w:sz w:val="20"/>
          <w:szCs w:val="20"/>
        </w:rPr>
        <w:t xml:space="preserve"> issuers</w:t>
      </w:r>
      <w:r>
        <w:rPr>
          <w:rFonts w:ascii="Arial" w:hAnsi="Arial"/>
          <w:sz w:val="20"/>
          <w:szCs w:val="20"/>
        </w:rPr>
        <w:t xml:space="preserve">’ </w:t>
      </w:r>
      <w:r>
        <w:rPr>
          <w:rFonts w:ascii="Arial" w:hAnsi="Arial"/>
          <w:sz w:val="20"/>
          <w:szCs w:val="20"/>
        </w:rPr>
        <w:t xml:space="preserve">time and the results of solving claims by </w:t>
      </w:r>
      <w:proofErr w:type="spellStart"/>
      <w:r>
        <w:rPr>
          <w:rFonts w:ascii="Arial" w:hAnsi="Arial"/>
          <w:sz w:val="20"/>
          <w:szCs w:val="20"/>
        </w:rPr>
        <w:t>cheque</w:t>
      </w:r>
      <w:proofErr w:type="spellEnd"/>
      <w:r>
        <w:rPr>
          <w:rFonts w:ascii="Arial" w:hAnsi="Arial"/>
          <w:sz w:val="20"/>
          <w:szCs w:val="20"/>
        </w:rPr>
        <w:t xml:space="preserve"> holders.</w:t>
      </w:r>
    </w:p>
    <w:p w:rsidR="003937D7" w:rsidRDefault="004A1DD5">
      <w:pPr>
        <w:spacing w:before="120"/>
        <w:jc w:val="both"/>
        <w:rPr>
          <w:rFonts w:ascii="Arial" w:eastAsia="Arial" w:hAnsi="Arial" w:cs="Arial"/>
          <w:sz w:val="20"/>
          <w:szCs w:val="20"/>
        </w:rPr>
      </w:pPr>
      <w:r>
        <w:rPr>
          <w:rFonts w:ascii="Arial" w:hAnsi="Arial"/>
          <w:sz w:val="20"/>
          <w:szCs w:val="20"/>
        </w:rPr>
        <w:t xml:space="preserve">3. </w:t>
      </w:r>
      <w:r>
        <w:rPr>
          <w:rFonts w:ascii="Arial" w:hAnsi="Arial"/>
          <w:sz w:val="20"/>
          <w:szCs w:val="20"/>
          <w:lang w:val="pt-PT"/>
        </w:rPr>
        <w:t xml:space="preserve">Revising several articles of Circular No. </w:t>
      </w:r>
      <w:r>
        <w:rPr>
          <w:rFonts w:ascii="Arial" w:hAnsi="Arial"/>
          <w:sz w:val="20"/>
          <w:szCs w:val="20"/>
        </w:rPr>
        <w:t>39/2014/TT-NHNN to supplement regulations related to how card service-providers dea</w:t>
      </w:r>
      <w:r>
        <w:rPr>
          <w:rFonts w:ascii="Arial" w:hAnsi="Arial"/>
          <w:sz w:val="20"/>
          <w:szCs w:val="20"/>
        </w:rPr>
        <w:t>l with claims; card service providers</w:t>
      </w:r>
      <w:r>
        <w:rPr>
          <w:rFonts w:ascii="Arial" w:hAnsi="Arial"/>
          <w:sz w:val="20"/>
          <w:szCs w:val="20"/>
        </w:rPr>
        <w:t xml:space="preserve">’ </w:t>
      </w:r>
      <w:r>
        <w:rPr>
          <w:rFonts w:ascii="Arial" w:hAnsi="Arial"/>
          <w:sz w:val="20"/>
          <w:szCs w:val="20"/>
        </w:rPr>
        <w:t>time and the results of solving claims from customers.</w:t>
      </w:r>
    </w:p>
    <w:p w:rsidR="003937D7" w:rsidRDefault="004A1DD5">
      <w:pPr>
        <w:tabs>
          <w:tab w:val="left" w:pos="993"/>
        </w:tabs>
        <w:spacing w:before="120"/>
        <w:jc w:val="both"/>
        <w:rPr>
          <w:rFonts w:ascii="Arial" w:eastAsia="Arial" w:hAnsi="Arial" w:cs="Arial"/>
          <w:sz w:val="20"/>
          <w:szCs w:val="20"/>
        </w:rPr>
      </w:pPr>
      <w:r>
        <w:rPr>
          <w:rFonts w:ascii="Arial" w:hAnsi="Arial"/>
          <w:sz w:val="20"/>
          <w:szCs w:val="20"/>
        </w:rPr>
        <w:t>4. Abolishing regulations on the responsibilities of SBV branches to confirm the registration of installing, moving and terminating the operations of ATMs of paym</w:t>
      </w:r>
      <w:r>
        <w:rPr>
          <w:rFonts w:ascii="Arial" w:hAnsi="Arial"/>
          <w:sz w:val="20"/>
          <w:szCs w:val="20"/>
        </w:rPr>
        <w:t>ent service providers as stipulated in Circular No. 36/2012/TT-NHNN</w:t>
      </w:r>
      <w:r>
        <w:rPr>
          <w:rFonts w:ascii="Arial" w:hAnsi="Arial"/>
          <w:sz w:val="20"/>
          <w:szCs w:val="20"/>
          <w:lang w:val="pt-PT"/>
        </w:rPr>
        <w:t>.</w:t>
      </w:r>
    </w:p>
    <w:p w:rsidR="003937D7" w:rsidRDefault="004A1DD5">
      <w:pPr>
        <w:tabs>
          <w:tab w:val="left" w:pos="993"/>
        </w:tabs>
        <w:spacing w:before="120"/>
        <w:jc w:val="both"/>
        <w:rPr>
          <w:rFonts w:ascii="Arial" w:eastAsia="Arial" w:hAnsi="Arial" w:cs="Arial"/>
          <w:sz w:val="20"/>
          <w:szCs w:val="20"/>
          <w:lang w:val="pt-PT"/>
        </w:rPr>
      </w:pPr>
      <w:r>
        <w:rPr>
          <w:rFonts w:ascii="Arial" w:hAnsi="Arial"/>
          <w:sz w:val="20"/>
          <w:szCs w:val="20"/>
          <w:lang w:val="pt-PT"/>
        </w:rPr>
        <w:t>The Circular will take effect from November 28, 2016.</w:t>
      </w:r>
    </w:p>
    <w:p w:rsidR="003937D7" w:rsidRPr="00D61017" w:rsidRDefault="00D61017" w:rsidP="00D61017">
      <w:pPr>
        <w:tabs>
          <w:tab w:val="left" w:pos="6660"/>
        </w:tabs>
        <w:spacing w:before="120" w:after="120"/>
        <w:rPr>
          <w:rFonts w:ascii="Arial" w:eastAsia="Arial" w:hAnsi="Arial" w:cs="Arial"/>
          <w:bCs/>
          <w:sz w:val="20"/>
          <w:szCs w:val="20"/>
          <w:lang w:val="vi-VN"/>
        </w:rPr>
      </w:pPr>
      <w:r w:rsidRPr="00D61017">
        <w:rPr>
          <w:rFonts w:ascii="Arial" w:eastAsia="Arial" w:hAnsi="Arial" w:cs="Arial"/>
          <w:bCs/>
          <w:sz w:val="20"/>
          <w:szCs w:val="20"/>
        </w:rPr>
        <w:t>Translated by Le Hang</w:t>
      </w:r>
    </w:p>
    <w:p w:rsidR="003937D7" w:rsidRDefault="003937D7">
      <w:pPr>
        <w:tabs>
          <w:tab w:val="left" w:pos="6660"/>
        </w:tabs>
        <w:spacing w:after="120"/>
        <w:jc w:val="center"/>
        <w:rPr>
          <w:b/>
          <w:bCs/>
          <w:sz w:val="28"/>
          <w:szCs w:val="28"/>
        </w:rPr>
      </w:pPr>
      <w:bookmarkStart w:id="0" w:name="_GoBack"/>
      <w:bookmarkEnd w:id="0"/>
    </w:p>
    <w:p w:rsidR="003937D7" w:rsidRDefault="003937D7">
      <w:pPr>
        <w:tabs>
          <w:tab w:val="left" w:pos="1080"/>
        </w:tabs>
        <w:spacing w:before="60" w:after="120"/>
        <w:ind w:firstLine="709"/>
        <w:jc w:val="right"/>
      </w:pPr>
    </w:p>
    <w:sectPr w:rsidR="003937D7">
      <w:headerReference w:type="default" r:id="rId7"/>
      <w:footerReference w:type="default" r:id="rId8"/>
      <w:pgSz w:w="11900" w:h="16840"/>
      <w:pgMar w:top="1021" w:right="1021" w:bottom="851" w:left="158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DD5" w:rsidRDefault="004A1DD5">
      <w:r>
        <w:separator/>
      </w:r>
    </w:p>
  </w:endnote>
  <w:endnote w:type="continuationSeparator" w:id="0">
    <w:p w:rsidR="004A1DD5" w:rsidRDefault="004A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7D7" w:rsidRDefault="003937D7">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DD5" w:rsidRDefault="004A1DD5">
      <w:r>
        <w:separator/>
      </w:r>
    </w:p>
  </w:footnote>
  <w:footnote w:type="continuationSeparator" w:id="0">
    <w:p w:rsidR="004A1DD5" w:rsidRDefault="004A1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7D7" w:rsidRDefault="003937D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937D7"/>
    <w:rsid w:val="003937D7"/>
    <w:rsid w:val="004A1DD5"/>
    <w:rsid w:val="00D6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Relationship Target="footer1.xml" Type="http://schemas.openxmlformats.org/officeDocument/2006/relationships/footer" Id="rId8"></Relationship><Relationship Target="settings.xml" Type="http://schemas.openxmlformats.org/officeDocument/2006/relationships/settings" Id="rId3"></Relationship><Relationship Target="header1.xml" Type="http://schemas.openxmlformats.org/officeDocument/2006/relationships/header" Id="rId7"></Relationship><Relationship Target="stylesWithEffects.xml" Type="http://schemas.microsoft.com/office/2007/relationships/stylesWithEffects" Id="rId2"></Relationship><Relationship Target="styles.xml" Type="http://schemas.openxmlformats.org/officeDocument/2006/relationships/styles"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theme/theme1.xml" Type="http://schemas.openxmlformats.org/officeDocument/2006/relationships/theme" Id="rId10"></Relationship><Relationship Target="webSettings.xml" Type="http://schemas.openxmlformats.org/officeDocument/2006/relationships/web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dc:creator>
  <cp:lastModifiedBy>TTBC</cp:lastModifiedBy>
  <cp:revision>2</cp:revision>
  <dcterms:created xsi:type="dcterms:W3CDTF">2016-11-04T09:30:00Z</dcterms:created>
  <dcterms:modified xsi:type="dcterms:W3CDTF">2016-11-04T09:30:00Z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SBV245324</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247977</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http://webcenter-app01:16200/cs/idcplg?IdcService=DESKTOP_DOC_INFO&amp;dDocName=SBV245324&amp;dID=247977&amp;ClientControlled=DocMan,taskpane&amp;coreContentOnly=1</vt:lpwstr>
  </property>
</Properties>
</file>