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  <w:r w:rsidRPr="00CB3EBC">
        <w:rPr>
          <w:rFonts w:ascii="Arial" w:hAnsi="Arial" w:cs="Arial"/>
          <w:b/>
          <w:bCs/>
          <w:sz w:val="18"/>
          <w:szCs w:val="18"/>
          <w:lang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>during the week</w:t>
      </w:r>
      <w:r w:rsidRPr="00CB3EBC">
        <w:rPr>
          <w:rFonts w:ascii="Arial" w:hAnsi="Arial" w:cs="Arial"/>
          <w:bCs/>
          <w:sz w:val="18"/>
          <w:szCs w:val="18"/>
          <w:lang w:eastAsia="vi-VN"/>
        </w:rPr>
        <w:t>, a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few banks reduced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VND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mobilizing rates </w:t>
      </w:r>
      <w:r w:rsidRPr="00CB3EBC">
        <w:rPr>
          <w:rFonts w:ascii="Arial" w:hAnsi="Arial" w:cs="Arial"/>
          <w:sz w:val="18"/>
          <w:szCs w:val="18"/>
          <w:lang w:eastAsia="vi-VN"/>
        </w:rPr>
        <w:t>by 0.1 – 0.3 percentage points for several terms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. The rates were commonly 0.8 - 1% p.a for demand and below 1 month terms, 4.5 - 5.4% p.a for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deposits of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1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month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to below 6 month terms, 5.4 - 6.5% p.a for 6 month to below 12 month terms; and 6.4 – 7.2% p.a for 12 month plus terms.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USD mobilizing rates were commonly 0.75% p.a for individuals and 0.25% p.a for economic institutions.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VND lending rates continued to be stable. The average rates were commonly 6- 7% p.a for short-term loans for priority fields, and state-owned joint-stock commercial banks continued offering the rates of 9 - 10 % p.a for medium and long-term loans for priority fields; and the rates were commonly 7 - 9% p.a for short-term and 9.3 – 11% p.a for medium and long-term ordinary loans.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USD lending rates were commonly 3 – 6.7% p.a. The rates were 3 – 5.5% p.a for short term and 5.5 – 6.7% p.a for medium and long terms.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Short term</w:t>
            </w:r>
          </w:p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Medium and long terms</w:t>
            </w:r>
          </w:p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(% p.a)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7.0-8.8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9.3-10.5</w:t>
            </w:r>
          </w:p>
        </w:tc>
      </w:tr>
      <w:tr w:rsidR="00CB3EBC" w:rsidRPr="00CB3EBC" w:rsidTr="00604E7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B3EBC" w:rsidRPr="00CB3EBC" w:rsidRDefault="00CB3EBC" w:rsidP="00604E7B">
            <w:pPr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9.0-10.0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3.0-4.5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5.5-6.5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 of joint-stockcommercial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10.0-11.0</w:t>
            </w:r>
          </w:p>
        </w:tc>
      </w:tr>
      <w:tr w:rsidR="00CB3EBC" w:rsidRPr="00CB3EBC" w:rsidTr="00604E7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B3EBC" w:rsidRPr="00CB3EBC" w:rsidRDefault="00CB3EBC" w:rsidP="00604E7B">
            <w:pPr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eastAsia="vi-VN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10.0-10.5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4.5-5.5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6.0-6.7</w:t>
            </w:r>
          </w:p>
        </w:tc>
      </w:tr>
    </w:tbl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CB3EBC">
        <w:rPr>
          <w:rFonts w:ascii="Arial" w:hAnsi="Arial" w:cs="Arial"/>
          <w:sz w:val="18"/>
          <w:szCs w:val="18"/>
          <w:lang w:eastAsia="vi-VN"/>
        </w:rPr>
        <w:t>122,</w:t>
      </w:r>
      <w:r w:rsidRPr="00CB3EBC">
        <w:rPr>
          <w:rFonts w:ascii="Arial" w:hAnsi="Arial" w:cs="Arial"/>
          <w:sz w:val="18"/>
          <w:szCs w:val="18"/>
        </w:rPr>
        <w:t xml:space="preserve">268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CB3EBC">
        <w:rPr>
          <w:rFonts w:ascii="Arial" w:hAnsi="Arial" w:cs="Arial"/>
          <w:sz w:val="18"/>
          <w:szCs w:val="18"/>
          <w:lang w:eastAsia="vi-VN"/>
        </w:rPr>
        <w:t>up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by VND </w:t>
      </w:r>
      <w:r w:rsidRPr="00CB3EBC">
        <w:rPr>
          <w:rFonts w:ascii="Arial" w:hAnsi="Arial" w:cs="Arial"/>
          <w:sz w:val="18"/>
          <w:szCs w:val="18"/>
          <w:lang w:eastAsia="vi-VN"/>
        </w:rPr>
        <w:t>29</w:t>
      </w:r>
      <w:r w:rsidRPr="00CB3EBC">
        <w:rPr>
          <w:rFonts w:ascii="Arial" w:hAnsi="Arial" w:cs="Arial"/>
          <w:sz w:val="18"/>
          <w:szCs w:val="18"/>
        </w:rPr>
        <w:t xml:space="preserve">,141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CB3EBC">
        <w:rPr>
          <w:rFonts w:ascii="Arial" w:hAnsi="Arial" w:cs="Arial"/>
          <w:sz w:val="18"/>
          <w:szCs w:val="18"/>
          <w:lang w:eastAsia="vi-VN"/>
        </w:rPr>
        <w:t>)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and USD amount equivalent to VND </w:t>
      </w:r>
      <w:r w:rsidRPr="00CB3EBC">
        <w:rPr>
          <w:rFonts w:ascii="Arial" w:hAnsi="Arial" w:cs="Arial"/>
          <w:sz w:val="18"/>
          <w:szCs w:val="18"/>
          <w:lang w:eastAsia="vi-VN"/>
        </w:rPr>
        <w:t>51</w:t>
      </w:r>
      <w:r w:rsidRPr="00CB3EBC">
        <w:rPr>
          <w:rFonts w:ascii="Arial" w:hAnsi="Arial" w:cs="Arial"/>
          <w:sz w:val="18"/>
          <w:szCs w:val="18"/>
        </w:rPr>
        <w:t xml:space="preserve">,544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billion (up by VND </w:t>
      </w:r>
      <w:r w:rsidRPr="00CB3EBC">
        <w:rPr>
          <w:rFonts w:ascii="Arial" w:hAnsi="Arial" w:cs="Arial"/>
          <w:sz w:val="18"/>
          <w:szCs w:val="18"/>
          <w:lang w:eastAsia="vi-VN"/>
        </w:rPr>
        <w:t>1</w:t>
      </w:r>
      <w:r w:rsidRPr="00CB3EBC">
        <w:rPr>
          <w:rFonts w:ascii="Arial" w:hAnsi="Arial" w:cs="Arial"/>
          <w:sz w:val="18"/>
          <w:szCs w:val="18"/>
        </w:rPr>
        <w:t xml:space="preserve">,789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billion), i.e VND </w:t>
      </w:r>
      <w:r w:rsidRPr="00CB3EBC">
        <w:rPr>
          <w:rFonts w:ascii="Arial" w:hAnsi="Arial" w:cs="Arial"/>
          <w:sz w:val="18"/>
          <w:szCs w:val="18"/>
          <w:lang w:eastAsia="vi-VN"/>
        </w:rPr>
        <w:t>24</w:t>
      </w:r>
      <w:r w:rsidRPr="00CB3EBC">
        <w:rPr>
          <w:rFonts w:ascii="Arial" w:hAnsi="Arial" w:cs="Arial"/>
          <w:sz w:val="18"/>
          <w:szCs w:val="18"/>
        </w:rPr>
        <w:t xml:space="preserve">,454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CB3EBC">
        <w:rPr>
          <w:rFonts w:ascii="Arial" w:hAnsi="Arial" w:cs="Arial"/>
          <w:sz w:val="18"/>
          <w:szCs w:val="18"/>
          <w:lang w:eastAsia="vi-VN"/>
        </w:rPr>
        <w:t>10</w:t>
      </w:r>
      <w:r w:rsidRPr="00CB3EBC">
        <w:rPr>
          <w:rFonts w:ascii="Arial" w:hAnsi="Arial" w:cs="Arial"/>
          <w:sz w:val="18"/>
          <w:szCs w:val="18"/>
        </w:rPr>
        <w:t xml:space="preserve">,309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per day averagely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as compared to the week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July 20 – 24, 2015</w:t>
      </w:r>
      <w:r w:rsidRPr="00CB3EBC">
        <w:rPr>
          <w:rFonts w:ascii="Arial" w:hAnsi="Arial" w:cs="Arial"/>
          <w:sz w:val="18"/>
          <w:szCs w:val="18"/>
          <w:lang w:val="vi-VN" w:eastAsia="vi-VN"/>
        </w:rPr>
        <w:t>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Most VND transactions were overnight and 1 week terms (accounting for </w:t>
      </w:r>
      <w:r w:rsidRPr="00CB3EBC">
        <w:rPr>
          <w:rFonts w:ascii="Arial" w:hAnsi="Arial" w:cs="Arial"/>
          <w:sz w:val="18"/>
          <w:szCs w:val="18"/>
          <w:lang w:eastAsia="vi-VN"/>
        </w:rPr>
        <w:t>37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and 37%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the total amount of VND transactions respectively). Transactions in USD were mostly overnight and 1 week terms which accounted for </w:t>
      </w:r>
      <w:r w:rsidRPr="00CB3EBC">
        <w:rPr>
          <w:rFonts w:ascii="Arial" w:hAnsi="Arial" w:cs="Arial"/>
          <w:sz w:val="18"/>
          <w:szCs w:val="18"/>
          <w:lang w:eastAsia="vi-VN"/>
        </w:rPr>
        <w:t>50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CB3EBC">
        <w:rPr>
          <w:rFonts w:ascii="Arial" w:hAnsi="Arial" w:cs="Arial"/>
          <w:sz w:val="18"/>
          <w:szCs w:val="18"/>
          <w:lang w:eastAsia="vi-VN"/>
        </w:rPr>
        <w:t>30</w:t>
      </w:r>
      <w:r w:rsidRPr="00CB3EBC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lastRenderedPageBreak/>
        <w:t xml:space="preserve">For  VND transactions: </w:t>
      </w:r>
      <w:r w:rsidRPr="00CB3EBC">
        <w:rPr>
          <w:rFonts w:ascii="Arial" w:hAnsi="Arial" w:cs="Arial"/>
          <w:sz w:val="18"/>
          <w:szCs w:val="18"/>
          <w:lang w:eastAsia="vi-VN"/>
        </w:rPr>
        <w:t>As compared to week July 20 – 24, 2015, t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he inter-bank interest rate </w:t>
      </w:r>
      <w:r w:rsidRPr="00CB3EBC">
        <w:rPr>
          <w:rFonts w:ascii="Arial" w:hAnsi="Arial" w:cs="Arial"/>
          <w:sz w:val="18"/>
          <w:szCs w:val="18"/>
          <w:lang w:eastAsia="vi-VN"/>
        </w:rPr>
        <w:t>increased for most terms below 1 month. Specifically, the interest rate of ov</w:t>
      </w:r>
      <w:r w:rsidRPr="00CB3EBC">
        <w:rPr>
          <w:rFonts w:ascii="Arial" w:hAnsi="Arial" w:cs="Arial"/>
          <w:sz w:val="18"/>
          <w:szCs w:val="18"/>
          <w:lang w:val="vi-VN" w:eastAsia="vi-VN"/>
        </w:rPr>
        <w:t>ernight</w:t>
      </w:r>
      <w:r w:rsidRPr="00CB3EBC">
        <w:rPr>
          <w:rFonts w:ascii="Arial" w:hAnsi="Arial" w:cs="Arial"/>
          <w:sz w:val="18"/>
          <w:szCs w:val="18"/>
          <w:lang w:eastAsia="vi-VN"/>
        </w:rPr>
        <w:t>, 1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CB3EBC">
        <w:rPr>
          <w:rFonts w:ascii="Arial" w:hAnsi="Arial" w:cs="Arial"/>
          <w:sz w:val="18"/>
          <w:szCs w:val="18"/>
          <w:lang w:eastAsia="vi-VN"/>
        </w:rPr>
        <w:t>2.95</w:t>
      </w:r>
      <w:r w:rsidRPr="00CB3EBC">
        <w:rPr>
          <w:rFonts w:ascii="Arial" w:hAnsi="Arial" w:cs="Arial"/>
          <w:sz w:val="18"/>
          <w:szCs w:val="18"/>
          <w:lang w:val="vi-VN" w:eastAsia="vi-VN"/>
        </w:rPr>
        <w:t>% p.a</w:t>
      </w:r>
      <w:r w:rsidRPr="00CB3EBC">
        <w:rPr>
          <w:rFonts w:ascii="Arial" w:hAnsi="Arial" w:cs="Arial"/>
          <w:sz w:val="18"/>
          <w:szCs w:val="18"/>
          <w:lang w:eastAsia="vi-VN"/>
        </w:rPr>
        <w:t>, 3.35% p.a and 3</w:t>
      </w:r>
      <w:r w:rsidRPr="00CB3EBC">
        <w:rPr>
          <w:rFonts w:ascii="Arial" w:hAnsi="Arial" w:cs="Arial"/>
          <w:sz w:val="18"/>
          <w:szCs w:val="18"/>
          <w:lang w:val="vi-VN" w:eastAsia="vi-VN"/>
        </w:rPr>
        <w:t>.</w:t>
      </w:r>
      <w:r w:rsidRPr="00CB3EBC">
        <w:rPr>
          <w:rFonts w:ascii="Arial" w:hAnsi="Arial" w:cs="Arial"/>
          <w:sz w:val="18"/>
          <w:szCs w:val="18"/>
          <w:lang w:eastAsia="vi-VN"/>
        </w:rPr>
        <w:t>97%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p.a respectively.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As compared to week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Ju</w:t>
      </w:r>
      <w:r w:rsidRPr="00CB3EBC">
        <w:rPr>
          <w:rFonts w:ascii="Arial" w:hAnsi="Arial" w:cs="Arial"/>
          <w:sz w:val="18"/>
          <w:szCs w:val="18"/>
          <w:lang w:eastAsia="vi-VN"/>
        </w:rPr>
        <w:t>ly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20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-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24</w:t>
      </w:r>
      <w:r w:rsidRPr="00CB3EBC">
        <w:rPr>
          <w:rFonts w:ascii="Arial" w:hAnsi="Arial" w:cs="Arial"/>
          <w:sz w:val="18"/>
          <w:szCs w:val="18"/>
          <w:lang w:val="vi-VN" w:eastAsia="vi-VN"/>
        </w:rPr>
        <w:t>, 2015</w:t>
      </w:r>
      <w:r w:rsidRPr="00CB3EBC">
        <w:rPr>
          <w:rFonts w:ascii="Arial" w:hAnsi="Arial" w:cs="Arial"/>
          <w:sz w:val="18"/>
          <w:szCs w:val="18"/>
          <w:lang w:eastAsia="vi-VN"/>
        </w:rPr>
        <w:t>, t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he average interest rate for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1 month was down by 0.18 percentage point while the rate increased for most key terms below 1 month.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Specifically, the average interest rates of overnight</w:t>
      </w:r>
      <w:r w:rsidRPr="00CB3EBC">
        <w:rPr>
          <w:rFonts w:ascii="Arial" w:hAnsi="Arial" w:cs="Arial"/>
          <w:sz w:val="18"/>
          <w:szCs w:val="18"/>
          <w:lang w:eastAsia="vi-VN"/>
        </w:rPr>
        <w:t>, 2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CB3EBC">
        <w:rPr>
          <w:rFonts w:ascii="Arial" w:hAnsi="Arial" w:cs="Arial"/>
          <w:sz w:val="18"/>
          <w:szCs w:val="18"/>
          <w:lang w:eastAsia="vi-VN"/>
        </w:rPr>
        <w:t>up by 0.02 and 0.03 and 0.11 percentage point p.a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respectively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. 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B3EBC" w:rsidRPr="00CB3EBC" w:rsidTr="00604E7B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CB3EBC" w:rsidRPr="00CB3EBC" w:rsidTr="00604E7B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  <w:lang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B3EBC" w:rsidRPr="00CB3EBC" w:rsidTr="00604E7B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CB3EBC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CB3EBC" w:rsidRPr="00CB3EBC" w:rsidRDefault="00CB3EBC" w:rsidP="00CB3EBC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The VND/USD exchange rate quoted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(at the day end)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by Vietcombank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was stable at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21,7</w:t>
      </w:r>
      <w:r w:rsidRPr="00CB3EBC">
        <w:rPr>
          <w:rFonts w:ascii="Arial" w:hAnsi="Arial" w:cs="Arial"/>
          <w:sz w:val="18"/>
          <w:szCs w:val="18"/>
          <w:lang w:eastAsia="vi-VN"/>
        </w:rPr>
        <w:t>80</w:t>
      </w:r>
      <w:r w:rsidRPr="00CB3EBC">
        <w:rPr>
          <w:rFonts w:ascii="Arial" w:hAnsi="Arial" w:cs="Arial"/>
          <w:sz w:val="18"/>
          <w:szCs w:val="18"/>
          <w:lang w:val="vi-VN" w:eastAsia="vi-VN"/>
        </w:rPr>
        <w:t>/21,8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40 for the  whole week. It was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lower than the ceiling exchange rate by </w:t>
      </w:r>
      <w:r w:rsidRPr="00CB3EBC">
        <w:rPr>
          <w:rFonts w:ascii="Arial" w:hAnsi="Arial" w:cs="Arial"/>
          <w:sz w:val="18"/>
          <w:szCs w:val="18"/>
          <w:lang w:eastAsia="vi-VN"/>
        </w:rPr>
        <w:t>50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VND/USD. </w:t>
      </w:r>
    </w:p>
    <w:p w:rsidR="00CB3EBC" w:rsidRPr="00CB3EBC" w:rsidRDefault="00CB3EBC" w:rsidP="00CB3EBC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eastAsia="vi-VN"/>
        </w:rPr>
        <w:t>The State Bank of Vietnam</w:t>
      </w:r>
    </w:p>
    <w:p w:rsidR="00CB3EBC" w:rsidRPr="00CB3EBC" w:rsidRDefault="00CB3EBC" w:rsidP="00CB3EBC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B3EBC">
        <w:rPr>
          <w:rFonts w:ascii="Arial" w:hAnsi="Arial" w:cs="Arial"/>
          <w:sz w:val="18"/>
          <w:szCs w:val="18"/>
          <w:lang w:eastAsia="vi-VN"/>
        </w:rPr>
        <w:t xml:space="preserve">Translated by MH </w:t>
      </w:r>
    </w:p>
    <w:p w:rsidR="00EB03C7" w:rsidRPr="00CB3EBC" w:rsidRDefault="00EB03C7">
      <w:pPr>
        <w:rPr>
          <w:rFonts w:ascii="Arial" w:hAnsi="Arial" w:cs="Arial"/>
          <w:sz w:val="18"/>
          <w:szCs w:val="18"/>
        </w:rPr>
      </w:pPr>
    </w:p>
    <w:sectPr w:rsidR="00EB03C7" w:rsidRPr="00CB3EBC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B3EBC"/>
    <w:rsid w:val="00587C6A"/>
    <w:rsid w:val="00605CB8"/>
    <w:rsid w:val="00A92EF3"/>
    <w:rsid w:val="00CB3EBC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2015-08-12T02:40:00Z</dcterms:created>
  <dcterms:modified xsi:type="dcterms:W3CDTF">2015-08-12T02:46:00Z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SBV241111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243539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http://webcenter-app01:16200/cs/idcplg?IdcService=DESKTOP_DOC_INFO&amp;dDocName=SBV241111&amp;dID=243539&amp;ClientControlled=DocMan,taskpane&amp;coreContentOnly=1</vt:lpwstr>
  </property>
</Properties>
</file>