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49" w:type="dxa"/>
        <w:tblInd w:w="-743" w:type="dxa"/>
        <w:tblLayout w:type="fixed"/>
        <w:tblLook w:val="04A0"/>
      </w:tblPr>
      <w:tblGrid>
        <w:gridCol w:w="2130"/>
        <w:gridCol w:w="4958"/>
        <w:gridCol w:w="3661"/>
      </w:tblGrid>
      <w:tr w:rsidR="00160820" w:rsidRPr="00CB23A5" w:rsidTr="00BB3726">
        <w:trPr>
          <w:trHeight w:val="1282"/>
        </w:trPr>
        <w:tc>
          <w:tcPr>
            <w:tcW w:w="2130" w:type="dxa"/>
            <w:shd w:val="clear" w:color="auto" w:fill="auto"/>
          </w:tcPr>
          <w:p w:rsidR="00160820" w:rsidRPr="00CB23A5" w:rsidRDefault="0054518F" w:rsidP="00CB23A5">
            <w:pPr>
              <w:spacing w:after="0" w:line="240" w:lineRule="auto"/>
              <w:ind w:left="-108"/>
              <w:rPr>
                <w:rFonts w:ascii="Candara" w:hAnsi="Candara" w:cs="Arial"/>
                <w:b/>
              </w:rPr>
            </w:pPr>
            <w:r w:rsidRPr="00CB23A5">
              <w:rPr>
                <w:rFonts w:ascii="Candara" w:hAnsi="Candara" w:cs="Arial"/>
                <w:b/>
                <w:noProof/>
                <w:lang w:val="en-US"/>
              </w:rPr>
              <w:drawing>
                <wp:inline distT="0" distB="0" distL="0" distR="0">
                  <wp:extent cx="1419225" cy="895350"/>
                  <wp:effectExtent l="19050" t="0" r="9525" b="0"/>
                  <wp:docPr id="1" name="Picture 1" descr="logo moi  201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2015 (1)"/>
                          <pic:cNvPicPr>
                            <a:picLocks noChangeAspect="1" noChangeArrowheads="1"/>
                          </pic:cNvPicPr>
                        </pic:nvPicPr>
                        <pic:blipFill>
                          <a:blip r:embed="rId6"/>
                          <a:srcRect/>
                          <a:stretch>
                            <a:fillRect/>
                          </a:stretch>
                        </pic:blipFill>
                        <pic:spPr bwMode="auto">
                          <a:xfrm>
                            <a:off x="0" y="0"/>
                            <a:ext cx="1419225" cy="895350"/>
                          </a:xfrm>
                          <a:prstGeom prst="rect">
                            <a:avLst/>
                          </a:prstGeom>
                          <a:noFill/>
                          <a:ln w="9525">
                            <a:noFill/>
                            <a:miter lim="800000"/>
                            <a:headEnd/>
                            <a:tailEnd/>
                          </a:ln>
                        </pic:spPr>
                      </pic:pic>
                    </a:graphicData>
                  </a:graphic>
                </wp:inline>
              </w:drawing>
            </w:r>
          </w:p>
        </w:tc>
        <w:tc>
          <w:tcPr>
            <w:tcW w:w="4958" w:type="dxa"/>
            <w:shd w:val="clear" w:color="auto" w:fill="auto"/>
          </w:tcPr>
          <w:p w:rsidR="00160820" w:rsidRPr="00CB23A5" w:rsidRDefault="00160820" w:rsidP="00CB23A5">
            <w:pPr>
              <w:spacing w:after="0" w:line="240" w:lineRule="auto"/>
              <w:rPr>
                <w:b/>
                <w:sz w:val="24"/>
                <w:szCs w:val="24"/>
              </w:rPr>
            </w:pPr>
            <w:r w:rsidRPr="00CB23A5">
              <w:rPr>
                <w:b/>
                <w:sz w:val="24"/>
                <w:szCs w:val="24"/>
              </w:rPr>
              <w:t>NGÂN HÀNG NHÀ NƯỚC VIỆT NAM</w:t>
            </w:r>
          </w:p>
          <w:p w:rsidR="00160820" w:rsidRPr="00CB23A5" w:rsidRDefault="00160820" w:rsidP="00CB23A5">
            <w:pPr>
              <w:spacing w:after="0" w:line="240" w:lineRule="auto"/>
            </w:pPr>
            <w:r w:rsidRPr="00CB23A5">
              <w:t>State Bank of Vietnam</w:t>
            </w:r>
          </w:p>
          <w:p w:rsidR="00160820" w:rsidRPr="00CB23A5" w:rsidRDefault="00160820" w:rsidP="00CB23A5">
            <w:pPr>
              <w:spacing w:after="0" w:line="240" w:lineRule="auto"/>
            </w:pPr>
            <w:r w:rsidRPr="00CB23A5">
              <w:t>49 Ly Thai To, Ha Noi, Vietnam</w:t>
            </w:r>
          </w:p>
          <w:p w:rsidR="00160820" w:rsidRPr="00CB23A5" w:rsidRDefault="00172E81" w:rsidP="00CB23A5">
            <w:pPr>
              <w:spacing w:after="0" w:line="240" w:lineRule="auto"/>
            </w:pPr>
            <w:r w:rsidRPr="00CB23A5">
              <w:rPr>
                <w:noProof/>
              </w:rPr>
              <w:pict>
                <v:shapetype id="_x0000_t32" coordsize="21600,21600" o:spt="32" o:oned="t" path="m,l21600,21600e" filled="f">
                  <v:path arrowok="t" fillok="f" o:connecttype="none"/>
                  <o:lock v:ext="edit" shapetype="t"/>
                </v:shapetype>
                <v:shape id="AutoShape 2" o:spid="_x0000_s1027" type="#_x0000_t32" style="position:absolute;margin-left:31.5pt;margin-top:8.95pt;width:68.25pt;height:.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RO6IAIAADw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"/>
              </w:pict>
            </w:r>
          </w:p>
          <w:p w:rsidR="00160820" w:rsidRPr="00CB23A5" w:rsidRDefault="00160820" w:rsidP="00CB23A5">
            <w:pPr>
              <w:spacing w:after="0" w:line="240" w:lineRule="auto"/>
            </w:pPr>
            <w:r w:rsidRPr="00CB23A5">
              <w:t>http://www.sbv.gov.vn</w:t>
            </w:r>
          </w:p>
        </w:tc>
        <w:tc>
          <w:tcPr>
            <w:tcW w:w="3661" w:type="dxa"/>
            <w:shd w:val="clear" w:color="auto" w:fill="auto"/>
          </w:tcPr>
          <w:p w:rsidR="00160820" w:rsidRPr="00CB23A5" w:rsidRDefault="00160820" w:rsidP="00CB23A5">
            <w:pPr>
              <w:spacing w:after="0" w:line="240" w:lineRule="auto"/>
              <w:rPr>
                <w:b/>
              </w:rPr>
            </w:pPr>
          </w:p>
          <w:p w:rsidR="00160820" w:rsidRPr="00CB23A5" w:rsidRDefault="00160820" w:rsidP="00CB23A5">
            <w:pPr>
              <w:spacing w:after="0" w:line="240" w:lineRule="auto"/>
              <w:rPr>
                <w:b/>
              </w:rPr>
            </w:pPr>
          </w:p>
          <w:p w:rsidR="00160820" w:rsidRPr="00CB23A5" w:rsidRDefault="00160820" w:rsidP="00CB23A5">
            <w:pPr>
              <w:spacing w:after="0" w:line="240" w:lineRule="auto"/>
              <w:rPr>
                <w:b/>
              </w:rPr>
            </w:pPr>
          </w:p>
          <w:p w:rsidR="00160820" w:rsidRPr="00CB23A5" w:rsidRDefault="00160820" w:rsidP="00CB23A5">
            <w:pPr>
              <w:spacing w:after="0" w:line="240" w:lineRule="auto"/>
              <w:jc w:val="center"/>
              <w:rPr>
                <w:i/>
              </w:rPr>
            </w:pPr>
            <w:r w:rsidRPr="00CB23A5">
              <w:rPr>
                <w:i/>
              </w:rPr>
              <w:t xml:space="preserve">         </w:t>
            </w:r>
            <w:r w:rsidR="00BB3726" w:rsidRPr="00CB23A5">
              <w:rPr>
                <w:i/>
              </w:rPr>
              <w:t xml:space="preserve">               </w:t>
            </w:r>
            <w:r w:rsidRPr="00CB23A5">
              <w:rPr>
                <w:i/>
              </w:rPr>
              <w:t>Ngày 8/9/2016</w:t>
            </w:r>
          </w:p>
        </w:tc>
      </w:tr>
    </w:tbl>
    <w:p w:rsidR="00CB23A5" w:rsidRDefault="00CB23A5" w:rsidP="00CB23A5">
      <w:pPr>
        <w:spacing w:after="0" w:line="240" w:lineRule="auto"/>
        <w:jc w:val="center"/>
        <w:rPr>
          <w:b/>
          <w:bCs/>
          <w:color w:val="000000"/>
        </w:rPr>
      </w:pPr>
    </w:p>
    <w:p w:rsidR="00160820" w:rsidRPr="00CB23A5" w:rsidRDefault="00160820" w:rsidP="00CB23A5">
      <w:pPr>
        <w:spacing w:after="0" w:line="240" w:lineRule="auto"/>
        <w:jc w:val="center"/>
        <w:rPr>
          <w:b/>
          <w:bCs/>
          <w:color w:val="000000"/>
        </w:rPr>
      </w:pPr>
      <w:r w:rsidRPr="00CB23A5">
        <w:rPr>
          <w:b/>
          <w:bCs/>
          <w:color w:val="000000"/>
        </w:rPr>
        <w:t xml:space="preserve">THÔNG TIN </w:t>
      </w:r>
    </w:p>
    <w:p w:rsidR="0054518F" w:rsidRPr="00CB23A5" w:rsidRDefault="00160820" w:rsidP="00CB23A5">
      <w:pPr>
        <w:spacing w:after="0" w:line="240" w:lineRule="auto"/>
        <w:jc w:val="center"/>
        <w:rPr>
          <w:b/>
          <w:bCs/>
          <w:color w:val="000000"/>
        </w:rPr>
      </w:pPr>
      <w:r w:rsidRPr="00CB23A5">
        <w:rPr>
          <w:b/>
          <w:bCs/>
          <w:color w:val="000000"/>
        </w:rPr>
        <w:t xml:space="preserve">Hội nghị “Đảm bảo an ninh, an toàn </w:t>
      </w:r>
    </w:p>
    <w:p w:rsidR="00160820" w:rsidRPr="00CB23A5" w:rsidRDefault="00160820" w:rsidP="00CB23A5">
      <w:pPr>
        <w:spacing w:after="0" w:line="240" w:lineRule="auto"/>
        <w:jc w:val="center"/>
        <w:rPr>
          <w:b/>
          <w:bCs/>
          <w:color w:val="000000"/>
        </w:rPr>
      </w:pPr>
      <w:r w:rsidRPr="00CB23A5">
        <w:rPr>
          <w:b/>
          <w:bCs/>
          <w:color w:val="000000"/>
        </w:rPr>
        <w:t>trong thanh toán điện tử và thanh toán thẻ”</w:t>
      </w:r>
    </w:p>
    <w:p w:rsidR="00160820" w:rsidRPr="00CB23A5" w:rsidRDefault="00160820" w:rsidP="00CB23A5">
      <w:pPr>
        <w:spacing w:after="0" w:line="240" w:lineRule="auto"/>
        <w:ind w:left="284" w:right="282" w:firstLine="567"/>
        <w:jc w:val="center"/>
        <w:rPr>
          <w:b/>
          <w:bCs/>
          <w:color w:val="000000"/>
        </w:rPr>
      </w:pPr>
    </w:p>
    <w:p w:rsidR="00160820" w:rsidRPr="00CB23A5" w:rsidRDefault="00160820" w:rsidP="00CB23A5">
      <w:pPr>
        <w:spacing w:after="120" w:line="240" w:lineRule="auto"/>
        <w:ind w:left="284" w:right="282" w:firstLine="567"/>
        <w:jc w:val="both"/>
        <w:rPr>
          <w:bCs/>
          <w:color w:val="000000"/>
          <w:lang w:val="it-IT"/>
        </w:rPr>
      </w:pPr>
      <w:r w:rsidRPr="00CB23A5">
        <w:rPr>
          <w:bCs/>
          <w:color w:val="000000"/>
          <w:lang w:val="it-IT"/>
        </w:rPr>
        <w:t>Ngày 8/9/2016, Ngân hàng Nhà nước Việt Nam (NHNN) tổ chức Hội nghị trực tuyến chuyên đề “Đảm bảo an ninh, an toàn trong thanh toán điện tử và thanh toán thẻ” với mục tiêu đánh giá đúng thực trạng tình hình an ninh, an toàn trong thanh toán điện tử và thanh toán thẻ tại Việt Nam và trên thế giới trong thời gian qua, từ đó đề xuất các giải pháp tăng cường công tác đảm bảo an toàn an ninh trong thanh toán điện tử và thanh toán thẻ trong bối cảnh hiện nay. Hội nghị do Phó Thống đốc NHNN Nguyễn Kim Anh chủ trì, với sự tham dự của các Vụ, Cục chức năng thuộc NHNN, đại diện Cục Cảnh sát phòng, chống tội phạm sử dụng công nghệ cao (C50) - Bộ Công an, Bộ Thông tin truyền thông cùng các ngân hàng thương mại, NHNN chi nhánh tỉnh, thành phố tại 64 điểm cầu trực tuyến.</w:t>
      </w:r>
    </w:p>
    <w:p w:rsidR="00160820" w:rsidRPr="00CB23A5" w:rsidRDefault="00160820" w:rsidP="00CB23A5">
      <w:pPr>
        <w:spacing w:after="120" w:line="240" w:lineRule="auto"/>
        <w:ind w:left="284" w:right="282" w:firstLine="567"/>
        <w:jc w:val="both"/>
        <w:rPr>
          <w:bCs/>
          <w:color w:val="000000"/>
          <w:lang w:val="it-IT"/>
        </w:rPr>
      </w:pPr>
      <w:r w:rsidRPr="00CB23A5">
        <w:rPr>
          <w:bCs/>
          <w:color w:val="000000"/>
          <w:lang w:val="it-IT"/>
        </w:rPr>
        <w:t>Hội nghị trực tuyến “Đảm bảo an ninh, an toàn trong thanh toán điện tử và thanh toán thẻ” với quy mô toàn quốc thể hiện sự quan tâm của toàn ngành Ngân hàng đối với công tác đảm bảo an toàn, an ninh thông tin ngân hàng nói chung đặc biệt trong thanh toán điện tử, thanh toán thẻ - một vấn đề đang thu hút sự quan tâm đặc biệt sâu rộng của cả cộng đồng xã hội trong thời gian gần đây.</w:t>
      </w:r>
    </w:p>
    <w:p w:rsidR="00160820" w:rsidRPr="00CB23A5" w:rsidRDefault="00160820" w:rsidP="00CB23A5">
      <w:pPr>
        <w:spacing w:after="120" w:line="240" w:lineRule="auto"/>
        <w:ind w:left="284" w:right="282" w:firstLine="567"/>
        <w:jc w:val="both"/>
        <w:rPr>
          <w:bCs/>
          <w:color w:val="000000"/>
          <w:lang w:val="it-IT"/>
        </w:rPr>
      </w:pPr>
      <w:r w:rsidRPr="00CB23A5">
        <w:rPr>
          <w:bCs/>
          <w:color w:val="000000"/>
          <w:lang w:val="it-IT"/>
        </w:rPr>
        <w:t>Thời gian qua, cùng với xu thế phát triển mạnh mẽ của các phương thức thanh toán điện tử thông qua mạng Internet và mạng điện thoại di động trên thế giới, hoạt động thanh toán tại Việt Nam cũng đã có những bước phát triển vượt bậc với hàng loạt các loại hình dịch vụ thanh toán không dùng tiền mặt mới ra đời đáp ứng nhu cầu ngày càng tăng của các tổ chức và cá nhân trong nền kinh tế tương đồng với công nghệ thanh toán trong khu vực và trên thế giới. Cùng với sự phát triển của công nghệ thông tin và viễn thông, các phương thức thanh toán đã thay đổi nhanh chóng và đa dạng từ thanh toán tiền mặt là chủ yếu sang các phương tiện thanh toán không dùng tiền mặt truyền thống hiện diện dưới hình thức vật chất (như séc, ủy nhiệm chi, ủy nhiệm thu…) rồi đến thanh toán điện tử và thanh toán thẻ ngân hàng nay đã chuyển qua các phương thức thanh toán hiện đại sử dụng hoàn toàn công nghệ tồn tại trên môi trường mạng như ví điện tử, internet banking, mobile banking hay thẻ phi vật lý… Tuy nhiên, bên cạnh những ưu điểm vượt bậc như nhanh chóng, thuận tiện và tiết kiệm chi phí, các dịch vụ thanh toán điện tử hay thanh toán thẻ nói chung cũng tiềm ẩn rủi ro cho ngân hàng và cho khách hàng trong quá trình sử dụng dịch vụ khi phải đối mặt với các loại hình tội phạm công nghệ cao cùng phương thức và thủ đoạn ngày càng tinh vi hơn.</w:t>
      </w:r>
    </w:p>
    <w:p w:rsidR="00160820" w:rsidRPr="00CB23A5" w:rsidRDefault="00160820" w:rsidP="00CB23A5">
      <w:pPr>
        <w:spacing w:after="120" w:line="240" w:lineRule="auto"/>
        <w:ind w:left="284" w:right="282" w:firstLine="567"/>
        <w:jc w:val="both"/>
        <w:rPr>
          <w:bCs/>
          <w:color w:val="000000"/>
          <w:lang w:val="it-IT"/>
        </w:rPr>
      </w:pPr>
      <w:r w:rsidRPr="00CB23A5">
        <w:rPr>
          <w:bCs/>
          <w:color w:val="000000"/>
          <w:lang w:val="it-IT"/>
        </w:rPr>
        <w:lastRenderedPageBreak/>
        <w:t xml:space="preserve">Trong bối cảnh hiện nay, tấn công mạng đã trở thành vấn đề an ninh phi truyền thống mang tính toàn cầu và là mối quan tâm chung của các quốc gia trên thế giới. Hệ thống tài chính, ngân hàng, trong đó xương sống là hệ thống thanh toán là hệ thống rất quan trọng và nhạy cảm của nền kinh tế, đã và đang là đích ngắm hàng đầu của các đối tượng phạm tội công nghệ cao trên toàn thế giới, trong đó có cả ở Việt Nam. </w:t>
      </w:r>
    </w:p>
    <w:p w:rsidR="00160820" w:rsidRPr="00CB23A5" w:rsidRDefault="00160820" w:rsidP="00CB23A5">
      <w:pPr>
        <w:spacing w:after="120" w:line="240" w:lineRule="auto"/>
        <w:ind w:left="284" w:right="282" w:firstLine="567"/>
        <w:jc w:val="both"/>
        <w:rPr>
          <w:bCs/>
          <w:color w:val="000000"/>
          <w:lang w:val="it-IT"/>
        </w:rPr>
      </w:pPr>
      <w:r w:rsidRPr="00CB23A5">
        <w:rPr>
          <w:bCs/>
          <w:color w:val="000000"/>
          <w:lang w:val="it-IT"/>
        </w:rPr>
        <w:t xml:space="preserve">Trên thế giới, gian lận rủi ro trong hoạt động thanh toán có thể xảy ra ở bất cứ quốc gia nào, kể cả những quốc gia có nền kinh tế, khoa học công nghệ phát triển như Mỹ, Anh, Đức, Nhật Bản... Đối với các tổ chức thẻ quốc tế lớn như Visa hay MasterCard..., vấn đề an ninh, an toàn bảo mật nhằm hạn chế gian lận trong giao dịch thẻ cũng được đặt lên hàng đầu trong quá trình nghiên cứu, phát triển và cung ứng các sản phẩm, dịch vụ thẻ. Tuy vậy, tổng kết hàng năm về tình hình gian lận thẻ vẫn là vấn đề nổi cộm đối với các tổ chức này khi xu hướng phạm tội vẫn tiếp tục phát sinh, bất chấp việc áp dụng các giải pháp công nghệ bảo mật mới nhất. </w:t>
      </w:r>
    </w:p>
    <w:p w:rsidR="00BB3726" w:rsidRPr="00CB23A5" w:rsidRDefault="00160820" w:rsidP="00CB23A5">
      <w:pPr>
        <w:spacing w:after="120" w:line="240" w:lineRule="auto"/>
        <w:ind w:left="284" w:right="282" w:firstLine="567"/>
        <w:jc w:val="both"/>
        <w:rPr>
          <w:bCs/>
          <w:color w:val="000000"/>
          <w:lang w:val="it-IT"/>
        </w:rPr>
      </w:pPr>
      <w:r w:rsidRPr="00CB23A5">
        <w:rPr>
          <w:bCs/>
          <w:color w:val="000000"/>
          <w:lang w:val="it-IT"/>
        </w:rPr>
        <w:t xml:space="preserve">Qua theo dõi, giám sát hoạt động thanh toán điện tử và thanh toán thẻ trong thời gian vừa qua, Ngân hàng Nhà nước đã nhận thấy các sự cố rủi ro và gian lận với phương thức và thủ đoạn mới xuất hiện tại Việt Nam. Nếu như trước đây, các vụ việc gian lận phát sinh chủ yếu đối với thẻ quốc tế và đối tượng tội phạm người nước ngoài thì hiện nay các vụ việc gian lận đã chuyển hướng sang cả đối với thẻ nội địa và hệ thống ATM/POS tại Việt Nam. Tuy nhiên, qua thống kê, đánh giá và so sánh với các nước trên thế giới, có thể thấy rằng hệ thống thanh toán của Việt Nam hiện nay vẫn được đảm bảo an toàn, với số lượng, tỷ lệ sự cố và vụ việc gian lận xảy ra ít, chỉ là hy hữu. Tuy vậy, hệ thống ngân hàng không chủ quan, </w:t>
      </w:r>
      <w:r w:rsidR="00BB3726" w:rsidRPr="00CB23A5">
        <w:rPr>
          <w:bCs/>
          <w:color w:val="000000"/>
          <w:lang w:val="it-IT"/>
        </w:rPr>
        <w:t xml:space="preserve">không xem nhẹ, không </w:t>
      </w:r>
      <w:r w:rsidRPr="00CB23A5">
        <w:rPr>
          <w:bCs/>
          <w:color w:val="000000"/>
          <w:lang w:val="it-IT"/>
        </w:rPr>
        <w:t xml:space="preserve">lơ là với tình hình và xu hướng tội phạm công nghệ cao như hiện nay. </w:t>
      </w:r>
    </w:p>
    <w:p w:rsidR="00160820" w:rsidRPr="00CB23A5" w:rsidRDefault="00160820" w:rsidP="00CB23A5">
      <w:pPr>
        <w:spacing w:after="120" w:line="240" w:lineRule="auto"/>
        <w:ind w:left="284" w:right="282" w:firstLine="567"/>
        <w:jc w:val="both"/>
        <w:rPr>
          <w:bCs/>
          <w:color w:val="000000"/>
          <w:lang w:val="it-IT"/>
        </w:rPr>
      </w:pPr>
      <w:r w:rsidRPr="00CB23A5">
        <w:rPr>
          <w:bCs/>
          <w:color w:val="000000"/>
          <w:lang w:val="it-IT"/>
        </w:rPr>
        <w:t xml:space="preserve">Hội nghị tập trung thảo luận một số nội dung chính bao gồm: Đánh giá thực trạng công tác bảo đảm an ninh thông tin trong hoạt động ngân hàng, các nguy cơ rủi ro về an ninh thông tin trong thanh toán điện tử và thanh toán thẻ trên thế giới và Việt Nam; Phối hợp trong phòng ngừa, phát hiện và khắc phục các sự cố rủi ro về an ninh bảo mật thông tin, nhằm chủ động đối phó và giảm thiểu ảnh hưởng trước những xu thế và thách thức tấn công mới của tội phạm công nghệ cao; Kinh nghiệm trong công tác phòng chống tội phạm công nghệ cao, cập nhật các thông tin khoa học, giải pháp công nghệ mới trong lĩnh vực này; Công tác truyền thông đến khách hàng về các rủi ro và các biện pháp bảo vệ thông tin cá nhân trong việc sử dụng các dịch vụ ngân hàng điện tử và thanh toán thẻ và xử lý sự cố dịch vụ ngân hàng được chú trọng, đảm bảo quyền lợi của khách hàng theo đúng quy định của pháp luật. </w:t>
      </w:r>
    </w:p>
    <w:p w:rsidR="00BB3726" w:rsidRPr="00CB23A5" w:rsidRDefault="00BB3726" w:rsidP="00CB23A5">
      <w:pPr>
        <w:spacing w:after="120" w:line="240" w:lineRule="auto"/>
        <w:ind w:left="284" w:right="282" w:firstLine="567"/>
        <w:jc w:val="both"/>
        <w:rPr>
          <w:bCs/>
          <w:lang w:val="it-IT"/>
        </w:rPr>
      </w:pPr>
      <w:r w:rsidRPr="00CB23A5">
        <w:rPr>
          <w:bCs/>
          <w:color w:val="000000"/>
          <w:lang w:val="it-IT"/>
        </w:rPr>
        <w:t xml:space="preserve">Qua thảo luận tại Hội nghị, nhiều đại biểu đã khẳng định: </w:t>
      </w:r>
      <w:r w:rsidRPr="00CB23A5">
        <w:rPr>
          <w:bCs/>
          <w:lang w:val="it-IT"/>
        </w:rPr>
        <w:t xml:space="preserve">Việc quản lý và kiểm soát rủi ro trong hoạt động thanh toán nói chung và thanh toán điện tử nói riêng đã và đang được Ngân hàng Nhà nước chỉ đạo sát sao cùng với sự tuân thủ, phối hợp chặt chẽ của các ngân hàng thương mại, các tổ chức thẻ quốc tế, công ty chuyển mạch thẻ, các tổ chức trung gian thanh toán và các bên có liên quan. Trong trường hợp có sự cố xảy ra, các TCTD phải phối hợp chặt chẽ với </w:t>
      </w:r>
      <w:r w:rsidRPr="00CB23A5">
        <w:rPr>
          <w:bCs/>
          <w:lang w:val="it-IT"/>
        </w:rPr>
        <w:lastRenderedPageBreak/>
        <w:t xml:space="preserve">với các cơ quan chức năng để sớm thông tin đến khách hàng. Tổ chức, cá nhân nào sai phạm sẽ chịu trách nhiệm trước pháp luật, ngân hàng luôn đảm bảo quyền lợi hợp pháp của khách hàng theo quy định của pháp luật. </w:t>
      </w:r>
    </w:p>
    <w:p w:rsidR="00BB3726" w:rsidRPr="00CB23A5" w:rsidRDefault="00BB3726" w:rsidP="00CB23A5">
      <w:pPr>
        <w:spacing w:after="120" w:line="240" w:lineRule="auto"/>
        <w:ind w:left="284" w:right="282" w:firstLine="567"/>
        <w:jc w:val="both"/>
        <w:rPr>
          <w:bCs/>
          <w:lang w:val="it-IT"/>
        </w:rPr>
      </w:pPr>
      <w:r w:rsidRPr="00CB23A5">
        <w:rPr>
          <w:bCs/>
          <w:lang w:val="it-IT"/>
        </w:rPr>
        <w:t>Thời gian qua, NHNN đã chỉ đạo quyết liệt, kịp thời, yêu cầu các TCTD đảm bảo an ninh, an toàn, bảo mật hệ thống thanh toán, nghiêm túc tuân thủ các quy định của NHNN để hạn chế tối đa các rủi ro, sự cố có thể xảy ra. Với tinh thần cầu thị và phục vụ, mục tiêu được Ngân hàng Nhà nước đặt ra là xây dựng và hoàn thiện một hệ thống thanh toán có tỷ lệ an toàn cao nhất, bảo vệ tài sản và đảm bảo quyền lợi của khách hàng tốt nhất.</w:t>
      </w:r>
      <w:r w:rsidRPr="00CB23A5">
        <w:rPr>
          <w:lang w:val="it-IT"/>
        </w:rPr>
        <w:t xml:space="preserve"> Các TCTD, </w:t>
      </w:r>
      <w:r w:rsidRPr="00CB23A5">
        <w:rPr>
          <w:bCs/>
          <w:lang w:val="it-IT"/>
        </w:rPr>
        <w:t>bên cạnh việc không ngừng đầu tư, nâng cấp, ứng dụng công nghệ hiện đại để tạo tiện tích cho khách hàng thì yếu tố an ninh, an toàn, bảo mật trong thanh toán được đặt lên hàng đầu.</w:t>
      </w:r>
    </w:p>
    <w:p w:rsidR="00160820" w:rsidRPr="00CB23A5" w:rsidRDefault="00160820" w:rsidP="00CB23A5">
      <w:pPr>
        <w:spacing w:after="120" w:line="240" w:lineRule="auto"/>
        <w:ind w:left="284" w:right="282" w:firstLine="567"/>
        <w:jc w:val="both"/>
        <w:rPr>
          <w:bCs/>
          <w:color w:val="000000"/>
          <w:lang w:val="it-IT"/>
        </w:rPr>
      </w:pPr>
      <w:r w:rsidRPr="00CB23A5">
        <w:rPr>
          <w:bCs/>
          <w:color w:val="000000"/>
          <w:lang w:val="it-IT"/>
        </w:rPr>
        <w:t xml:space="preserve">Chia sẻ tại Hội nghị, đại diện Cục An toàn thông tin – Bộ Thông tin truyền thông cho biết, với vai trò là cơ quan quản lý nhà nước về An toàn thông tin, Cục An toàn thông tin đang khẩn trương tổ chức triển khai các nhiệm vụ được giao nhằm tăng cường bảo đảm an toàn thông tin cho Việt Nam nói chung và ngành tài chính, ngân hàng nói riêng, trong đó có việc khẩn trương xây dựng và hoàn thiện hành lang pháp lý cho hoạt động an toàn thông tin tại Việt Nam. Trong bối cảnh hiện nay, trước những nguy cơ về khả năng mất an toàn thông tin luôn thường trực, để có thể tăng cường khả năng bảo vệ trước các nguy cơ đó, Cục An toàn thông tin cho rằng, các đơn vị ngoài việc tự xây dựng các hệ thống đảm bảo an toàn thông tin thì cũng rất cần sự chung tay, góp sức, chia sẻ, hợp tác lẫn nhau giữa các đơn vị và tổ chức. </w:t>
      </w:r>
    </w:p>
    <w:p w:rsidR="00160820" w:rsidRPr="00CB23A5" w:rsidRDefault="00160820" w:rsidP="00CB23A5">
      <w:pPr>
        <w:spacing w:after="120" w:line="240" w:lineRule="auto"/>
        <w:ind w:left="284" w:right="282" w:firstLine="567"/>
        <w:jc w:val="both"/>
        <w:rPr>
          <w:bCs/>
          <w:color w:val="000000"/>
          <w:lang w:val="it-IT"/>
        </w:rPr>
      </w:pPr>
      <w:r w:rsidRPr="00CB23A5">
        <w:rPr>
          <w:bCs/>
          <w:color w:val="000000"/>
          <w:lang w:val="it-IT"/>
        </w:rPr>
        <w:t>Đại diện Cục C50 Bộ Công an đánh giá, hiện nay, hệ thống thanh toán điện tử, thanh toán thẻ của các ngân hàng Việt Nam đảm bảo an toàn. Đối với những vụ việc hy hữu xảy ra, các đối tượng chủ yếu lợi dụng sơ hở phía người sử dụng để thực hiện hành vi phạm tội. C50 khẳng định sẽ thường xuyên phối hợp với các ngân hàng trong việc trao đổi thông tin, phòng, chống tội phạm trong hoạt động thanh toán thẻ, thanh toán điện tử và thông báo các phương thức, thủ đoạn mới của tội phạm trong hoạt động thanh toán điện tử, thanh toán thẻ trên thế giới và tại Việt Nam.</w:t>
      </w:r>
    </w:p>
    <w:p w:rsidR="00160820" w:rsidRPr="00CB23A5" w:rsidRDefault="00160820" w:rsidP="00CB23A5">
      <w:pPr>
        <w:spacing w:after="120" w:line="240" w:lineRule="auto"/>
        <w:ind w:left="284" w:right="282" w:firstLine="567"/>
        <w:jc w:val="both"/>
        <w:rPr>
          <w:bCs/>
          <w:color w:val="000000"/>
          <w:lang w:val="it-IT"/>
        </w:rPr>
      </w:pPr>
      <w:r w:rsidRPr="00CB23A5">
        <w:rPr>
          <w:bCs/>
          <w:color w:val="000000"/>
          <w:lang w:val="it-IT"/>
        </w:rPr>
        <w:t xml:space="preserve">Bên cạnh đó, Hội nghị cũng ghi nhận nhiều ý kiến thảo luận và giải đáp của các chuyên gia an ninh công nghệ thông tin, các đại biểu đến từ các cơ quan bộ, ngành, tổ chức và doanh nghiệp tại các điểm cầu trực tuyến nhằm thúc đẩy các hành động cần thiết để đảm bảo an toàn mạng Internet, an ninh thông tin trên mạng, thúc đẩy phát triển thương mại điện tử nói chung và dịch vụ ngân hàng điện tử nói riêng.  </w:t>
      </w:r>
    </w:p>
    <w:p w:rsidR="00160820" w:rsidRPr="00CB23A5" w:rsidRDefault="00160820" w:rsidP="00CB23A5">
      <w:pPr>
        <w:spacing w:after="120" w:line="240" w:lineRule="auto"/>
        <w:ind w:left="284" w:right="282" w:firstLine="567"/>
        <w:jc w:val="both"/>
        <w:rPr>
          <w:bCs/>
          <w:color w:val="000000"/>
          <w:lang w:val="it-IT"/>
        </w:rPr>
      </w:pPr>
    </w:p>
    <w:p w:rsidR="00160820" w:rsidRPr="00CB23A5" w:rsidRDefault="00160820" w:rsidP="00CB23A5">
      <w:pPr>
        <w:spacing w:after="120" w:line="240" w:lineRule="auto"/>
        <w:ind w:left="284" w:right="282" w:firstLine="567"/>
        <w:jc w:val="right"/>
        <w:rPr>
          <w:bCs/>
          <w:color w:val="000000"/>
          <w:lang w:val="it-IT"/>
        </w:rPr>
      </w:pPr>
      <w:r w:rsidRPr="00CB23A5">
        <w:rPr>
          <w:b/>
          <w:lang w:val="pt-BR"/>
        </w:rPr>
        <w:t xml:space="preserve">NGÂN HÀNG NHÀ NƯỚC VIỆT NAM                                            </w:t>
      </w:r>
    </w:p>
    <w:p w:rsidR="00160820" w:rsidRPr="00CB23A5" w:rsidRDefault="00160820" w:rsidP="00CB23A5">
      <w:pPr>
        <w:spacing w:after="120" w:line="240" w:lineRule="auto"/>
        <w:ind w:left="284" w:right="282" w:firstLine="567"/>
        <w:rPr>
          <w:lang w:val="pt-BR"/>
        </w:rPr>
      </w:pPr>
      <w:r w:rsidRPr="00CB23A5">
        <w:rPr>
          <w:lang w:val="pt-BR"/>
        </w:rPr>
        <w:t xml:space="preserve">                                                             </w:t>
      </w:r>
    </w:p>
    <w:p w:rsidR="006A4F29" w:rsidRPr="00CB23A5" w:rsidRDefault="006A4F29" w:rsidP="00CB23A5">
      <w:pPr>
        <w:spacing w:after="120" w:line="240" w:lineRule="auto"/>
        <w:rPr>
          <w:lang w:val="it-IT"/>
        </w:rPr>
      </w:pPr>
    </w:p>
    <w:sectPr w:rsidR="006A4F29" w:rsidRPr="00CB23A5" w:rsidSect="008F7B69">
      <w:headerReference w:type="default" r:id="rId7"/>
      <w:footerReference w:type="default" r:id="rId8"/>
      <w:pgSz w:w="11907" w:h="16840" w:code="9"/>
      <w:pgMar w:top="851" w:right="851" w:bottom="1134" w:left="1418" w:header="425"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28F" w:rsidRDefault="0020728F">
      <w:pPr>
        <w:spacing w:after="0" w:line="240" w:lineRule="auto"/>
      </w:pPr>
      <w:r>
        <w:separator/>
      </w:r>
    </w:p>
  </w:endnote>
  <w:endnote w:type="continuationSeparator" w:id="1">
    <w:p w:rsidR="0020728F" w:rsidRDefault="002072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B69" w:rsidRDefault="00160820">
    <w:pPr>
      <w:pStyle w:val="Footer"/>
      <w:jc w:val="center"/>
    </w:pPr>
    <w:fldSimple w:instr=" PAGE   \* MERGEFORMAT ">
      <w:r w:rsidR="00CB23A5">
        <w:rPr>
          <w:noProof/>
        </w:rPr>
        <w:t>1</w:t>
      </w:r>
    </w:fldSimple>
  </w:p>
  <w:p w:rsidR="008F7B69" w:rsidRPr="001A2E26" w:rsidRDefault="008F7B69" w:rsidP="008F7B69">
    <w:pPr>
      <w:pStyle w:val="NoSpacing"/>
      <w:rPr>
        <w:rFonts w:ascii="Arial" w:hAnsi="Arial" w:cs="Arial"/>
        <w:color w:val="595959"/>
        <w:sz w:val="20"/>
        <w:szCs w:val="20"/>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28F" w:rsidRDefault="0020728F">
      <w:pPr>
        <w:spacing w:after="0" w:line="240" w:lineRule="auto"/>
      </w:pPr>
      <w:r>
        <w:separator/>
      </w:r>
    </w:p>
  </w:footnote>
  <w:footnote w:type="continuationSeparator" w:id="1">
    <w:p w:rsidR="0020728F" w:rsidRDefault="002072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B69" w:rsidRPr="003152F6" w:rsidRDefault="008F7B69" w:rsidP="008F7B69">
    <w:pPr>
      <w:spacing w:after="0" w:line="360" w:lineRule="auto"/>
      <w:rPr>
        <w:rFonts w:ascii="Candara" w:hAnsi="Candara" w:cs="Arial"/>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60820"/>
    <w:rsid w:val="000B48DE"/>
    <w:rsid w:val="000D6B9D"/>
    <w:rsid w:val="0010183E"/>
    <w:rsid w:val="00160820"/>
    <w:rsid w:val="0017132C"/>
    <w:rsid w:val="00172E81"/>
    <w:rsid w:val="0020728F"/>
    <w:rsid w:val="0023259F"/>
    <w:rsid w:val="00347B0E"/>
    <w:rsid w:val="00422641"/>
    <w:rsid w:val="0054518F"/>
    <w:rsid w:val="005D5110"/>
    <w:rsid w:val="006A4F29"/>
    <w:rsid w:val="007F0436"/>
    <w:rsid w:val="008F7B69"/>
    <w:rsid w:val="00AD7046"/>
    <w:rsid w:val="00B2062B"/>
    <w:rsid w:val="00B37981"/>
    <w:rsid w:val="00B77C72"/>
    <w:rsid w:val="00BB3726"/>
    <w:rsid w:val="00CB23A5"/>
    <w:rsid w:val="00CC75D7"/>
    <w:rsid w:val="00D075D7"/>
    <w:rsid w:val="00D91D49"/>
    <w:rsid w:val="00EC2A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820"/>
    <w:pPr>
      <w:spacing w:after="200" w:line="276" w:lineRule="auto"/>
    </w:pPr>
    <w:rPr>
      <w:rFonts w:ascii="Times New Roman" w:eastAsia="Calibri" w:hAnsi="Times New Roman"/>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60820"/>
    <w:pPr>
      <w:tabs>
        <w:tab w:val="center" w:pos="4680"/>
        <w:tab w:val="right" w:pos="9360"/>
      </w:tabs>
    </w:pPr>
  </w:style>
  <w:style w:type="character" w:customStyle="1" w:styleId="FooterChar">
    <w:name w:val="Footer Char"/>
    <w:link w:val="Footer"/>
    <w:uiPriority w:val="99"/>
    <w:rsid w:val="00160820"/>
    <w:rPr>
      <w:rFonts w:ascii="Times New Roman" w:eastAsia="Calibri" w:hAnsi="Times New Roman" w:cs="Times New Roman"/>
      <w:sz w:val="28"/>
      <w:szCs w:val="28"/>
      <w:lang w:val="en-GB"/>
    </w:rPr>
  </w:style>
  <w:style w:type="paragraph" w:styleId="NoSpacing">
    <w:name w:val="No Spacing"/>
    <w:uiPriority w:val="1"/>
    <w:qFormat/>
    <w:rsid w:val="00160820"/>
    <w:rPr>
      <w:rFonts w:ascii="Calibri" w:eastAsia="Calibri" w:hAnsi="Calibri"/>
      <w:sz w:val="22"/>
      <w:szCs w:val="22"/>
    </w:rPr>
  </w:style>
  <w:style w:type="paragraph" w:styleId="BalloonText">
    <w:name w:val="Balloon Text"/>
    <w:basedOn w:val="Normal"/>
    <w:link w:val="BalloonTextChar"/>
    <w:uiPriority w:val="99"/>
    <w:semiHidden/>
    <w:unhideWhenUsed/>
    <w:rsid w:val="001608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60820"/>
    <w:rPr>
      <w:rFonts w:ascii="Tahoma" w:eastAsia="Calibri"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Relationships xmlns="http://schemas.openxmlformats.org/package/2006/relationships"><Relationship Target="footer1.xml" Type="http://schemas.openxmlformats.org/officeDocument/2006/relationships/footer" Id="rId8"></Relationship><Relationship Target="webSettings.xml" Type="http://schemas.openxmlformats.org/officeDocument/2006/relationships/webSettings" Id="rId3"></Relationship><Relationship Target="header1.xml" Type="http://schemas.openxmlformats.org/officeDocument/2006/relationships/header" Id="rId7"></Relationship><Relationship Target="settings.xml" Type="http://schemas.openxmlformats.org/officeDocument/2006/relationships/settings" Id="rId2"></Relationship><Relationship Target="styles.xml" Type="http://schemas.openxmlformats.org/officeDocument/2006/relationships/styles" Id="rId1"></Relationship><Relationship Target="media/image1.jpeg" Type="http://schemas.openxmlformats.org/officeDocument/2006/relationships/image" Id="rId6"></Relationship><Relationship Target="endnotes.xml" Type="http://schemas.openxmlformats.org/officeDocument/2006/relationships/endnotes" Id="rId5"></Relationship><Relationship Target="theme/theme1.xml" Type="http://schemas.openxmlformats.org/officeDocument/2006/relationships/theme" Id="rId10"></Relationship><Relationship Target="footnotes.xml" Type="http://schemas.openxmlformats.org/officeDocument/2006/relationships/footnotes" Id="rId4"></Relationship><Relationship Target="fontTable.xml" Type="http://schemas.openxmlformats.org/officeDocument/2006/relationships/fontTabl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Sao</dc:creator>
  <cp:keywords/>
  <cp:lastModifiedBy>dung</cp:lastModifiedBy>
  <cp:revision>3</cp:revision>
  <cp:lastPrinted>2016-09-07T10:48:00Z</cp:lastPrinted>
  <dcterms:created xsi:type="dcterms:W3CDTF">2016-09-08T07:23:00Z</dcterms:created>
  <dcterms:modified xsi:type="dcterms:W3CDTF">2016-09-08T07:25:00Z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SBV244088</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246521</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http://webcenter-app01:16200/cs/idcplg?IdcService=DESKTOP_DOC_INFO&amp;dDocName=SBV244088&amp;dID=246521&amp;ClientControlled=DocMan,taskpane&amp;coreContentOnly=1</vt:lpwstr>
  </property>
</Properties>
</file>