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Ind w:w="-176" w:type="dxa"/>
        <w:tblBorders>
          <w:top w:val="single" w:sz="12" w:space="0" w:color="F79646"/>
          <w:left w:val="single" w:sz="12" w:space="0" w:color="F79646"/>
          <w:bottom w:val="single" w:sz="12" w:space="0" w:color="F79646"/>
          <w:right w:val="single" w:sz="12" w:space="0" w:color="F79646"/>
        </w:tblBorders>
        <w:tblLayout w:type="fixed"/>
        <w:tblLook w:val="00A0"/>
      </w:tblPr>
      <w:tblGrid>
        <w:gridCol w:w="4503"/>
        <w:gridCol w:w="1842"/>
        <w:gridCol w:w="4111"/>
      </w:tblGrid>
      <w:tr w:rsidR="00660FC9" w:rsidRPr="00392FDD" w:rsidTr="00392FDD">
        <w:trPr>
          <w:trHeight w:val="1246"/>
        </w:trPr>
        <w:tc>
          <w:tcPr>
            <w:tcW w:w="6345" w:type="dxa"/>
            <w:gridSpan w:val="2"/>
            <w:tcBorders>
              <w:top w:val="single" w:sz="12" w:space="0" w:color="F79646"/>
              <w:right w:val="single" w:sz="12" w:space="0" w:color="EEECE1"/>
            </w:tcBorders>
            <w:shd w:val="clear" w:color="auto" w:fill="F79646"/>
          </w:tcPr>
          <w:p w:rsidR="00660FC9" w:rsidRPr="00392FDD" w:rsidRDefault="00660FC9" w:rsidP="00392FDD">
            <w:pPr>
              <w:spacing w:before="240" w:after="120" w:line="240" w:lineRule="auto"/>
              <w:ind w:left="113" w:right="113"/>
              <w:jc w:val="center"/>
              <w:rPr>
                <w:noProof/>
              </w:rPr>
            </w:pPr>
            <w:r w:rsidRPr="00392FDD">
              <w:rPr>
                <w:rFonts w:ascii="Times New Roman" w:hAnsi="Times New Roman"/>
                <w:b/>
                <w:color w:val="FFFFFF"/>
                <w:sz w:val="32"/>
                <w:szCs w:val="32"/>
              </w:rPr>
              <w:t>BÁO CÁO KẾT QUẢ ĐIỀU TRA KỲ VỌNG LẠM PHÁT CỦA CÁC TỔ CHỨC TÍN DỤNG THÁNG 6/2013</w:t>
            </w:r>
          </w:p>
        </w:tc>
        <w:tc>
          <w:tcPr>
            <w:tcW w:w="4111" w:type="dxa"/>
            <w:tcBorders>
              <w:top w:val="single" w:sz="12" w:space="0" w:color="EEECE1"/>
              <w:left w:val="single" w:sz="12" w:space="0" w:color="EEECE1"/>
              <w:bottom w:val="single" w:sz="12" w:space="0" w:color="EEECE1"/>
              <w:right w:val="single" w:sz="12" w:space="0" w:color="EEECE1"/>
            </w:tcBorders>
          </w:tcPr>
          <w:p w:rsidR="00660FC9" w:rsidRPr="00392FDD" w:rsidRDefault="00F82756" w:rsidP="00392FDD">
            <w:pPr>
              <w:spacing w:after="0" w:line="240" w:lineRule="auto"/>
              <w:jc w:val="center"/>
            </w:pPr>
            <w:r>
              <w:rPr>
                <w:noProof/>
              </w:rPr>
              <w:drawing>
                <wp:inline distT="0" distB="0" distL="0" distR="0">
                  <wp:extent cx="980440" cy="57086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980440" cy="570865"/>
                          </a:xfrm>
                          <a:prstGeom prst="rect">
                            <a:avLst/>
                          </a:prstGeom>
                          <a:noFill/>
                          <a:ln w="9525">
                            <a:noFill/>
                            <a:miter lim="800000"/>
                            <a:headEnd/>
                            <a:tailEnd/>
                          </a:ln>
                        </pic:spPr>
                      </pic:pic>
                    </a:graphicData>
                  </a:graphic>
                </wp:inline>
              </w:drawing>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Vụ Dự báo, thống kê tiền tệ</w:t>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Ngân hàng Nhà nước Việt Nam</w:t>
            </w:r>
          </w:p>
        </w:tc>
      </w:tr>
      <w:tr w:rsidR="00660FC9" w:rsidRPr="00392FDD" w:rsidTr="00392FDD">
        <w:tblPrEx>
          <w:tblBorders>
            <w:insideH w:val="single" w:sz="12" w:space="0" w:color="F79646"/>
            <w:insideV w:val="single" w:sz="12" w:space="0" w:color="F79646"/>
          </w:tblBorders>
        </w:tblPrEx>
        <w:tc>
          <w:tcPr>
            <w:tcW w:w="10456" w:type="dxa"/>
            <w:gridSpan w:val="3"/>
            <w:tcBorders>
              <w:bottom w:val="single" w:sz="18" w:space="0" w:color="F79646"/>
            </w:tcBorders>
            <w:shd w:val="clear" w:color="auto" w:fill="C6D9F1"/>
          </w:tcPr>
          <w:p w:rsidR="00660FC9" w:rsidRPr="00392FDD" w:rsidRDefault="00660FC9" w:rsidP="00392FDD">
            <w:pPr>
              <w:spacing w:after="0" w:line="240" w:lineRule="auto"/>
              <w:rPr>
                <w:rFonts w:ascii="Times New Roman" w:hAnsi="Times New Roman"/>
                <w:b/>
                <w:sz w:val="28"/>
                <w:szCs w:val="28"/>
              </w:rPr>
            </w:pPr>
          </w:p>
        </w:tc>
      </w:tr>
      <w:tr w:rsidR="00660FC9" w:rsidRPr="00392FDD" w:rsidTr="00392FDD">
        <w:tblPrEx>
          <w:tblBorders>
            <w:insideH w:val="single" w:sz="12" w:space="0" w:color="F79646"/>
            <w:insideV w:val="single" w:sz="12" w:space="0" w:color="F79646"/>
          </w:tblBorders>
        </w:tblPrEx>
        <w:tc>
          <w:tcPr>
            <w:tcW w:w="10456" w:type="dxa"/>
            <w:gridSpan w:val="3"/>
            <w:tcBorders>
              <w:top w:val="single" w:sz="18" w:space="0" w:color="F79646"/>
              <w:left w:val="single" w:sz="18" w:space="0" w:color="F79646"/>
              <w:bottom w:val="single" w:sz="18" w:space="0" w:color="F79646"/>
              <w:right w:val="single" w:sz="18" w:space="0" w:color="F79646"/>
            </w:tcBorders>
            <w:shd w:val="clear" w:color="auto" w:fill="FFFFFF"/>
          </w:tcPr>
          <w:p w:rsidR="00911F41" w:rsidRPr="000F418D" w:rsidRDefault="00660FC9" w:rsidP="00BE66C7">
            <w:pPr>
              <w:spacing w:before="120" w:after="0" w:line="264" w:lineRule="auto"/>
              <w:ind w:right="176"/>
              <w:jc w:val="center"/>
              <w:rPr>
                <w:rFonts w:ascii="Times New Roman" w:hAnsi="Times New Roman"/>
                <w:b/>
                <w:sz w:val="28"/>
                <w:szCs w:val="28"/>
              </w:rPr>
            </w:pPr>
            <w:r w:rsidRPr="00392FDD">
              <w:rPr>
                <w:rFonts w:ascii="Times New Roman" w:hAnsi="Times New Roman"/>
                <w:b/>
                <w:sz w:val="28"/>
                <w:szCs w:val="28"/>
              </w:rPr>
              <w:t>TỔNG QUAN</w:t>
            </w:r>
          </w:p>
          <w:p w:rsidR="00660FC9" w:rsidRDefault="00660FC9" w:rsidP="00911F41">
            <w:pPr>
              <w:pStyle w:val="ListParagraph"/>
              <w:spacing w:after="0" w:line="240" w:lineRule="auto"/>
              <w:ind w:right="176"/>
              <w:jc w:val="both"/>
              <w:rPr>
                <w:rFonts w:ascii="Times New Roman" w:hAnsi="Times New Roman"/>
                <w:i/>
                <w:sz w:val="24"/>
                <w:szCs w:val="24"/>
              </w:rPr>
            </w:pPr>
            <w:r w:rsidRPr="00392FDD">
              <w:rPr>
                <w:rFonts w:ascii="Times New Roman" w:hAnsi="Times New Roman"/>
                <w:i/>
                <w:sz w:val="24"/>
                <w:szCs w:val="24"/>
              </w:rPr>
              <w:t xml:space="preserve"> </w:t>
            </w:r>
          </w:p>
          <w:p w:rsidR="00911F41" w:rsidRPr="000F418D" w:rsidRDefault="000F418D" w:rsidP="000F418D">
            <w:pPr>
              <w:pStyle w:val="ListParagraph"/>
              <w:numPr>
                <w:ilvl w:val="0"/>
                <w:numId w:val="3"/>
              </w:numPr>
              <w:spacing w:before="120" w:after="120" w:line="300" w:lineRule="auto"/>
              <w:ind w:left="714" w:right="176" w:hanging="357"/>
              <w:jc w:val="both"/>
              <w:rPr>
                <w:rFonts w:ascii="Times New Roman" w:hAnsi="Times New Roman"/>
                <w:i/>
                <w:sz w:val="24"/>
                <w:szCs w:val="24"/>
              </w:rPr>
            </w:pPr>
            <w:r>
              <w:rPr>
                <w:rFonts w:ascii="Times New Roman" w:hAnsi="Times New Roman"/>
                <w:i/>
                <w:sz w:val="24"/>
                <w:szCs w:val="24"/>
              </w:rPr>
              <w:t>K</w:t>
            </w:r>
            <w:r w:rsidR="00660FC9" w:rsidRPr="00392FDD">
              <w:rPr>
                <w:rFonts w:ascii="Times New Roman" w:hAnsi="Times New Roman"/>
                <w:i/>
                <w:sz w:val="24"/>
                <w:szCs w:val="24"/>
              </w:rPr>
              <w:t xml:space="preserve">ỳ vọng lạm phát của các TCTD </w:t>
            </w:r>
            <w:r>
              <w:rPr>
                <w:rFonts w:ascii="Times New Roman" w:hAnsi="Times New Roman"/>
                <w:i/>
                <w:sz w:val="24"/>
                <w:szCs w:val="24"/>
              </w:rPr>
              <w:t xml:space="preserve">tại thời điểm hiện tại </w:t>
            </w:r>
            <w:r w:rsidR="00660FC9" w:rsidRPr="00392FDD">
              <w:rPr>
                <w:rFonts w:ascii="Times New Roman" w:hAnsi="Times New Roman"/>
                <w:i/>
                <w:sz w:val="24"/>
                <w:szCs w:val="24"/>
              </w:rPr>
              <w:t xml:space="preserve">giảm so với thời điểm trước. Cụ thể, tại cuộc điều tra tháng 6/2013, các TCTD kỳ vọng </w:t>
            </w:r>
            <w:r>
              <w:rPr>
                <w:rFonts w:ascii="Times New Roman" w:hAnsi="Times New Roman"/>
                <w:i/>
                <w:sz w:val="24"/>
                <w:szCs w:val="24"/>
              </w:rPr>
              <w:t xml:space="preserve">lạm phát năm 2013 (tháng 12/2013 so với tháng 12/2012) là </w:t>
            </w:r>
            <w:r w:rsidR="00660FC9" w:rsidRPr="00392FDD">
              <w:rPr>
                <w:rFonts w:ascii="Times New Roman" w:hAnsi="Times New Roman"/>
                <w:i/>
                <w:sz w:val="24"/>
                <w:szCs w:val="24"/>
              </w:rPr>
              <w:t>6,55%, thấp hơn mức kỳ vọng 7,5% tại cuộc điều tra tháng 3/2013.</w:t>
            </w:r>
            <w:r>
              <w:rPr>
                <w:rFonts w:ascii="Times New Roman" w:hAnsi="Times New Roman"/>
                <w:i/>
                <w:sz w:val="24"/>
                <w:szCs w:val="24"/>
              </w:rPr>
              <w:t xml:space="preserve"> </w:t>
            </w:r>
            <w:r w:rsidRPr="00051E20">
              <w:rPr>
                <w:rFonts w:ascii="Times New Roman" w:hAnsi="Times New Roman"/>
                <w:i/>
                <w:sz w:val="24"/>
                <w:szCs w:val="24"/>
              </w:rPr>
              <w:t xml:space="preserve">Điều chỉnh giá của các mặt hàng do nhà nước quản lý tiếp tục được nhìn nhận là nhân tố </w:t>
            </w:r>
            <w:r>
              <w:rPr>
                <w:rFonts w:ascii="Times New Roman" w:hAnsi="Times New Roman"/>
                <w:i/>
                <w:sz w:val="24"/>
                <w:szCs w:val="24"/>
              </w:rPr>
              <w:t>ảnh hưởng</w:t>
            </w:r>
            <w:r w:rsidRPr="00051E20">
              <w:rPr>
                <w:rFonts w:ascii="Times New Roman" w:hAnsi="Times New Roman"/>
                <w:i/>
                <w:sz w:val="24"/>
                <w:szCs w:val="24"/>
              </w:rPr>
              <w:t xml:space="preserve"> mạnh nhất đến diễn biến CPI năm 2013.</w:t>
            </w:r>
          </w:p>
          <w:p w:rsidR="00660FC9" w:rsidRDefault="00660FC9" w:rsidP="00C304F5">
            <w:pPr>
              <w:pStyle w:val="ListParagraph"/>
              <w:spacing w:after="120" w:line="240" w:lineRule="auto"/>
              <w:ind w:left="714" w:right="176"/>
              <w:jc w:val="both"/>
              <w:rPr>
                <w:rFonts w:ascii="Times New Roman" w:hAnsi="Times New Roman"/>
                <w:i/>
                <w:sz w:val="24"/>
                <w:szCs w:val="24"/>
              </w:rPr>
            </w:pPr>
            <w:r w:rsidRPr="00392FDD">
              <w:rPr>
                <w:rFonts w:ascii="Times New Roman" w:hAnsi="Times New Roman"/>
                <w:sz w:val="24"/>
                <w:szCs w:val="24"/>
              </w:rPr>
              <w:t xml:space="preserve"> </w:t>
            </w:r>
          </w:p>
          <w:p w:rsidR="00C304F5" w:rsidRPr="00C304F5" w:rsidRDefault="00660FC9" w:rsidP="00C304F5">
            <w:pPr>
              <w:pStyle w:val="ListParagraph"/>
              <w:numPr>
                <w:ilvl w:val="0"/>
                <w:numId w:val="6"/>
              </w:numPr>
              <w:spacing w:before="120" w:after="120" w:line="288" w:lineRule="auto"/>
              <w:ind w:left="743" w:right="176" w:hanging="425"/>
              <w:jc w:val="both"/>
              <w:rPr>
                <w:rFonts w:ascii="Times New Roman" w:eastAsia="Times New Roman" w:hAnsi="Times New Roman"/>
                <w:i/>
                <w:sz w:val="24"/>
              </w:rPr>
            </w:pPr>
            <w:r w:rsidRPr="00C304F5">
              <w:rPr>
                <w:rFonts w:ascii="Times New Roman" w:hAnsi="Times New Roman"/>
                <w:i/>
                <w:sz w:val="24"/>
                <w:szCs w:val="24"/>
              </w:rPr>
              <w:t>Với kỳ vọng lạm phát thấp, phần lớn các TCTD nhận định lãi suất cho vay ngắn hạn sẽ tiếp tục giảm trong quý III/2013, trong đó 23% các TCTD cho rằng lãi suất bình quân 2013 có thể giảm 3%-4% so với năm 2012. Trong khi tại cuộc điều tra tháng 3/2013, chỉ có 1% các TCTD kỳ vọng lãi suất giảm trên 3% so với năm 2012 và có tới 61% TCTD cho rằng lãi suất có thể giảm nhưng mức giảm không quá 2%.</w:t>
            </w:r>
          </w:p>
          <w:p w:rsidR="00C304F5" w:rsidRPr="00C304F5" w:rsidRDefault="00C304F5" w:rsidP="00C304F5">
            <w:pPr>
              <w:pStyle w:val="ListParagraph"/>
              <w:spacing w:after="0" w:line="240" w:lineRule="auto"/>
              <w:ind w:left="714" w:right="176"/>
              <w:jc w:val="both"/>
              <w:rPr>
                <w:rFonts w:ascii="Times New Roman" w:eastAsia="Times New Roman" w:hAnsi="Times New Roman"/>
                <w:i/>
                <w:sz w:val="24"/>
              </w:rPr>
            </w:pPr>
          </w:p>
          <w:p w:rsidR="00C304F5" w:rsidRDefault="00C304F5" w:rsidP="00C304F5">
            <w:pPr>
              <w:pStyle w:val="ListParagraph"/>
              <w:numPr>
                <w:ilvl w:val="0"/>
                <w:numId w:val="5"/>
              </w:numPr>
              <w:spacing w:before="120" w:after="120" w:line="288" w:lineRule="auto"/>
              <w:ind w:left="743" w:right="176" w:hanging="425"/>
              <w:jc w:val="both"/>
              <w:rPr>
                <w:rFonts w:ascii="Times New Roman" w:eastAsia="Times New Roman" w:hAnsi="Times New Roman"/>
                <w:i/>
                <w:sz w:val="24"/>
              </w:rPr>
            </w:pPr>
            <w:r w:rsidRPr="00C304F5">
              <w:rPr>
                <w:rFonts w:ascii="Times New Roman" w:eastAsia="Times New Roman" w:hAnsi="Times New Roman"/>
                <w:i/>
                <w:sz w:val="24"/>
              </w:rPr>
              <w:t>Nền kinh tế được nhìn nhận thoát đáy trong năm 2013 với kỳ vọng tăng trưởng quý II và cả năm 2013 lần lượt là 5,08% và 5,3%. Tuy nhiên, các TCTD đã thận trọng hơn trong việc đánh giá khả năng tăng trưởng của nền kinh tế Việt Nam trong năm 2013.</w:t>
            </w:r>
          </w:p>
          <w:p w:rsidR="00C304F5" w:rsidRPr="00C304F5" w:rsidRDefault="00C304F5" w:rsidP="00C304F5">
            <w:pPr>
              <w:pStyle w:val="ListParagraph"/>
              <w:spacing w:after="0" w:line="240" w:lineRule="auto"/>
              <w:ind w:left="743" w:right="176"/>
              <w:jc w:val="both"/>
              <w:rPr>
                <w:rFonts w:ascii="Times New Roman" w:eastAsia="Times New Roman" w:hAnsi="Times New Roman"/>
                <w:i/>
                <w:sz w:val="24"/>
              </w:rPr>
            </w:pPr>
          </w:p>
          <w:p w:rsidR="00660FC9" w:rsidRDefault="00660FC9" w:rsidP="00911F41">
            <w:pPr>
              <w:pStyle w:val="ListParagraph"/>
              <w:numPr>
                <w:ilvl w:val="0"/>
                <w:numId w:val="3"/>
              </w:numPr>
              <w:spacing w:before="120" w:after="240" w:line="288" w:lineRule="auto"/>
              <w:ind w:left="714" w:right="176" w:hanging="357"/>
              <w:jc w:val="both"/>
              <w:rPr>
                <w:rFonts w:ascii="Times New Roman" w:hAnsi="Times New Roman"/>
                <w:i/>
                <w:sz w:val="24"/>
                <w:szCs w:val="24"/>
              </w:rPr>
            </w:pPr>
            <w:r w:rsidRPr="00392FDD">
              <w:rPr>
                <w:rFonts w:ascii="Times New Roman" w:hAnsi="Times New Roman"/>
                <w:i/>
                <w:sz w:val="24"/>
                <w:szCs w:val="24"/>
              </w:rPr>
              <w:t>Tính chung cả năm 2013, các TCTD kỳ vọng tỷ giá bình quân liên ngân hàng chỉ tăng dưới 3%</w:t>
            </w:r>
            <w:r w:rsidR="00911F41">
              <w:rPr>
                <w:rFonts w:ascii="Times New Roman" w:hAnsi="Times New Roman"/>
                <w:i/>
                <w:sz w:val="24"/>
                <w:szCs w:val="24"/>
              </w:rPr>
              <w:t>.</w:t>
            </w:r>
          </w:p>
          <w:p w:rsidR="00911F41" w:rsidRDefault="00911F41" w:rsidP="00C304F5">
            <w:pPr>
              <w:pStyle w:val="ListParagraph"/>
              <w:spacing w:after="0" w:line="240" w:lineRule="auto"/>
              <w:ind w:left="714" w:right="176"/>
              <w:jc w:val="both"/>
              <w:rPr>
                <w:rFonts w:ascii="Times New Roman" w:hAnsi="Times New Roman"/>
                <w:i/>
                <w:sz w:val="24"/>
                <w:szCs w:val="24"/>
              </w:rPr>
            </w:pPr>
          </w:p>
          <w:p w:rsidR="00660FC9" w:rsidRPr="00392FDD" w:rsidRDefault="00660FC9" w:rsidP="00911F41">
            <w:pPr>
              <w:pStyle w:val="ListParagraph"/>
              <w:numPr>
                <w:ilvl w:val="0"/>
                <w:numId w:val="3"/>
              </w:numPr>
              <w:spacing w:before="120" w:after="120" w:line="288" w:lineRule="auto"/>
              <w:ind w:left="714" w:right="176" w:hanging="357"/>
              <w:jc w:val="both"/>
              <w:rPr>
                <w:rFonts w:ascii="Times New Roman" w:hAnsi="Times New Roman"/>
                <w:i/>
                <w:sz w:val="24"/>
                <w:szCs w:val="24"/>
              </w:rPr>
            </w:pPr>
            <w:r>
              <w:rPr>
                <w:rFonts w:ascii="Times New Roman" w:hAnsi="Times New Roman"/>
                <w:i/>
                <w:sz w:val="24"/>
                <w:szCs w:val="24"/>
              </w:rPr>
              <w:t xml:space="preserve">Đa số các </w:t>
            </w:r>
            <w:r w:rsidRPr="00392FDD">
              <w:rPr>
                <w:rFonts w:ascii="Times New Roman" w:hAnsi="Times New Roman"/>
                <w:i/>
                <w:sz w:val="24"/>
                <w:szCs w:val="24"/>
              </w:rPr>
              <w:t xml:space="preserve">TCTD </w:t>
            </w:r>
            <w:r>
              <w:rPr>
                <w:rFonts w:ascii="Times New Roman" w:hAnsi="Times New Roman"/>
                <w:i/>
                <w:sz w:val="24"/>
                <w:szCs w:val="24"/>
              </w:rPr>
              <w:t xml:space="preserve">đánh giá </w:t>
            </w:r>
            <w:r w:rsidRPr="00392FDD">
              <w:rPr>
                <w:rFonts w:ascii="Times New Roman" w:hAnsi="Times New Roman"/>
                <w:i/>
                <w:sz w:val="24"/>
                <w:szCs w:val="24"/>
              </w:rPr>
              <w:t>chính sách tiền tệ</w:t>
            </w:r>
            <w:r>
              <w:rPr>
                <w:rFonts w:ascii="Times New Roman" w:hAnsi="Times New Roman"/>
                <w:i/>
                <w:sz w:val="24"/>
                <w:szCs w:val="24"/>
              </w:rPr>
              <w:t xml:space="preserve"> thời điểm hiện nay là tương đối cân bằng (không quá thắt chặt và cũng không quá nới lỏng) và kỳ vọng từ nay đến cuối năm </w:t>
            </w:r>
            <w:r w:rsidRPr="00392FDD">
              <w:rPr>
                <w:rFonts w:ascii="Times New Roman" w:hAnsi="Times New Roman"/>
                <w:i/>
                <w:sz w:val="24"/>
                <w:szCs w:val="24"/>
              </w:rPr>
              <w:t xml:space="preserve">sẽ </w:t>
            </w:r>
            <w:r>
              <w:rPr>
                <w:rFonts w:ascii="Times New Roman" w:hAnsi="Times New Roman"/>
                <w:i/>
                <w:sz w:val="24"/>
                <w:szCs w:val="24"/>
              </w:rPr>
              <w:t xml:space="preserve">tiếp tục xu hướng </w:t>
            </w:r>
            <w:r w:rsidRPr="00392FDD">
              <w:rPr>
                <w:rFonts w:ascii="Times New Roman" w:hAnsi="Times New Roman"/>
                <w:i/>
                <w:sz w:val="24"/>
                <w:szCs w:val="24"/>
              </w:rPr>
              <w:t>nới lỏng dần. Điều này phù hợp với kỳ vọng lãi suất sẽ tiếp tục giảm và tỷ giá sẽ điều chỉnh</w:t>
            </w:r>
            <w:r>
              <w:rPr>
                <w:rFonts w:ascii="Times New Roman" w:hAnsi="Times New Roman"/>
                <w:i/>
                <w:sz w:val="24"/>
                <w:szCs w:val="24"/>
              </w:rPr>
              <w:t xml:space="preserve"> tăng nhẹ </w:t>
            </w:r>
            <w:r w:rsidRPr="00392FDD">
              <w:rPr>
                <w:rFonts w:ascii="Times New Roman" w:hAnsi="Times New Roman"/>
                <w:i/>
                <w:sz w:val="24"/>
                <w:szCs w:val="24"/>
              </w:rPr>
              <w:t>trong giai đoạn nửa cuối năm.</w:t>
            </w:r>
          </w:p>
        </w:tc>
      </w:tr>
      <w:tr w:rsidR="00660FC9" w:rsidRPr="00392FDD" w:rsidTr="00392FDD">
        <w:tblPrEx>
          <w:tblBorders>
            <w:insideH w:val="single" w:sz="12" w:space="0" w:color="F79646"/>
            <w:insideV w:val="single" w:sz="12" w:space="0" w:color="F79646"/>
          </w:tblBorders>
        </w:tblPrEx>
        <w:tc>
          <w:tcPr>
            <w:tcW w:w="4503" w:type="dxa"/>
            <w:tcBorders>
              <w:top w:val="single" w:sz="18" w:space="0" w:color="F79646"/>
              <w:left w:val="nil"/>
              <w:bottom w:val="single" w:sz="18" w:space="0" w:color="F79646"/>
              <w:right w:val="nil"/>
            </w:tcBorders>
            <w:shd w:val="clear" w:color="auto" w:fill="FFFFFF"/>
          </w:tcPr>
          <w:p w:rsidR="00723074" w:rsidRDefault="00723074" w:rsidP="00BE66C7">
            <w:pPr>
              <w:spacing w:before="120" w:after="0" w:line="240" w:lineRule="auto"/>
              <w:jc w:val="center"/>
              <w:rPr>
                <w:rFonts w:ascii="Times New Roman" w:hAnsi="Times New Roman"/>
                <w:b/>
                <w:sz w:val="23"/>
                <w:szCs w:val="23"/>
              </w:rPr>
            </w:pPr>
          </w:p>
          <w:p w:rsidR="00C304F5" w:rsidRDefault="00C304F5" w:rsidP="00197A83">
            <w:pPr>
              <w:spacing w:before="140" w:after="120" w:line="240" w:lineRule="auto"/>
              <w:jc w:val="center"/>
              <w:rPr>
                <w:rFonts w:ascii="Times New Roman" w:hAnsi="Times New Roman"/>
                <w:b/>
                <w:sz w:val="23"/>
                <w:szCs w:val="23"/>
              </w:rPr>
            </w:pPr>
          </w:p>
          <w:p w:rsidR="00C304F5" w:rsidRDefault="00C304F5" w:rsidP="00197A83">
            <w:pPr>
              <w:spacing w:before="140" w:after="120" w:line="240" w:lineRule="auto"/>
              <w:jc w:val="center"/>
              <w:rPr>
                <w:rFonts w:ascii="Times New Roman" w:hAnsi="Times New Roman"/>
                <w:b/>
                <w:sz w:val="23"/>
                <w:szCs w:val="23"/>
              </w:rPr>
            </w:pPr>
          </w:p>
          <w:p w:rsidR="00660FC9" w:rsidRPr="00392FDD" w:rsidRDefault="00660FC9" w:rsidP="00197A83">
            <w:pPr>
              <w:spacing w:before="140" w:after="120" w:line="240" w:lineRule="auto"/>
              <w:jc w:val="center"/>
              <w:rPr>
                <w:rFonts w:ascii="Times New Roman" w:hAnsi="Times New Roman"/>
                <w:b/>
                <w:sz w:val="23"/>
                <w:szCs w:val="23"/>
              </w:rPr>
            </w:pPr>
            <w:r w:rsidRPr="00392FDD">
              <w:rPr>
                <w:rFonts w:ascii="Times New Roman" w:hAnsi="Times New Roman"/>
                <w:b/>
                <w:sz w:val="23"/>
                <w:szCs w:val="23"/>
              </w:rPr>
              <w:t>Bảng 1: Kỳ vọng lạm phát (%)</w:t>
            </w:r>
          </w:p>
          <w:tbl>
            <w:tblPr>
              <w:tblW w:w="3974" w:type="dxa"/>
              <w:jc w:val="center"/>
              <w:tblLayout w:type="fixed"/>
              <w:tblLook w:val="00A0"/>
            </w:tblPr>
            <w:tblGrid>
              <w:gridCol w:w="2372"/>
              <w:gridCol w:w="1602"/>
            </w:tblGrid>
            <w:tr w:rsidR="00660FC9" w:rsidRPr="00392FDD" w:rsidTr="00392FDD">
              <w:trPr>
                <w:jc w:val="center"/>
              </w:trPr>
              <w:tc>
                <w:tcPr>
                  <w:tcW w:w="3974" w:type="dxa"/>
                  <w:gridSpan w:val="2"/>
                  <w:shd w:val="clear" w:color="auto" w:fill="4F81BD"/>
                </w:tcPr>
                <w:p w:rsidR="00660FC9" w:rsidRPr="00392FDD" w:rsidRDefault="00660FC9" w:rsidP="0040435E">
                  <w:pPr>
                    <w:spacing w:before="120" w:after="120" w:line="240" w:lineRule="auto"/>
                    <w:ind w:left="20" w:right="-28" w:hanging="20"/>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điều tra tháng 6/2013</w:t>
                  </w:r>
                </w:p>
              </w:tc>
            </w:tr>
            <w:tr w:rsidR="00660FC9" w:rsidRPr="00392FDD" w:rsidTr="00392FDD">
              <w:trPr>
                <w:jc w:val="center"/>
              </w:trPr>
              <w:tc>
                <w:tcPr>
                  <w:tcW w:w="2372" w:type="dxa"/>
                  <w:tcBorders>
                    <w:top w:val="single" w:sz="4" w:space="0" w:color="auto"/>
                    <w:right w:val="single" w:sz="4" w:space="0" w:color="auto"/>
                  </w:tcBorders>
                  <w:shd w:val="clear" w:color="auto" w:fill="FDE9D9"/>
                </w:tcPr>
                <w:p w:rsidR="00660FC9" w:rsidRPr="00392FDD" w:rsidRDefault="00660FC9" w:rsidP="0040435E">
                  <w:pPr>
                    <w:spacing w:before="12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FDE9D9"/>
                </w:tcPr>
                <w:p w:rsidR="00660FC9" w:rsidRPr="00392FDD" w:rsidRDefault="00660FC9" w:rsidP="0040435E">
                  <w:pPr>
                    <w:spacing w:before="120" w:after="120" w:line="240" w:lineRule="auto"/>
                    <w:ind w:right="-28"/>
                    <w:jc w:val="center"/>
                    <w:rPr>
                      <w:rFonts w:ascii="Times New Roman" w:hAnsi="Times New Roman"/>
                      <w:noProof/>
                      <w:color w:val="000000"/>
                      <w:sz w:val="20"/>
                      <w:szCs w:val="20"/>
                    </w:rPr>
                  </w:pPr>
                  <w:r w:rsidRPr="00392FDD">
                    <w:rPr>
                      <w:rFonts w:ascii="Times New Roman" w:hAnsi="Times New Roman"/>
                      <w:noProof/>
                      <w:color w:val="000000"/>
                      <w:sz w:val="20"/>
                      <w:szCs w:val="20"/>
                    </w:rPr>
                    <w:t>6,5</w:t>
                  </w:r>
                  <w:r w:rsidR="00C304F5">
                    <w:rPr>
                      <w:rFonts w:ascii="Times New Roman" w:hAnsi="Times New Roman"/>
                      <w:noProof/>
                      <w:color w:val="000000"/>
                      <w:sz w:val="20"/>
                      <w:szCs w:val="20"/>
                    </w:rPr>
                    <w:t>5</w:t>
                  </w:r>
                  <w:r w:rsidRPr="00392FDD">
                    <w:rPr>
                      <w:rFonts w:ascii="Times New Roman" w:hAnsi="Times New Roman"/>
                      <w:noProof/>
                      <w:color w:val="000000"/>
                      <w:sz w:val="20"/>
                      <w:szCs w:val="20"/>
                    </w:rPr>
                    <w:t>%</w:t>
                  </w:r>
                </w:p>
              </w:tc>
            </w:tr>
            <w:tr w:rsidR="00660FC9" w:rsidRPr="00392FDD" w:rsidTr="00392FDD">
              <w:trPr>
                <w:jc w:val="center"/>
              </w:trPr>
              <w:tc>
                <w:tcPr>
                  <w:tcW w:w="3974" w:type="dxa"/>
                  <w:gridSpan w:val="2"/>
                  <w:shd w:val="clear" w:color="auto" w:fill="4F81BD"/>
                </w:tcPr>
                <w:p w:rsidR="00660FC9" w:rsidRPr="00392FDD" w:rsidRDefault="00660FC9" w:rsidP="0040435E">
                  <w:pPr>
                    <w:spacing w:before="120" w:after="120" w:line="240" w:lineRule="auto"/>
                    <w:ind w:right="-28"/>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điều tra tháng 3/2013</w:t>
                  </w:r>
                </w:p>
              </w:tc>
            </w:tr>
            <w:tr w:rsidR="00660FC9" w:rsidRPr="00392FDD" w:rsidTr="00392FDD">
              <w:trPr>
                <w:jc w:val="center"/>
              </w:trPr>
              <w:tc>
                <w:tcPr>
                  <w:tcW w:w="2372" w:type="dxa"/>
                  <w:tcBorders>
                    <w:top w:val="single" w:sz="4" w:space="0" w:color="auto"/>
                    <w:right w:val="single" w:sz="4" w:space="0" w:color="auto"/>
                  </w:tcBorders>
                  <w:shd w:val="clear" w:color="auto" w:fill="EDF6F9"/>
                </w:tcPr>
                <w:p w:rsidR="00660FC9" w:rsidRPr="00392FDD" w:rsidRDefault="00660FC9" w:rsidP="0040435E">
                  <w:pPr>
                    <w:spacing w:before="12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EDF6F9"/>
                </w:tcPr>
                <w:p w:rsidR="00660FC9" w:rsidRPr="00392FDD" w:rsidRDefault="00660FC9" w:rsidP="0040435E">
                  <w:pPr>
                    <w:spacing w:before="120" w:after="120" w:line="240" w:lineRule="auto"/>
                    <w:ind w:right="-28"/>
                    <w:jc w:val="center"/>
                    <w:rPr>
                      <w:rFonts w:ascii="Times New Roman" w:hAnsi="Times New Roman"/>
                      <w:noProof/>
                      <w:color w:val="000000"/>
                      <w:sz w:val="20"/>
                      <w:szCs w:val="20"/>
                    </w:rPr>
                  </w:pPr>
                  <w:r w:rsidRPr="00392FDD">
                    <w:rPr>
                      <w:rFonts w:ascii="Times New Roman" w:hAnsi="Times New Roman"/>
                      <w:noProof/>
                      <w:color w:val="000000"/>
                      <w:sz w:val="20"/>
                      <w:szCs w:val="20"/>
                    </w:rPr>
                    <w:t>7,5%</w:t>
                  </w:r>
                </w:p>
              </w:tc>
            </w:tr>
          </w:tbl>
          <w:p w:rsidR="000F418D" w:rsidRDefault="000F418D" w:rsidP="00197A83">
            <w:pPr>
              <w:spacing w:before="360" w:after="0" w:line="240" w:lineRule="auto"/>
              <w:ind w:right="-29"/>
              <w:jc w:val="center"/>
              <w:rPr>
                <w:rFonts w:ascii="Times New Roman" w:hAnsi="Times New Roman"/>
                <w:b/>
                <w:noProof/>
                <w:sz w:val="23"/>
                <w:szCs w:val="23"/>
              </w:rPr>
            </w:pPr>
          </w:p>
          <w:p w:rsidR="00E9694D" w:rsidRDefault="00E9694D" w:rsidP="00197A83">
            <w:pPr>
              <w:spacing w:before="360" w:after="0" w:line="240" w:lineRule="auto"/>
              <w:ind w:right="-29"/>
              <w:jc w:val="center"/>
              <w:rPr>
                <w:rFonts w:ascii="Times New Roman" w:hAnsi="Times New Roman"/>
                <w:b/>
                <w:noProof/>
                <w:sz w:val="23"/>
                <w:szCs w:val="23"/>
              </w:rPr>
            </w:pPr>
          </w:p>
          <w:p w:rsidR="00660FC9" w:rsidRPr="00392FDD" w:rsidRDefault="00660FC9" w:rsidP="00197A83">
            <w:pPr>
              <w:spacing w:before="360" w:after="0" w:line="240" w:lineRule="auto"/>
              <w:ind w:right="-29"/>
              <w:jc w:val="center"/>
              <w:rPr>
                <w:rFonts w:ascii="Times New Roman" w:hAnsi="Times New Roman"/>
                <w:b/>
                <w:noProof/>
                <w:sz w:val="23"/>
                <w:szCs w:val="23"/>
              </w:rPr>
            </w:pPr>
            <w:r w:rsidRPr="00392FDD">
              <w:rPr>
                <w:rFonts w:ascii="Times New Roman" w:hAnsi="Times New Roman"/>
                <w:b/>
                <w:noProof/>
                <w:sz w:val="23"/>
                <w:szCs w:val="23"/>
              </w:rPr>
              <w:lastRenderedPageBreak/>
              <w:t>Biểu đồ 1: Kỳ vọng thay đổi lãi suất cho vay ngắn hạn Quý III/2013 so với Quý II/2013</w:t>
            </w:r>
          </w:p>
          <w:p w:rsidR="00660FC9" w:rsidRPr="00392FDD" w:rsidRDefault="00F82756" w:rsidP="00392FDD">
            <w:pPr>
              <w:spacing w:before="240" w:after="120" w:line="240" w:lineRule="auto"/>
              <w:jc w:val="center"/>
              <w:rPr>
                <w:rFonts w:ascii="Times New Roman" w:hAnsi="Times New Roman"/>
                <w:b/>
                <w:sz w:val="23"/>
                <w:szCs w:val="23"/>
              </w:rPr>
            </w:pPr>
            <w:r>
              <w:rPr>
                <w:rFonts w:ascii="Times New Roman" w:hAnsi="Times New Roman"/>
                <w:b/>
                <w:noProof/>
                <w:sz w:val="23"/>
                <w:szCs w:val="23"/>
              </w:rPr>
              <w:drawing>
                <wp:inline distT="0" distB="0" distL="0" distR="0">
                  <wp:extent cx="2611755" cy="208470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071E" w:rsidRDefault="0083071E" w:rsidP="007E417C">
            <w:pPr>
              <w:spacing w:before="240" w:after="120" w:line="240" w:lineRule="auto"/>
              <w:jc w:val="center"/>
              <w:rPr>
                <w:rFonts w:ascii="Times New Roman" w:hAnsi="Times New Roman"/>
                <w:b/>
                <w:sz w:val="23"/>
                <w:szCs w:val="23"/>
              </w:rPr>
            </w:pPr>
          </w:p>
          <w:p w:rsidR="00660FC9" w:rsidRPr="00392FDD" w:rsidRDefault="00660FC9" w:rsidP="007E417C">
            <w:pPr>
              <w:spacing w:before="240" w:after="120" w:line="240" w:lineRule="auto"/>
              <w:jc w:val="center"/>
              <w:rPr>
                <w:rFonts w:ascii="Times New Roman" w:hAnsi="Times New Roman"/>
                <w:b/>
                <w:sz w:val="24"/>
                <w:szCs w:val="24"/>
              </w:rPr>
            </w:pPr>
            <w:r w:rsidRPr="00392FDD">
              <w:rPr>
                <w:rFonts w:ascii="Times New Roman" w:hAnsi="Times New Roman"/>
                <w:b/>
                <w:sz w:val="23"/>
                <w:szCs w:val="23"/>
              </w:rPr>
              <w:t>Biểu đồ 2: Kỳ vọng thay đổi lãi suất cho vay ngắn hạn n</w:t>
            </w:r>
            <w:r w:rsidRPr="00392FDD">
              <w:rPr>
                <w:rFonts w:ascii="Times New Roman" w:hAnsi="Times New Roman"/>
                <w:b/>
                <w:sz w:val="24"/>
                <w:szCs w:val="24"/>
              </w:rPr>
              <w:t>ăm 2013 so với năm 2012</w:t>
            </w:r>
          </w:p>
          <w:p w:rsidR="00660FC9" w:rsidRPr="00392FDD" w:rsidRDefault="00F82756" w:rsidP="00392FDD">
            <w:pPr>
              <w:spacing w:before="240" w:after="120" w:line="240" w:lineRule="auto"/>
              <w:jc w:val="center"/>
              <w:rPr>
                <w:rFonts w:ascii="Times New Roman" w:hAnsi="Times New Roman"/>
                <w:b/>
                <w:noProof/>
                <w:sz w:val="24"/>
                <w:szCs w:val="24"/>
              </w:rPr>
            </w:pPr>
            <w:r>
              <w:rPr>
                <w:rFonts w:ascii="Times New Roman" w:hAnsi="Times New Roman"/>
                <w:b/>
                <w:noProof/>
                <w:sz w:val="24"/>
                <w:szCs w:val="24"/>
              </w:rPr>
              <w:drawing>
                <wp:inline distT="0" distB="0" distL="0" distR="0">
                  <wp:extent cx="2713990" cy="2077720"/>
                  <wp:effectExtent l="0" t="0" r="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0FC9" w:rsidRPr="00392FDD" w:rsidRDefault="00660FC9" w:rsidP="00392FDD">
            <w:pPr>
              <w:spacing w:before="120" w:after="0" w:line="240" w:lineRule="auto"/>
              <w:ind w:right="-142"/>
              <w:jc w:val="center"/>
              <w:rPr>
                <w:rFonts w:ascii="Times New Roman" w:hAnsi="Times New Roman"/>
                <w:b/>
                <w:noProof/>
                <w:sz w:val="24"/>
                <w:szCs w:val="24"/>
              </w:rPr>
            </w:pPr>
            <w:r w:rsidRPr="00392FDD">
              <w:rPr>
                <w:rFonts w:ascii="Times New Roman" w:hAnsi="Times New Roman"/>
                <w:b/>
                <w:noProof/>
                <w:sz w:val="24"/>
                <w:szCs w:val="24"/>
              </w:rPr>
              <w:t xml:space="preserve">   </w:t>
            </w:r>
          </w:p>
          <w:p w:rsidR="0083071E" w:rsidRDefault="0083071E" w:rsidP="00197A83">
            <w:pPr>
              <w:spacing w:before="120" w:after="0" w:line="240" w:lineRule="auto"/>
              <w:ind w:right="-29"/>
              <w:jc w:val="center"/>
              <w:rPr>
                <w:rFonts w:ascii="Times New Roman" w:hAnsi="Times New Roman"/>
                <w:b/>
                <w:noProof/>
                <w:sz w:val="23"/>
                <w:szCs w:val="23"/>
              </w:rPr>
            </w:pPr>
          </w:p>
          <w:p w:rsidR="00660FC9" w:rsidRPr="00392FDD" w:rsidRDefault="00660FC9" w:rsidP="00197A83">
            <w:pPr>
              <w:spacing w:before="120" w:after="0" w:line="240" w:lineRule="auto"/>
              <w:ind w:right="-29"/>
              <w:jc w:val="center"/>
              <w:rPr>
                <w:rFonts w:ascii="Times New Roman" w:hAnsi="Times New Roman"/>
                <w:b/>
                <w:noProof/>
                <w:sz w:val="24"/>
                <w:szCs w:val="24"/>
              </w:rPr>
            </w:pPr>
            <w:r w:rsidRPr="00392FDD">
              <w:rPr>
                <w:rFonts w:ascii="Times New Roman" w:hAnsi="Times New Roman"/>
                <w:b/>
                <w:noProof/>
                <w:sz w:val="23"/>
                <w:szCs w:val="23"/>
              </w:rPr>
              <w:t>Biểu đồ</w:t>
            </w:r>
            <w:r w:rsidR="00E9694D">
              <w:rPr>
                <w:rFonts w:ascii="Times New Roman" w:hAnsi="Times New Roman"/>
                <w:b/>
                <w:noProof/>
                <w:sz w:val="23"/>
                <w:szCs w:val="23"/>
              </w:rPr>
              <w:t xml:space="preserve"> 3</w:t>
            </w:r>
            <w:r w:rsidRPr="00392FDD">
              <w:rPr>
                <w:rFonts w:ascii="Times New Roman" w:hAnsi="Times New Roman"/>
                <w:b/>
                <w:noProof/>
                <w:sz w:val="23"/>
                <w:szCs w:val="23"/>
              </w:rPr>
              <w:t xml:space="preserve">: Đánh giá các nhân tố tác động mạnh nhất tới </w:t>
            </w:r>
            <w:r>
              <w:rPr>
                <w:rFonts w:ascii="Times New Roman" w:hAnsi="Times New Roman"/>
                <w:b/>
                <w:noProof/>
                <w:sz w:val="23"/>
                <w:szCs w:val="23"/>
              </w:rPr>
              <w:t xml:space="preserve">CPI năm 2013 </w:t>
            </w:r>
            <w:r w:rsidR="00F82756">
              <w:rPr>
                <w:rFonts w:ascii="Times New Roman" w:hAnsi="Times New Roman"/>
                <w:b/>
                <w:noProof/>
                <w:sz w:val="24"/>
                <w:szCs w:val="24"/>
              </w:rPr>
              <w:drawing>
                <wp:inline distT="0" distB="0" distL="0" distR="0">
                  <wp:extent cx="2626360" cy="2428875"/>
                  <wp:effectExtent l="0" t="0" r="0" b="0"/>
                  <wp:docPr id="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0FC9" w:rsidRPr="00392FDD" w:rsidRDefault="00660FC9" w:rsidP="00392FDD">
            <w:pPr>
              <w:spacing w:before="120" w:after="120" w:line="240" w:lineRule="auto"/>
              <w:jc w:val="center"/>
              <w:rPr>
                <w:rFonts w:ascii="Times New Roman" w:hAnsi="Times New Roman"/>
                <w:b/>
                <w:sz w:val="23"/>
                <w:szCs w:val="23"/>
              </w:rPr>
            </w:pPr>
          </w:p>
          <w:p w:rsidR="00660FC9" w:rsidRPr="00392FDD" w:rsidRDefault="00660FC9" w:rsidP="00392FDD">
            <w:pPr>
              <w:spacing w:before="120" w:after="120" w:line="240" w:lineRule="auto"/>
              <w:jc w:val="center"/>
              <w:rPr>
                <w:rFonts w:ascii="Times New Roman" w:hAnsi="Times New Roman"/>
                <w:b/>
                <w:sz w:val="23"/>
                <w:szCs w:val="23"/>
              </w:rPr>
            </w:pPr>
            <w:r w:rsidRPr="00392FDD">
              <w:rPr>
                <w:rFonts w:ascii="Times New Roman" w:hAnsi="Times New Roman"/>
                <w:b/>
                <w:sz w:val="23"/>
                <w:szCs w:val="23"/>
              </w:rPr>
              <w:lastRenderedPageBreak/>
              <w:t>Bảng 2: Kỳ vọng về tốc độ tăng GDP (%)</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567"/>
              <w:gridCol w:w="567"/>
              <w:gridCol w:w="709"/>
            </w:tblGrid>
            <w:tr w:rsidR="00660FC9" w:rsidRPr="00392FDD" w:rsidTr="00CC6CB5">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5279B5" w:rsidRDefault="00660FC9" w:rsidP="007E086F">
                  <w:pPr>
                    <w:spacing w:before="120" w:after="0" w:line="240" w:lineRule="auto"/>
                    <w:jc w:val="center"/>
                    <w:rPr>
                      <w:rFonts w:ascii="Times New Roman" w:hAnsi="Times New Roman"/>
                      <w:b/>
                      <w:color w:val="000000"/>
                      <w:sz w:val="18"/>
                      <w:szCs w:val="18"/>
                    </w:rPr>
                  </w:pPr>
                  <w:r>
                    <w:rPr>
                      <w:rFonts w:ascii="Times New Roman" w:hAnsi="Times New Roman"/>
                      <w:b/>
                      <w:bCs/>
                      <w:color w:val="000000"/>
                      <w:sz w:val="16"/>
                      <w:szCs w:val="16"/>
                    </w:rPr>
                    <w:t xml:space="preserve">Kỳ vọng </w:t>
                  </w:r>
                  <w:r>
                    <w:rPr>
                      <w:rFonts w:ascii="Times New Roman" w:hAnsi="Times New Roman"/>
                      <w:b/>
                      <w:color w:val="000000"/>
                      <w:sz w:val="18"/>
                      <w:szCs w:val="18"/>
                    </w:rPr>
                    <w:t>của</w:t>
                  </w:r>
                  <w:r w:rsidRPr="005279B5">
                    <w:rPr>
                      <w:rFonts w:ascii="Times New Roman" w:hAnsi="Times New Roman"/>
                      <w:b/>
                      <w:color w:val="000000"/>
                      <w:sz w:val="18"/>
                      <w:szCs w:val="18"/>
                    </w:rPr>
                    <w:t xml:space="preserve"> các </w:t>
                  </w:r>
                  <w:r>
                    <w:rPr>
                      <w:rFonts w:ascii="Times New Roman" w:hAnsi="Times New Roman"/>
                      <w:b/>
                      <w:color w:val="000000"/>
                      <w:sz w:val="18"/>
                      <w:szCs w:val="18"/>
                    </w:rPr>
                    <w:t>TCTD</w:t>
                  </w:r>
                  <w:r>
                    <w:rPr>
                      <w:rFonts w:ascii="Times New Roman" w:hAnsi="Times New Roman"/>
                      <w:b/>
                      <w:bCs/>
                      <w:color w:val="000000"/>
                      <w:sz w:val="16"/>
                      <w:szCs w:val="16"/>
                    </w:rPr>
                    <w:t xml:space="preserve"> cho các giai đoạn năm 2013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1430DB" w:rsidRDefault="00660FC9" w:rsidP="007E086F">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1430DB" w:rsidRDefault="00660FC9" w:rsidP="007E086F">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QIII</w:t>
                  </w:r>
                </w:p>
              </w:tc>
              <w:tc>
                <w:tcPr>
                  <w:tcW w:w="709" w:type="dxa"/>
                  <w:tcBorders>
                    <w:top w:val="single" w:sz="4" w:space="0" w:color="auto"/>
                    <w:left w:val="single" w:sz="4" w:space="0" w:color="auto"/>
                    <w:bottom w:val="single" w:sz="4" w:space="0" w:color="auto"/>
                    <w:right w:val="single" w:sz="4" w:space="0" w:color="auto"/>
                  </w:tcBorders>
                  <w:shd w:val="clear" w:color="000000" w:fill="B6DDE8"/>
                  <w:vAlign w:val="center"/>
                </w:tcPr>
                <w:p w:rsidR="00660FC9" w:rsidRPr="001430DB" w:rsidRDefault="00660FC9" w:rsidP="007E086F">
                  <w:pPr>
                    <w:spacing w:before="120" w:after="0" w:line="240" w:lineRule="auto"/>
                    <w:jc w:val="center"/>
                    <w:rPr>
                      <w:rFonts w:ascii="Times New Roman" w:hAnsi="Times New Roman"/>
                      <w:b/>
                      <w:bCs/>
                      <w:color w:val="000000"/>
                      <w:sz w:val="18"/>
                      <w:szCs w:val="18"/>
                    </w:rPr>
                  </w:pPr>
                  <w:r w:rsidRPr="001430DB">
                    <w:rPr>
                      <w:rFonts w:ascii="Times New Roman" w:hAnsi="Times New Roman"/>
                      <w:b/>
                      <w:bCs/>
                      <w:color w:val="000000"/>
                      <w:sz w:val="18"/>
                      <w:szCs w:val="18"/>
                    </w:rPr>
                    <w:t>Cả năm</w:t>
                  </w:r>
                </w:p>
              </w:tc>
            </w:tr>
            <w:tr w:rsidR="00660FC9" w:rsidRPr="00392FDD" w:rsidTr="00CC6CB5">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CC6CB5" w:rsidRDefault="00660FC9" w:rsidP="007E086F">
                  <w:pPr>
                    <w:spacing w:before="120" w:after="0" w:line="240" w:lineRule="auto"/>
                    <w:jc w:val="center"/>
                    <w:rPr>
                      <w:rFonts w:ascii="Times New Roman" w:hAnsi="Times New Roman"/>
                      <w:b/>
                      <w:color w:val="000000"/>
                      <w:sz w:val="16"/>
                      <w:szCs w:val="16"/>
                    </w:rPr>
                  </w:pPr>
                  <w:r w:rsidRPr="00CC6CB5">
                    <w:rPr>
                      <w:rFonts w:ascii="Times New Roman" w:hAnsi="Times New Roman"/>
                      <w:b/>
                      <w:color w:val="000000"/>
                      <w:sz w:val="16"/>
                      <w:szCs w:val="16"/>
                    </w:rPr>
                    <w:t>Tại cuộc điều tra tháng 6/2013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w:t>
                  </w:r>
                  <w:r w:rsidR="00C304F5">
                    <w:rPr>
                      <w:rFonts w:ascii="Times New Roman" w:hAnsi="Times New Roman"/>
                      <w:b/>
                      <w:color w:val="000000"/>
                      <w:sz w:val="16"/>
                      <w:szCs w:val="16"/>
                    </w:rPr>
                    <w:t>,08</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5,23</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5,3</w:t>
                  </w:r>
                </w:p>
              </w:tc>
            </w:tr>
            <w:tr w:rsidR="00660FC9" w:rsidRPr="00392FDD" w:rsidTr="00CC6CB5">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5279B5" w:rsidRDefault="00660FC9" w:rsidP="007E086F">
                  <w:pPr>
                    <w:spacing w:before="120" w:after="0" w:line="240" w:lineRule="auto"/>
                    <w:jc w:val="center"/>
                    <w:rPr>
                      <w:rFonts w:ascii="Times New Roman" w:hAnsi="Times New Roman"/>
                      <w:b/>
                      <w:color w:val="000000"/>
                      <w:sz w:val="18"/>
                      <w:szCs w:val="18"/>
                    </w:rPr>
                  </w:pPr>
                  <w:r>
                    <w:rPr>
                      <w:rFonts w:ascii="Times New Roman" w:hAnsi="Times New Roman"/>
                      <w:b/>
                      <w:color w:val="000000"/>
                      <w:sz w:val="16"/>
                      <w:szCs w:val="16"/>
                    </w:rPr>
                    <w:t>Tại cuộc điều tra tháng 3</w:t>
                  </w:r>
                  <w:r w:rsidRPr="00CC6CB5">
                    <w:rPr>
                      <w:rFonts w:ascii="Times New Roman" w:hAnsi="Times New Roman"/>
                      <w:b/>
                      <w:color w:val="000000"/>
                      <w:sz w:val="16"/>
                      <w:szCs w:val="16"/>
                    </w:rPr>
                    <w:t>/2013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Default="00660FC9" w:rsidP="007E086F">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5,12</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Default="00660FC9" w:rsidP="007E086F">
                  <w:pPr>
                    <w:tabs>
                      <w:tab w:val="left" w:pos="433"/>
                    </w:tabs>
                    <w:spacing w:before="120" w:after="0" w:line="240" w:lineRule="auto"/>
                    <w:jc w:val="center"/>
                    <w:rPr>
                      <w:rFonts w:ascii="Times New Roman" w:hAnsi="Times New Roman"/>
                      <w:b/>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5,71</w:t>
                  </w:r>
                </w:p>
              </w:tc>
            </w:tr>
            <w:tr w:rsidR="00660FC9" w:rsidRPr="00392FDD" w:rsidTr="00061A51">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490E07" w:rsidRDefault="00061A51" w:rsidP="00061A51">
                  <w:pPr>
                    <w:spacing w:before="120" w:after="0" w:line="240" w:lineRule="auto"/>
                    <w:jc w:val="center"/>
                    <w:rPr>
                      <w:rFonts w:ascii="Times New Roman" w:hAnsi="Times New Roman"/>
                      <w:b/>
                      <w:color w:val="000000"/>
                      <w:sz w:val="18"/>
                      <w:szCs w:val="18"/>
                    </w:rPr>
                  </w:pPr>
                  <w:r>
                    <w:rPr>
                      <w:rFonts w:ascii="Times New Roman" w:hAnsi="Times New Roman"/>
                      <w:b/>
                      <w:color w:val="000000"/>
                      <w:sz w:val="18"/>
                      <w:szCs w:val="18"/>
                    </w:rPr>
                    <w:t>Tốc độ tăng</w:t>
                  </w:r>
                  <w:r w:rsidR="00660FC9" w:rsidRPr="00490E07">
                    <w:rPr>
                      <w:rFonts w:ascii="Times New Roman" w:hAnsi="Times New Roman"/>
                      <w:b/>
                      <w:color w:val="000000"/>
                      <w:sz w:val="18"/>
                      <w:szCs w:val="18"/>
                    </w:rPr>
                    <w:t xml:space="preserve"> GDP </w:t>
                  </w:r>
                  <w:r w:rsidR="00660FC9">
                    <w:rPr>
                      <w:rFonts w:ascii="Times New Roman" w:hAnsi="Times New Roman"/>
                      <w:b/>
                      <w:color w:val="000000"/>
                      <w:sz w:val="18"/>
                      <w:szCs w:val="18"/>
                    </w:rPr>
                    <w:t>tại các giai đoạn</w:t>
                  </w:r>
                  <w:r w:rsidR="00660FC9" w:rsidRPr="00490E07">
                    <w:rPr>
                      <w:rFonts w:ascii="Times New Roman" w:hAnsi="Times New Roman"/>
                      <w:b/>
                      <w:color w:val="000000"/>
                      <w:sz w:val="18"/>
                      <w:szCs w:val="18"/>
                    </w:rPr>
                    <w:t xml:space="preserve"> năm 2012</w:t>
                  </w:r>
                  <w:r w:rsidR="00660FC9">
                    <w:rPr>
                      <w:rFonts w:ascii="Times New Roman" w:hAnsi="Times New Roman"/>
                      <w:b/>
                      <w:color w:val="000000"/>
                      <w:sz w:val="18"/>
                      <w:szCs w:val="18"/>
                    </w:rPr>
                    <w:t xml:space="preserve">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820F07" w:rsidP="007E086F">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4,67</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5,42</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60FC9" w:rsidRPr="00381EA3" w:rsidRDefault="00660FC9" w:rsidP="007E086F">
                  <w:pPr>
                    <w:tabs>
                      <w:tab w:val="left" w:pos="433"/>
                    </w:tabs>
                    <w:spacing w:before="120" w:after="0" w:line="240" w:lineRule="auto"/>
                    <w:jc w:val="center"/>
                    <w:rPr>
                      <w:rFonts w:ascii="Times New Roman" w:hAnsi="Times New Roman"/>
                      <w:b/>
                      <w:color w:val="000000"/>
                      <w:sz w:val="16"/>
                      <w:szCs w:val="16"/>
                    </w:rPr>
                  </w:pPr>
                  <w:r w:rsidRPr="00381EA3">
                    <w:rPr>
                      <w:rFonts w:ascii="Times New Roman" w:hAnsi="Times New Roman"/>
                      <w:b/>
                      <w:color w:val="000000"/>
                      <w:sz w:val="16"/>
                      <w:szCs w:val="16"/>
                    </w:rPr>
                    <w:t>5,03</w:t>
                  </w:r>
                </w:p>
              </w:tc>
            </w:tr>
          </w:tbl>
          <w:p w:rsidR="00660FC9" w:rsidRPr="00392FDD" w:rsidRDefault="00660FC9" w:rsidP="008F288E">
            <w:pPr>
              <w:spacing w:before="120" w:after="120" w:line="240" w:lineRule="auto"/>
              <w:ind w:right="-142"/>
              <w:jc w:val="center"/>
              <w:rPr>
                <w:rFonts w:ascii="Times New Roman" w:hAnsi="Times New Roman"/>
                <w:b/>
                <w:noProof/>
                <w:sz w:val="23"/>
                <w:szCs w:val="23"/>
              </w:rPr>
            </w:pPr>
            <w:r w:rsidRPr="00392FDD">
              <w:rPr>
                <w:rFonts w:ascii="Times New Roman" w:hAnsi="Times New Roman"/>
                <w:b/>
                <w:noProof/>
                <w:sz w:val="23"/>
                <w:szCs w:val="23"/>
              </w:rPr>
              <w:t>Biểu đồ 4: Kỳ vọng thay đổi tỷ giá USD/VNĐ trong năm 2013</w:t>
            </w:r>
          </w:p>
          <w:p w:rsidR="00660FC9" w:rsidRPr="00392FDD" w:rsidRDefault="00F82756" w:rsidP="00392FDD">
            <w:pPr>
              <w:spacing w:before="120" w:after="0" w:line="240" w:lineRule="auto"/>
              <w:ind w:right="-142"/>
              <w:rPr>
                <w:rFonts w:ascii="Times New Roman" w:hAnsi="Times New Roman"/>
                <w:b/>
                <w:noProof/>
                <w:sz w:val="24"/>
                <w:szCs w:val="24"/>
              </w:rPr>
            </w:pPr>
            <w:r>
              <w:rPr>
                <w:rFonts w:ascii="Times New Roman" w:hAnsi="Times New Roman"/>
                <w:b/>
                <w:noProof/>
                <w:sz w:val="24"/>
                <w:szCs w:val="24"/>
              </w:rPr>
              <w:drawing>
                <wp:inline distT="0" distB="0" distL="0" distR="0">
                  <wp:extent cx="2765145" cy="2055571"/>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0FC9" w:rsidRPr="00392FDD" w:rsidRDefault="00660FC9" w:rsidP="008F288E">
            <w:pPr>
              <w:spacing w:before="120" w:after="120" w:line="240" w:lineRule="auto"/>
              <w:ind w:right="-142"/>
              <w:jc w:val="center"/>
              <w:rPr>
                <w:rFonts w:ascii="Times New Roman" w:hAnsi="Times New Roman"/>
                <w:b/>
                <w:noProof/>
                <w:sz w:val="23"/>
                <w:szCs w:val="23"/>
              </w:rPr>
            </w:pPr>
            <w:r w:rsidRPr="00392FDD">
              <w:rPr>
                <w:rFonts w:ascii="Times New Roman" w:hAnsi="Times New Roman"/>
                <w:b/>
                <w:noProof/>
                <w:sz w:val="23"/>
                <w:szCs w:val="23"/>
              </w:rPr>
              <w:t>Biểu đồ 5: Kỳ vọng về chính sách tiền tệ</w:t>
            </w:r>
          </w:p>
          <w:p w:rsidR="00660FC9" w:rsidRPr="00392FDD" w:rsidRDefault="00F82756" w:rsidP="00392FDD">
            <w:pPr>
              <w:spacing w:before="120" w:after="0"/>
              <w:ind w:left="-142" w:right="175" w:firstLine="142"/>
              <w:jc w:val="center"/>
              <w:rPr>
                <w:rFonts w:ascii="Times New Roman" w:hAnsi="Times New Roman"/>
                <w:b/>
                <w:sz w:val="25"/>
                <w:szCs w:val="25"/>
              </w:rPr>
            </w:pPr>
            <w:r>
              <w:rPr>
                <w:rFonts w:ascii="Times New Roman" w:hAnsi="Times New Roman"/>
                <w:b/>
                <w:noProof/>
                <w:sz w:val="25"/>
                <w:szCs w:val="25"/>
              </w:rPr>
              <w:drawing>
                <wp:inline distT="0" distB="0" distL="0" distR="0">
                  <wp:extent cx="2655417" cy="2472538"/>
                  <wp:effectExtent l="0" t="0" r="0" b="0"/>
                  <wp:docPr id="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953" w:type="dxa"/>
            <w:gridSpan w:val="2"/>
            <w:tcBorders>
              <w:top w:val="single" w:sz="18" w:space="0" w:color="F79646"/>
              <w:left w:val="nil"/>
              <w:bottom w:val="single" w:sz="18" w:space="0" w:color="F79646"/>
              <w:right w:val="nil"/>
            </w:tcBorders>
            <w:shd w:val="clear" w:color="auto" w:fill="FFFFFF"/>
          </w:tcPr>
          <w:p w:rsidR="00723074" w:rsidRDefault="00723074" w:rsidP="00BE66C7">
            <w:pPr>
              <w:tabs>
                <w:tab w:val="left" w:pos="5738"/>
              </w:tabs>
              <w:spacing w:after="0" w:line="288" w:lineRule="auto"/>
              <w:ind w:left="352" w:right="176" w:firstLine="369"/>
              <w:jc w:val="both"/>
              <w:rPr>
                <w:rFonts w:ascii="Times New Roman" w:hAnsi="Times New Roman"/>
                <w:b/>
                <w:i/>
                <w:sz w:val="24"/>
                <w:szCs w:val="24"/>
              </w:rPr>
            </w:pPr>
          </w:p>
          <w:p w:rsidR="00723074"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xml:space="preserve">* Kỳ vọng lạm phát cả năm có xu hướng giảm mạnh. </w:t>
            </w:r>
            <w:r w:rsidRPr="00392FDD">
              <w:rPr>
                <w:rFonts w:ascii="Times New Roman" w:hAnsi="Times New Roman"/>
                <w:sz w:val="24"/>
                <w:szCs w:val="24"/>
              </w:rPr>
              <w:t>Cụ thể, tốc độ tăng CPI tháng 12/2013 so với cùng kỳ năm trước được các TCTD kỳ vọ</w:t>
            </w:r>
            <w:r w:rsidR="00723074">
              <w:rPr>
                <w:rFonts w:ascii="Times New Roman" w:hAnsi="Times New Roman"/>
                <w:sz w:val="24"/>
                <w:szCs w:val="24"/>
              </w:rPr>
              <w:t xml:space="preserve">ng là </w:t>
            </w:r>
            <w:r w:rsidRPr="00392FDD">
              <w:rPr>
                <w:rFonts w:ascii="Times New Roman" w:hAnsi="Times New Roman"/>
                <w:sz w:val="24"/>
                <w:szCs w:val="24"/>
              </w:rPr>
              <w:t>6,55%, thấp hơn nhiều mức kỳ vọng 7,5% tại thời điểm điều tra tháng 3/2013 đối với chính các tổ chức này</w:t>
            </w:r>
            <w:r w:rsidRPr="00392FDD">
              <w:rPr>
                <w:rFonts w:ascii="Times New Roman" w:hAnsi="Times New Roman"/>
                <w:b/>
                <w:i/>
                <w:sz w:val="24"/>
                <w:szCs w:val="24"/>
              </w:rPr>
              <w:t>.</w:t>
            </w:r>
            <w:r w:rsidRPr="00392FDD">
              <w:rPr>
                <w:rFonts w:ascii="Times New Roman" w:hAnsi="Times New Roman"/>
                <w:b/>
                <w:sz w:val="24"/>
                <w:szCs w:val="24"/>
              </w:rPr>
              <w:t xml:space="preserve"> </w:t>
            </w:r>
            <w:r w:rsidR="00723074" w:rsidRPr="00392FDD">
              <w:rPr>
                <w:rFonts w:ascii="Times New Roman" w:hAnsi="Times New Roman"/>
                <w:sz w:val="24"/>
                <w:szCs w:val="24"/>
              </w:rPr>
              <w:t>Như vậy, lạm phát năm 2013 được các TCTD đánh giá tại thời điểm tháng 6/2013 đang nằm trong mục tiêu do Chính phủ đề ra tại Nghị quyết 01/NĐ-CP (từ 6%-6,5%).</w:t>
            </w:r>
          </w:p>
          <w:p w:rsidR="00660FC9" w:rsidRPr="00392FDD" w:rsidRDefault="00385451" w:rsidP="00C304F5">
            <w:pPr>
              <w:tabs>
                <w:tab w:val="left" w:pos="5738"/>
              </w:tabs>
              <w:spacing w:before="120" w:after="120" w:line="336" w:lineRule="auto"/>
              <w:ind w:left="352" w:right="176" w:firstLine="567"/>
              <w:jc w:val="both"/>
              <w:rPr>
                <w:rFonts w:ascii="Times New Roman" w:hAnsi="Times New Roman"/>
                <w:sz w:val="24"/>
                <w:szCs w:val="24"/>
              </w:rPr>
            </w:pPr>
            <w:r>
              <w:rPr>
                <w:rFonts w:ascii="Times New Roman" w:hAnsi="Times New Roman"/>
                <w:sz w:val="24"/>
                <w:szCs w:val="24"/>
              </w:rPr>
              <w:t>Nếu so với kết quả khảo sát của Reuter tại thời điểm tháng 4/2013 là 7,1% thì m</w:t>
            </w:r>
            <w:r w:rsidR="00660FC9" w:rsidRPr="00392FDD">
              <w:rPr>
                <w:rFonts w:ascii="Times New Roman" w:hAnsi="Times New Roman"/>
                <w:sz w:val="24"/>
                <w:szCs w:val="24"/>
              </w:rPr>
              <w:t xml:space="preserve">ức kỳ vọng lạm phát </w:t>
            </w:r>
            <w:r w:rsidR="00660FC9" w:rsidRPr="00392FDD">
              <w:rPr>
                <w:rFonts w:ascii="Times New Roman" w:hAnsi="Times New Roman"/>
                <w:sz w:val="24"/>
                <w:szCs w:val="24"/>
              </w:rPr>
              <w:lastRenderedPageBreak/>
              <w:t xml:space="preserve">cả năm 6,55% tại cuộc điều tra </w:t>
            </w:r>
            <w:r>
              <w:rPr>
                <w:rFonts w:ascii="Times New Roman" w:hAnsi="Times New Roman"/>
                <w:sz w:val="24"/>
                <w:szCs w:val="24"/>
              </w:rPr>
              <w:t>tháng 6/2013 do Vụ Dự báo, thống kê tiền tệ thực hiện</w:t>
            </w:r>
            <w:r w:rsidR="00660FC9" w:rsidRPr="00392FDD">
              <w:rPr>
                <w:rFonts w:ascii="Times New Roman" w:hAnsi="Times New Roman"/>
                <w:sz w:val="24"/>
                <w:szCs w:val="24"/>
              </w:rPr>
              <w:t xml:space="preserve"> thấp </w:t>
            </w:r>
            <w:r w:rsidR="00660FC9">
              <w:rPr>
                <w:rFonts w:ascii="Times New Roman" w:hAnsi="Times New Roman"/>
                <w:sz w:val="24"/>
                <w:szCs w:val="24"/>
              </w:rPr>
              <w:t xml:space="preserve">hơn </w:t>
            </w:r>
            <w:r>
              <w:rPr>
                <w:rFonts w:ascii="Times New Roman" w:hAnsi="Times New Roman"/>
                <w:sz w:val="24"/>
                <w:szCs w:val="24"/>
              </w:rPr>
              <w:t>đáng kể</w:t>
            </w:r>
            <w:r w:rsidR="00660FC9" w:rsidRPr="00392FDD">
              <w:rPr>
                <w:rFonts w:ascii="Times New Roman" w:hAnsi="Times New Roman"/>
                <w:sz w:val="24"/>
                <w:szCs w:val="24"/>
              </w:rPr>
              <w:t xml:space="preserve">. Tuy </w:t>
            </w:r>
            <w:r>
              <w:rPr>
                <w:rFonts w:ascii="Times New Roman" w:hAnsi="Times New Roman"/>
                <w:sz w:val="24"/>
                <w:szCs w:val="24"/>
              </w:rPr>
              <w:t>nhiên</w:t>
            </w:r>
            <w:r w:rsidR="00660FC9" w:rsidRPr="00392FDD">
              <w:rPr>
                <w:rFonts w:ascii="Times New Roman" w:hAnsi="Times New Roman"/>
                <w:sz w:val="24"/>
                <w:szCs w:val="24"/>
              </w:rPr>
              <w:t xml:space="preserve">, xu hướng kỳ vọng giảm </w:t>
            </w:r>
            <w:r>
              <w:rPr>
                <w:rFonts w:ascii="Times New Roman" w:hAnsi="Times New Roman"/>
                <w:sz w:val="24"/>
                <w:szCs w:val="24"/>
              </w:rPr>
              <w:t>cũng</w:t>
            </w:r>
            <w:r w:rsidR="00660FC9" w:rsidRPr="00392FDD">
              <w:rPr>
                <w:rFonts w:ascii="Times New Roman" w:hAnsi="Times New Roman"/>
                <w:sz w:val="24"/>
                <w:szCs w:val="24"/>
              </w:rPr>
              <w:t xml:space="preserve"> được thể hiện tại cuộc điều tra của Reuters khi lạm phát kỳ vọng tại thời điểm tháng 1/2013 do tổ chức này thực hiện là 7,7%.</w:t>
            </w:r>
          </w:p>
          <w:p w:rsidR="00660FC9"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xml:space="preserve">* Với kỳ vọng lạm phát thấp như vậy, phần </w:t>
            </w:r>
            <w:r>
              <w:rPr>
                <w:rFonts w:ascii="Times New Roman" w:hAnsi="Times New Roman"/>
                <w:b/>
                <w:i/>
                <w:sz w:val="24"/>
                <w:szCs w:val="24"/>
              </w:rPr>
              <w:t>lớn c</w:t>
            </w:r>
            <w:r w:rsidRPr="00392FDD">
              <w:rPr>
                <w:rFonts w:ascii="Times New Roman" w:hAnsi="Times New Roman"/>
                <w:b/>
                <w:i/>
                <w:sz w:val="24"/>
                <w:szCs w:val="24"/>
              </w:rPr>
              <w:t>ác TCTD nhận định lãi suất cho vay ngắn hạn sẽ tiếp tục giảm trong quý III/2013 so với quý II/2013 (biểu đồ</w:t>
            </w:r>
            <w:r w:rsidR="00E9694D">
              <w:rPr>
                <w:rFonts w:ascii="Times New Roman" w:hAnsi="Times New Roman"/>
                <w:b/>
                <w:i/>
                <w:sz w:val="24"/>
                <w:szCs w:val="24"/>
              </w:rPr>
              <w:t xml:space="preserve"> 1</w:t>
            </w:r>
            <w:r w:rsidRPr="00392FDD">
              <w:rPr>
                <w:rFonts w:ascii="Times New Roman" w:hAnsi="Times New Roman"/>
                <w:b/>
                <w:i/>
                <w:sz w:val="24"/>
                <w:szCs w:val="24"/>
              </w:rPr>
              <w:t xml:space="preserve">), </w:t>
            </w:r>
            <w:r w:rsidRPr="00392FDD">
              <w:rPr>
                <w:rFonts w:ascii="Times New Roman" w:hAnsi="Times New Roman"/>
                <w:sz w:val="24"/>
                <w:szCs w:val="24"/>
              </w:rPr>
              <w:t>trong đó 33% kỳ vọng giảm dưới 1% và 38% kỳ vọng giảm từ 1% đến 2% và 4% kỳ vọng giảm từ 2% đến dướ</w:t>
            </w:r>
            <w:r w:rsidR="00171C3C">
              <w:rPr>
                <w:rFonts w:ascii="Times New Roman" w:hAnsi="Times New Roman"/>
                <w:sz w:val="24"/>
                <w:szCs w:val="24"/>
              </w:rPr>
              <w:t>i 3%</w:t>
            </w:r>
            <w:r w:rsidRPr="00392FDD">
              <w:rPr>
                <w:rFonts w:ascii="Times New Roman" w:hAnsi="Times New Roman"/>
                <w:sz w:val="24"/>
                <w:szCs w:val="24"/>
              </w:rPr>
              <w:t xml:space="preserve">. </w:t>
            </w:r>
            <w:r>
              <w:rPr>
                <w:rFonts w:ascii="Times New Roman" w:hAnsi="Times New Roman"/>
                <w:b/>
                <w:i/>
                <w:sz w:val="24"/>
                <w:szCs w:val="24"/>
              </w:rPr>
              <w:t>Bên cạnh đó</w:t>
            </w:r>
            <w:r w:rsidRPr="00392FDD">
              <w:rPr>
                <w:rFonts w:ascii="Times New Roman" w:hAnsi="Times New Roman"/>
                <w:b/>
                <w:i/>
                <w:sz w:val="24"/>
                <w:szCs w:val="24"/>
              </w:rPr>
              <w:t xml:space="preserve">, lãi suất được kỳ vọng sẽ giảm mạnh hơn so với kết quả tại cuộc điều tra tháng 3/2013. </w:t>
            </w:r>
            <w:r w:rsidRPr="00392FDD">
              <w:rPr>
                <w:rFonts w:ascii="Times New Roman" w:hAnsi="Times New Roman"/>
                <w:sz w:val="24"/>
                <w:szCs w:val="24"/>
              </w:rPr>
              <w:t>Cụ thể, đối với lãi suất cho vay ngắn hạn bình quân năm 2013, cuộc điều tra lần này có 37% kỳ vọng giảm dưới 2%, 33% kỳ vọng giảm từ 2% đến dưới 3% và 23% kỳ vọng giảm từ 3% đến dưới 4% trong khi tại cuộc điều tra trước có tới 61% kỳ vọng giảm dưới 2%, 27% kỳ vọng giảm từ 2% đến dưới 3% và 1% kỳ vọng lãi suất giảm trên 3%. Như vậy một phần đáng kể các TCTD thay đổi kỳ vọng lãi suất thị trường giảm từ mức độ thấp hơn (giảm dưới 3%) sang mức độ cao hơn (giảm từ 3% đến dưới 4%).</w:t>
            </w:r>
          </w:p>
          <w:p w:rsidR="00660FC9"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Điều chỉnh giá các mặt hàng do Nhà nước quản lý tiếp tục được nhìn nh</w:t>
            </w:r>
            <w:r>
              <w:rPr>
                <w:rFonts w:ascii="Times New Roman" w:hAnsi="Times New Roman"/>
                <w:b/>
                <w:i/>
                <w:sz w:val="24"/>
                <w:szCs w:val="24"/>
              </w:rPr>
              <w:t>ận là nhân tố</w:t>
            </w:r>
            <w:r w:rsidRPr="00392FDD">
              <w:rPr>
                <w:rFonts w:ascii="Times New Roman" w:hAnsi="Times New Roman"/>
                <w:b/>
                <w:i/>
                <w:sz w:val="24"/>
                <w:szCs w:val="24"/>
              </w:rPr>
              <w:t xml:space="preserve"> tác động mạnh nhất đến diễn biến CPI trong Quý III và trong cả năm 2013 (biểu đồ</w:t>
            </w:r>
            <w:r w:rsidR="00E9694D">
              <w:rPr>
                <w:rFonts w:ascii="Times New Roman" w:hAnsi="Times New Roman"/>
                <w:b/>
                <w:i/>
                <w:sz w:val="24"/>
                <w:szCs w:val="24"/>
              </w:rPr>
              <w:t xml:space="preserve"> 3</w:t>
            </w:r>
            <w:r w:rsidRPr="00392FDD">
              <w:rPr>
                <w:rFonts w:ascii="Times New Roman" w:hAnsi="Times New Roman"/>
                <w:b/>
                <w:i/>
                <w:sz w:val="24"/>
                <w:szCs w:val="24"/>
              </w:rPr>
              <w:t>)</w:t>
            </w:r>
            <w:r w:rsidRPr="00392FDD">
              <w:rPr>
                <w:rFonts w:ascii="Times New Roman" w:hAnsi="Times New Roman"/>
                <w:b/>
                <w:sz w:val="24"/>
                <w:szCs w:val="24"/>
              </w:rPr>
              <w:t>.</w:t>
            </w:r>
            <w:r w:rsidRPr="00392FDD">
              <w:rPr>
                <w:rFonts w:ascii="Times New Roman" w:hAnsi="Times New Roman"/>
                <w:sz w:val="24"/>
                <w:szCs w:val="24"/>
              </w:rPr>
              <w:t xml:space="preserve"> Kết quả này không có nhiều thay đổi như kết quả tại cuộc điều tra được tiến hành vào tháng 3/2013, theo đó, các TCTD đều kỳ vọng việc điều chỉnh các mặt hàng do Nhà nước quản lý tiếp tục là nhân tố ảnh hưởng mạnh đến diễn biến CPI trong năm quý III/2013 (41,43%) và cả năm 2013 (34,72%), tiếp đó mới đến việc thay đổi chính sách tiền tệ của NHNN, lần lượt là 25,71% và 26,39% các tổ chức đánh giá cho quý III/2013 và cả năm 2013.</w:t>
            </w:r>
          </w:p>
          <w:p w:rsidR="00C304F5" w:rsidRDefault="00660FC9" w:rsidP="00C304F5">
            <w:pPr>
              <w:tabs>
                <w:tab w:val="left" w:pos="5738"/>
              </w:tabs>
              <w:spacing w:before="120" w:after="120" w:line="336" w:lineRule="auto"/>
              <w:ind w:left="352" w:right="176" w:firstLine="369"/>
              <w:jc w:val="both"/>
              <w:rPr>
                <w:rFonts w:ascii="Times New Roman" w:eastAsia="Times New Roman" w:hAnsi="Times New Roman"/>
                <w:b/>
                <w:i/>
                <w:sz w:val="24"/>
              </w:rPr>
            </w:pPr>
            <w:r w:rsidRPr="00392FDD">
              <w:rPr>
                <w:rFonts w:ascii="Times New Roman" w:hAnsi="Times New Roman"/>
                <w:sz w:val="24"/>
                <w:szCs w:val="24"/>
              </w:rPr>
              <w:t xml:space="preserve">* </w:t>
            </w:r>
            <w:r w:rsidR="00C304F5">
              <w:rPr>
                <w:rFonts w:ascii="Times New Roman" w:eastAsia="Times New Roman" w:hAnsi="Times New Roman"/>
                <w:b/>
                <w:i/>
                <w:sz w:val="24"/>
              </w:rPr>
              <w:t xml:space="preserve">Nền kinh tế được nhìn nhận thoát đáy trong </w:t>
            </w:r>
            <w:r w:rsidR="00C304F5">
              <w:rPr>
                <w:rFonts w:ascii="Times New Roman" w:eastAsia="Times New Roman" w:hAnsi="Times New Roman"/>
                <w:b/>
                <w:i/>
                <w:sz w:val="24"/>
              </w:rPr>
              <w:lastRenderedPageBreak/>
              <w:t xml:space="preserve">năm 2013 </w:t>
            </w:r>
            <w:r w:rsidR="00C304F5">
              <w:rPr>
                <w:rFonts w:ascii="Times New Roman" w:eastAsia="Times New Roman" w:hAnsi="Times New Roman"/>
                <w:sz w:val="24"/>
              </w:rPr>
              <w:t>với kỳ vọng tăng trưởng quý II và cả năm 2013 lần lượt là 5,08% và 5,3%, cao hơn mức 4,67% và 5,03% của quý II và cả năm 2012. Tuy nhiên, nếu so với kết quả của cuộc điều tra tháng 3/2013 thì vọng tăng trưởng kinh tế của các TCTD tại thời điểm tháng 6/2013 đã giảm xuống (xem bảng 2). Điều này cho thấy các TCTD đã có những đánh giá thận trọng hơn về khả năng tăng trưởng của nền kinh tế Việt Nam.</w:t>
            </w:r>
          </w:p>
          <w:p w:rsidR="00660FC9" w:rsidRPr="00392FDD" w:rsidRDefault="00660FC9" w:rsidP="00C304F5">
            <w:pPr>
              <w:tabs>
                <w:tab w:val="left" w:pos="5738"/>
              </w:tabs>
              <w:spacing w:before="120" w:after="120" w:line="336" w:lineRule="auto"/>
              <w:ind w:left="352" w:right="176" w:firstLine="369"/>
              <w:jc w:val="both"/>
              <w:rPr>
                <w:rFonts w:ascii="Times New Roman" w:hAnsi="Times New Roman"/>
                <w:sz w:val="24"/>
                <w:szCs w:val="24"/>
              </w:rPr>
            </w:pPr>
            <w:r w:rsidRPr="00392FDD">
              <w:rPr>
                <w:rFonts w:ascii="Times New Roman" w:hAnsi="Times New Roman"/>
                <w:b/>
                <w:i/>
                <w:sz w:val="24"/>
                <w:szCs w:val="24"/>
              </w:rPr>
              <w:t xml:space="preserve">Tính chung cả năm 2013, các TCTD kỳ vọng tỷ giá bình quân liên ngân hàng chỉ tăng dưới 3%, </w:t>
            </w:r>
            <w:r w:rsidRPr="00392FDD">
              <w:rPr>
                <w:rFonts w:ascii="Times New Roman" w:hAnsi="Times New Roman"/>
                <w:sz w:val="24"/>
                <w:szCs w:val="24"/>
              </w:rPr>
              <w:t>kết quả trên tương tự như kết quả thu được từ cuộc điều tra tháng 3/2013</w:t>
            </w:r>
            <w:r w:rsidRPr="00392FDD">
              <w:rPr>
                <w:rFonts w:ascii="Times New Roman" w:hAnsi="Times New Roman"/>
                <w:b/>
                <w:i/>
                <w:sz w:val="24"/>
                <w:szCs w:val="24"/>
              </w:rPr>
              <w:t xml:space="preserve">. </w:t>
            </w:r>
            <w:r w:rsidRPr="00392FDD">
              <w:rPr>
                <w:rFonts w:ascii="Times New Roman" w:hAnsi="Times New Roman"/>
                <w:sz w:val="24"/>
                <w:szCs w:val="24"/>
              </w:rPr>
              <w:t>Điều này cho thấy những nỗ lực điều hành chính sách tỷ giá của NHNN trong thời gian qua đã tạo niềm tin cho hệ thống các TCTD.</w:t>
            </w:r>
          </w:p>
          <w:p w:rsidR="00660FC9" w:rsidRPr="00392FDD" w:rsidRDefault="00171C3C" w:rsidP="00171C3C">
            <w:pPr>
              <w:tabs>
                <w:tab w:val="left" w:pos="5738"/>
              </w:tabs>
              <w:spacing w:before="120" w:after="120" w:line="336" w:lineRule="auto"/>
              <w:ind w:left="352" w:right="176" w:firstLine="369"/>
              <w:jc w:val="both"/>
              <w:rPr>
                <w:rFonts w:ascii="Times New Roman" w:hAnsi="Times New Roman"/>
                <w:sz w:val="24"/>
                <w:szCs w:val="24"/>
              </w:rPr>
            </w:pPr>
            <w:r>
              <w:rPr>
                <w:rFonts w:ascii="Times New Roman" w:hAnsi="Times New Roman"/>
                <w:b/>
                <w:i/>
                <w:sz w:val="24"/>
                <w:szCs w:val="24"/>
              </w:rPr>
              <w:t>* Các TCTD</w:t>
            </w:r>
            <w:r w:rsidR="00660FC9" w:rsidRPr="00392FDD">
              <w:rPr>
                <w:rFonts w:ascii="Times New Roman" w:hAnsi="Times New Roman"/>
                <w:b/>
                <w:i/>
                <w:sz w:val="24"/>
                <w:szCs w:val="24"/>
              </w:rPr>
              <w:t xml:space="preserve"> kỳ vọng chính sách tiền tệ sẽ nới lỏng dần từ nay đến </w:t>
            </w:r>
            <w:r w:rsidR="00660FC9">
              <w:rPr>
                <w:rFonts w:ascii="Times New Roman" w:hAnsi="Times New Roman"/>
                <w:b/>
                <w:i/>
                <w:sz w:val="24"/>
                <w:szCs w:val="24"/>
              </w:rPr>
              <w:t xml:space="preserve">cuối năm, </w:t>
            </w:r>
            <w:r w:rsidR="00660FC9" w:rsidRPr="00392FDD">
              <w:rPr>
                <w:rFonts w:ascii="Times New Roman" w:hAnsi="Times New Roman"/>
                <w:b/>
                <w:i/>
                <w:sz w:val="24"/>
                <w:szCs w:val="24"/>
              </w:rPr>
              <w:t xml:space="preserve">phù hợp với kỳ vọng lãi suất sẽ tiếp tục giảm và tỷ giá sẽ điều chỉnh trong nửa cuối năm. </w:t>
            </w:r>
            <w:r w:rsidR="00660FC9" w:rsidRPr="00392FDD">
              <w:rPr>
                <w:rFonts w:ascii="Times New Roman" w:hAnsi="Times New Roman"/>
                <w:sz w:val="24"/>
                <w:szCs w:val="24"/>
              </w:rPr>
              <w:t>Điều này thể hiện qua số lượng các tổ chức kỳ vọng chính sách tiền tệ</w:t>
            </w:r>
            <w:r w:rsidR="00A24BE1">
              <w:rPr>
                <w:rFonts w:ascii="Times New Roman" w:hAnsi="Times New Roman"/>
                <w:sz w:val="24"/>
                <w:szCs w:val="24"/>
              </w:rPr>
              <w:t xml:space="preserve">  </w:t>
            </w:r>
            <w:r w:rsidR="00660FC9" w:rsidRPr="00392FDD">
              <w:rPr>
                <w:rFonts w:ascii="Times New Roman" w:hAnsi="Times New Roman"/>
                <w:sz w:val="24"/>
                <w:szCs w:val="24"/>
              </w:rPr>
              <w:t xml:space="preserve"> “chặt” và “rất chặt” giảm dần từ 30,14% và 15,07% cho thời điểm hiện tại xuống </w:t>
            </w:r>
            <w:r w:rsidR="00660FC9">
              <w:rPr>
                <w:rFonts w:ascii="Times New Roman" w:hAnsi="Times New Roman"/>
                <w:sz w:val="24"/>
                <w:szCs w:val="24"/>
              </w:rPr>
              <w:t>12</w:t>
            </w:r>
            <w:r w:rsidR="00660FC9" w:rsidRPr="00392FDD">
              <w:rPr>
                <w:rFonts w:ascii="Times New Roman" w:hAnsi="Times New Roman"/>
                <w:sz w:val="24"/>
                <w:szCs w:val="24"/>
              </w:rPr>
              <w:t xml:space="preserve">% và 6,85% cho </w:t>
            </w:r>
            <w:r w:rsidR="00660FC9">
              <w:rPr>
                <w:rFonts w:ascii="Times New Roman" w:hAnsi="Times New Roman"/>
                <w:sz w:val="24"/>
                <w:szCs w:val="24"/>
              </w:rPr>
              <w:t xml:space="preserve">cuối năm </w:t>
            </w:r>
            <w:r w:rsidR="00660FC9" w:rsidRPr="00392FDD">
              <w:rPr>
                <w:rFonts w:ascii="Times New Roman" w:hAnsi="Times New Roman"/>
                <w:sz w:val="24"/>
                <w:szCs w:val="24"/>
              </w:rPr>
              <w:t xml:space="preserve">trong khi tỷ lệ TCTD kỳ vọng chính sách tiền tệ “nới lỏng” tăng từ 10,96% cho thời điểm hiện tại lên 36,99% cho </w:t>
            </w:r>
            <w:r w:rsidR="00660FC9">
              <w:rPr>
                <w:rFonts w:ascii="Times New Roman" w:hAnsi="Times New Roman"/>
                <w:sz w:val="24"/>
                <w:szCs w:val="24"/>
              </w:rPr>
              <w:t>cuối năm</w:t>
            </w:r>
            <w:r w:rsidR="00660FC9" w:rsidRPr="00392FDD">
              <w:rPr>
                <w:rFonts w:ascii="Times New Roman" w:hAnsi="Times New Roman"/>
                <w:sz w:val="24"/>
                <w:szCs w:val="24"/>
              </w:rPr>
              <w:t xml:space="preserve">. </w:t>
            </w:r>
            <w:r w:rsidR="00660FC9">
              <w:rPr>
                <w:rFonts w:ascii="Times New Roman" w:hAnsi="Times New Roman"/>
                <w:sz w:val="24"/>
                <w:szCs w:val="24"/>
              </w:rPr>
              <w:t>Đ</w:t>
            </w:r>
            <w:r w:rsidR="00660FC9" w:rsidRPr="00392FDD">
              <w:rPr>
                <w:rFonts w:ascii="Times New Roman" w:hAnsi="Times New Roman"/>
                <w:sz w:val="24"/>
                <w:szCs w:val="24"/>
              </w:rPr>
              <w:t xml:space="preserve">ánh giá chung </w:t>
            </w:r>
            <w:r w:rsidR="00660FC9">
              <w:rPr>
                <w:rFonts w:ascii="Times New Roman" w:hAnsi="Times New Roman"/>
                <w:sz w:val="24"/>
                <w:szCs w:val="24"/>
              </w:rPr>
              <w:t xml:space="preserve">về </w:t>
            </w:r>
            <w:r w:rsidR="00660FC9" w:rsidRPr="00392FDD">
              <w:rPr>
                <w:rFonts w:ascii="Times New Roman" w:hAnsi="Times New Roman"/>
                <w:sz w:val="24"/>
                <w:szCs w:val="24"/>
              </w:rPr>
              <w:t>chính sách tiền tệ</w:t>
            </w:r>
            <w:r w:rsidR="00660FC9">
              <w:rPr>
                <w:rFonts w:ascii="Times New Roman" w:hAnsi="Times New Roman"/>
                <w:sz w:val="24"/>
                <w:szCs w:val="24"/>
              </w:rPr>
              <w:t>,</w:t>
            </w:r>
            <w:r w:rsidR="00660FC9" w:rsidRPr="00392FDD">
              <w:rPr>
                <w:rFonts w:ascii="Times New Roman" w:hAnsi="Times New Roman"/>
                <w:sz w:val="24"/>
                <w:szCs w:val="24"/>
              </w:rPr>
              <w:t xml:space="preserve"> phần </w:t>
            </w:r>
            <w:r w:rsidR="00660FC9">
              <w:rPr>
                <w:rFonts w:ascii="Times New Roman" w:hAnsi="Times New Roman"/>
                <w:sz w:val="24"/>
                <w:szCs w:val="24"/>
              </w:rPr>
              <w:t xml:space="preserve">lớn </w:t>
            </w:r>
            <w:r w:rsidR="00660FC9" w:rsidRPr="00392FDD">
              <w:rPr>
                <w:rFonts w:ascii="Times New Roman" w:hAnsi="Times New Roman"/>
                <w:sz w:val="24"/>
                <w:szCs w:val="24"/>
              </w:rPr>
              <w:t xml:space="preserve">TCTD </w:t>
            </w:r>
            <w:r w:rsidR="00660FC9">
              <w:rPr>
                <w:rFonts w:ascii="Times New Roman" w:hAnsi="Times New Roman"/>
                <w:sz w:val="24"/>
                <w:szCs w:val="24"/>
              </w:rPr>
              <w:t xml:space="preserve">nhận định điều hành </w:t>
            </w:r>
            <w:r w:rsidR="00660FC9" w:rsidRPr="00392FDD">
              <w:rPr>
                <w:rFonts w:ascii="Times New Roman" w:hAnsi="Times New Roman"/>
                <w:sz w:val="24"/>
                <w:szCs w:val="24"/>
              </w:rPr>
              <w:t xml:space="preserve">chính sách </w:t>
            </w:r>
            <w:r w:rsidR="00660FC9">
              <w:rPr>
                <w:rFonts w:ascii="Times New Roman" w:hAnsi="Times New Roman"/>
                <w:sz w:val="24"/>
                <w:szCs w:val="24"/>
              </w:rPr>
              <w:t xml:space="preserve">hiện nay </w:t>
            </w:r>
            <w:r w:rsidR="00660FC9" w:rsidRPr="00392FDD">
              <w:rPr>
                <w:rFonts w:ascii="Times New Roman" w:hAnsi="Times New Roman"/>
                <w:sz w:val="24"/>
                <w:szCs w:val="24"/>
              </w:rPr>
              <w:t>tương đối cân bằ</w:t>
            </w:r>
            <w:r>
              <w:rPr>
                <w:rFonts w:ascii="Times New Roman" w:hAnsi="Times New Roman"/>
                <w:sz w:val="24"/>
                <w:szCs w:val="24"/>
              </w:rPr>
              <w:t xml:space="preserve">ng, tức là </w:t>
            </w:r>
            <w:r w:rsidR="00660FC9" w:rsidRPr="00392FDD">
              <w:rPr>
                <w:rFonts w:ascii="Times New Roman" w:hAnsi="Times New Roman"/>
                <w:sz w:val="24"/>
                <w:szCs w:val="24"/>
              </w:rPr>
              <w:t>ở mức “</w:t>
            </w:r>
            <w:r w:rsidR="00660FC9">
              <w:rPr>
                <w:rFonts w:ascii="Times New Roman" w:hAnsi="Times New Roman"/>
                <w:sz w:val="24"/>
                <w:szCs w:val="24"/>
              </w:rPr>
              <w:t>vừa phải</w:t>
            </w:r>
            <w:r w:rsidR="00660FC9" w:rsidRPr="00392FDD">
              <w:rPr>
                <w:rFonts w:ascii="Times New Roman" w:hAnsi="Times New Roman"/>
                <w:sz w:val="24"/>
                <w:szCs w:val="24"/>
              </w:rPr>
              <w:t xml:space="preserve">” (không </w:t>
            </w:r>
            <w:r w:rsidR="00660FC9">
              <w:rPr>
                <w:rFonts w:ascii="Times New Roman" w:hAnsi="Times New Roman"/>
                <w:sz w:val="24"/>
                <w:szCs w:val="24"/>
              </w:rPr>
              <w:t xml:space="preserve">quá </w:t>
            </w:r>
            <w:r w:rsidR="00660FC9" w:rsidRPr="00392FDD">
              <w:rPr>
                <w:rFonts w:ascii="Times New Roman" w:hAnsi="Times New Roman"/>
                <w:sz w:val="24"/>
                <w:szCs w:val="24"/>
              </w:rPr>
              <w:t xml:space="preserve">thắt chặt và cũng không </w:t>
            </w:r>
            <w:r w:rsidR="00660FC9">
              <w:rPr>
                <w:rFonts w:ascii="Times New Roman" w:hAnsi="Times New Roman"/>
                <w:sz w:val="24"/>
                <w:szCs w:val="24"/>
              </w:rPr>
              <w:t xml:space="preserve">quá </w:t>
            </w:r>
            <w:r w:rsidR="00660FC9" w:rsidRPr="00392FDD">
              <w:rPr>
                <w:rFonts w:ascii="Times New Roman" w:hAnsi="Times New Roman"/>
                <w:sz w:val="24"/>
                <w:szCs w:val="24"/>
              </w:rPr>
              <w:t>nới lỏng).</w:t>
            </w:r>
          </w:p>
        </w:tc>
      </w:tr>
    </w:tbl>
    <w:p w:rsidR="00660FC9" w:rsidRDefault="00660FC9"/>
    <w:sectPr w:rsidR="00660FC9" w:rsidSect="006C63C0">
      <w:footerReference w:type="default" r:id="rId13"/>
      <w:pgSz w:w="11907" w:h="16840" w:code="9"/>
      <w:pgMar w:top="720" w:right="1138" w:bottom="720" w:left="113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6D7" w:rsidRDefault="00DB06D7" w:rsidP="00764ED7">
      <w:pPr>
        <w:spacing w:after="0" w:line="240" w:lineRule="auto"/>
      </w:pPr>
      <w:r>
        <w:separator/>
      </w:r>
    </w:p>
  </w:endnote>
  <w:endnote w:type="continuationSeparator" w:id="1">
    <w:p w:rsidR="00DB06D7" w:rsidRDefault="00DB06D7" w:rsidP="00764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C9" w:rsidRDefault="00FB5F6A">
    <w:pPr>
      <w:pStyle w:val="Footer"/>
      <w:jc w:val="center"/>
    </w:pPr>
    <w:r w:rsidRPr="00BC7AF2">
      <w:rPr>
        <w:rFonts w:ascii="Times New Roman" w:hAnsi="Times New Roman"/>
      </w:rPr>
      <w:fldChar w:fldCharType="begin"/>
    </w:r>
    <w:r w:rsidR="00660FC9" w:rsidRPr="00BC7AF2">
      <w:rPr>
        <w:rFonts w:ascii="Times New Roman" w:hAnsi="Times New Roman"/>
      </w:rPr>
      <w:instrText xml:space="preserve"> PAGE   \* MERGEFORMAT </w:instrText>
    </w:r>
    <w:r w:rsidRPr="00BC7AF2">
      <w:rPr>
        <w:rFonts w:ascii="Times New Roman" w:hAnsi="Times New Roman"/>
      </w:rPr>
      <w:fldChar w:fldCharType="separate"/>
    </w:r>
    <w:r w:rsidR="00171C3C">
      <w:rPr>
        <w:rFonts w:ascii="Times New Roman" w:hAnsi="Times New Roman"/>
        <w:noProof/>
      </w:rPr>
      <w:t>3</w:t>
    </w:r>
    <w:r w:rsidRPr="00BC7AF2">
      <w:rPr>
        <w:rFonts w:ascii="Times New Roman" w:hAnsi="Times New Roman"/>
      </w:rPr>
      <w:fldChar w:fldCharType="end"/>
    </w:r>
  </w:p>
  <w:p w:rsidR="00660FC9" w:rsidRDefault="00660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6D7" w:rsidRDefault="00DB06D7" w:rsidP="00764ED7">
      <w:pPr>
        <w:spacing w:after="0" w:line="240" w:lineRule="auto"/>
      </w:pPr>
      <w:r>
        <w:separator/>
      </w:r>
    </w:p>
  </w:footnote>
  <w:footnote w:type="continuationSeparator" w:id="1">
    <w:p w:rsidR="00DB06D7" w:rsidRDefault="00DB06D7" w:rsidP="00764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BCB"/>
    <w:multiLevelType w:val="hybridMultilevel"/>
    <w:tmpl w:val="A24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056E4"/>
    <w:multiLevelType w:val="hybridMultilevel"/>
    <w:tmpl w:val="810E538A"/>
    <w:lvl w:ilvl="0" w:tplc="042A0001">
      <w:start w:val="1"/>
      <w:numFmt w:val="bullet"/>
      <w:lvlText w:val=""/>
      <w:lvlJc w:val="left"/>
      <w:pPr>
        <w:ind w:left="1077" w:hanging="360"/>
      </w:pPr>
      <w:rPr>
        <w:rFonts w:ascii="Symbol" w:hAnsi="Symbol"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2">
    <w:nsid w:val="57076161"/>
    <w:multiLevelType w:val="multilevel"/>
    <w:tmpl w:val="24A08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E72416"/>
    <w:multiLevelType w:val="hybridMultilevel"/>
    <w:tmpl w:val="54780DA6"/>
    <w:lvl w:ilvl="0" w:tplc="042A0001">
      <w:start w:val="1"/>
      <w:numFmt w:val="bullet"/>
      <w:lvlText w:val=""/>
      <w:lvlJc w:val="left"/>
      <w:pPr>
        <w:ind w:left="1077" w:hanging="360"/>
      </w:pPr>
      <w:rPr>
        <w:rFonts w:ascii="Symbol" w:hAnsi="Symbol"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4">
    <w:nsid w:val="6AED645E"/>
    <w:multiLevelType w:val="hybridMultilevel"/>
    <w:tmpl w:val="7BB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66346"/>
    <w:multiLevelType w:val="hybridMultilevel"/>
    <w:tmpl w:val="B4F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B3AF4"/>
    <w:rsid w:val="00020394"/>
    <w:rsid w:val="0002521D"/>
    <w:rsid w:val="00041A81"/>
    <w:rsid w:val="00051E20"/>
    <w:rsid w:val="00053662"/>
    <w:rsid w:val="00054004"/>
    <w:rsid w:val="000566CF"/>
    <w:rsid w:val="00061A51"/>
    <w:rsid w:val="00072B01"/>
    <w:rsid w:val="000758B1"/>
    <w:rsid w:val="00075E34"/>
    <w:rsid w:val="000A3AC5"/>
    <w:rsid w:val="000A4695"/>
    <w:rsid w:val="000D25A6"/>
    <w:rsid w:val="000F418D"/>
    <w:rsid w:val="000F5BE4"/>
    <w:rsid w:val="0010564F"/>
    <w:rsid w:val="0010743B"/>
    <w:rsid w:val="00132998"/>
    <w:rsid w:val="001365E8"/>
    <w:rsid w:val="001430DB"/>
    <w:rsid w:val="001623AC"/>
    <w:rsid w:val="00171C3C"/>
    <w:rsid w:val="00197A83"/>
    <w:rsid w:val="001B7233"/>
    <w:rsid w:val="001C7AFE"/>
    <w:rsid w:val="00210CB2"/>
    <w:rsid w:val="00211AFC"/>
    <w:rsid w:val="00222F74"/>
    <w:rsid w:val="00235CEF"/>
    <w:rsid w:val="00270966"/>
    <w:rsid w:val="002A4DCC"/>
    <w:rsid w:val="002B34FA"/>
    <w:rsid w:val="002F0042"/>
    <w:rsid w:val="002F3669"/>
    <w:rsid w:val="00320868"/>
    <w:rsid w:val="003479BD"/>
    <w:rsid w:val="00381EA3"/>
    <w:rsid w:val="00385451"/>
    <w:rsid w:val="00392FDD"/>
    <w:rsid w:val="00395D7B"/>
    <w:rsid w:val="00397116"/>
    <w:rsid w:val="0039778E"/>
    <w:rsid w:val="003B1570"/>
    <w:rsid w:val="003C15A9"/>
    <w:rsid w:val="003F3C50"/>
    <w:rsid w:val="0040435E"/>
    <w:rsid w:val="00413FC0"/>
    <w:rsid w:val="00415C85"/>
    <w:rsid w:val="00424BAC"/>
    <w:rsid w:val="00457F47"/>
    <w:rsid w:val="00490E07"/>
    <w:rsid w:val="00494FB7"/>
    <w:rsid w:val="00496741"/>
    <w:rsid w:val="004A549C"/>
    <w:rsid w:val="004A67DE"/>
    <w:rsid w:val="004B3AF4"/>
    <w:rsid w:val="004B432E"/>
    <w:rsid w:val="004B6409"/>
    <w:rsid w:val="004C1441"/>
    <w:rsid w:val="004D53DE"/>
    <w:rsid w:val="005279B5"/>
    <w:rsid w:val="005420B3"/>
    <w:rsid w:val="0054615A"/>
    <w:rsid w:val="005523A4"/>
    <w:rsid w:val="005771AA"/>
    <w:rsid w:val="005A3CBF"/>
    <w:rsid w:val="005B5EFF"/>
    <w:rsid w:val="005D6C42"/>
    <w:rsid w:val="005E2BA4"/>
    <w:rsid w:val="005E69FD"/>
    <w:rsid w:val="005F0B91"/>
    <w:rsid w:val="00601ACF"/>
    <w:rsid w:val="00605515"/>
    <w:rsid w:val="00615227"/>
    <w:rsid w:val="006310B0"/>
    <w:rsid w:val="00634DD1"/>
    <w:rsid w:val="00643D7F"/>
    <w:rsid w:val="00660FC9"/>
    <w:rsid w:val="0069091C"/>
    <w:rsid w:val="006B55E8"/>
    <w:rsid w:val="006C63C0"/>
    <w:rsid w:val="006D444F"/>
    <w:rsid w:val="006E27CC"/>
    <w:rsid w:val="006E2AA0"/>
    <w:rsid w:val="006E4769"/>
    <w:rsid w:val="006E55AF"/>
    <w:rsid w:val="00721058"/>
    <w:rsid w:val="00723074"/>
    <w:rsid w:val="00764ED7"/>
    <w:rsid w:val="00767A17"/>
    <w:rsid w:val="00772247"/>
    <w:rsid w:val="0078224D"/>
    <w:rsid w:val="007900E5"/>
    <w:rsid w:val="00793796"/>
    <w:rsid w:val="007A715C"/>
    <w:rsid w:val="007E086F"/>
    <w:rsid w:val="007E417C"/>
    <w:rsid w:val="00813FCC"/>
    <w:rsid w:val="00820F07"/>
    <w:rsid w:val="0083071E"/>
    <w:rsid w:val="00856929"/>
    <w:rsid w:val="00860B1C"/>
    <w:rsid w:val="00885E92"/>
    <w:rsid w:val="008A3A2C"/>
    <w:rsid w:val="008A6E23"/>
    <w:rsid w:val="008A77FD"/>
    <w:rsid w:val="008E2D36"/>
    <w:rsid w:val="008F288E"/>
    <w:rsid w:val="009010AE"/>
    <w:rsid w:val="00904391"/>
    <w:rsid w:val="00911F41"/>
    <w:rsid w:val="00921907"/>
    <w:rsid w:val="00923953"/>
    <w:rsid w:val="009252EF"/>
    <w:rsid w:val="00925783"/>
    <w:rsid w:val="00985315"/>
    <w:rsid w:val="00996A37"/>
    <w:rsid w:val="009C60DF"/>
    <w:rsid w:val="009C6E23"/>
    <w:rsid w:val="009D514E"/>
    <w:rsid w:val="009E3EC7"/>
    <w:rsid w:val="009E59CD"/>
    <w:rsid w:val="009E6104"/>
    <w:rsid w:val="009F7723"/>
    <w:rsid w:val="00A0023A"/>
    <w:rsid w:val="00A15422"/>
    <w:rsid w:val="00A15B8B"/>
    <w:rsid w:val="00A24BE1"/>
    <w:rsid w:val="00A40CE0"/>
    <w:rsid w:val="00A705EA"/>
    <w:rsid w:val="00A81633"/>
    <w:rsid w:val="00A827B5"/>
    <w:rsid w:val="00A9352E"/>
    <w:rsid w:val="00AA2A16"/>
    <w:rsid w:val="00AA5D41"/>
    <w:rsid w:val="00AE31E1"/>
    <w:rsid w:val="00AE48F6"/>
    <w:rsid w:val="00AF3518"/>
    <w:rsid w:val="00AF7A9C"/>
    <w:rsid w:val="00B02E00"/>
    <w:rsid w:val="00B1112F"/>
    <w:rsid w:val="00B13E55"/>
    <w:rsid w:val="00B2682D"/>
    <w:rsid w:val="00B30691"/>
    <w:rsid w:val="00B319EF"/>
    <w:rsid w:val="00B77FC1"/>
    <w:rsid w:val="00B93518"/>
    <w:rsid w:val="00BA591C"/>
    <w:rsid w:val="00BC7AF2"/>
    <w:rsid w:val="00BD410B"/>
    <w:rsid w:val="00BE66C7"/>
    <w:rsid w:val="00BF54AD"/>
    <w:rsid w:val="00C2640C"/>
    <w:rsid w:val="00C304F5"/>
    <w:rsid w:val="00C534D3"/>
    <w:rsid w:val="00C552B3"/>
    <w:rsid w:val="00C6296B"/>
    <w:rsid w:val="00C77A07"/>
    <w:rsid w:val="00C840D9"/>
    <w:rsid w:val="00C91FE1"/>
    <w:rsid w:val="00CC6CB5"/>
    <w:rsid w:val="00CD07D2"/>
    <w:rsid w:val="00CF6CAC"/>
    <w:rsid w:val="00D3657A"/>
    <w:rsid w:val="00D44B62"/>
    <w:rsid w:val="00D5366B"/>
    <w:rsid w:val="00D54B0E"/>
    <w:rsid w:val="00D5501E"/>
    <w:rsid w:val="00D556E5"/>
    <w:rsid w:val="00D56597"/>
    <w:rsid w:val="00D63144"/>
    <w:rsid w:val="00D636E0"/>
    <w:rsid w:val="00D72D45"/>
    <w:rsid w:val="00DA5956"/>
    <w:rsid w:val="00DA7B99"/>
    <w:rsid w:val="00DB06D7"/>
    <w:rsid w:val="00DD073C"/>
    <w:rsid w:val="00DE3B61"/>
    <w:rsid w:val="00DE7B61"/>
    <w:rsid w:val="00E178E0"/>
    <w:rsid w:val="00E460C0"/>
    <w:rsid w:val="00E60021"/>
    <w:rsid w:val="00E9694D"/>
    <w:rsid w:val="00EA772F"/>
    <w:rsid w:val="00EB3EC4"/>
    <w:rsid w:val="00EF48A6"/>
    <w:rsid w:val="00F07F27"/>
    <w:rsid w:val="00F21BB8"/>
    <w:rsid w:val="00F24CCF"/>
    <w:rsid w:val="00F326B7"/>
    <w:rsid w:val="00F42DDB"/>
    <w:rsid w:val="00F73CBA"/>
    <w:rsid w:val="00F744E8"/>
    <w:rsid w:val="00F82756"/>
    <w:rsid w:val="00F961B9"/>
    <w:rsid w:val="00FA7560"/>
    <w:rsid w:val="00FB14C0"/>
    <w:rsid w:val="00FB5F6A"/>
    <w:rsid w:val="00FB7512"/>
    <w:rsid w:val="00FD2E6F"/>
    <w:rsid w:val="00FE2AB1"/>
    <w:rsid w:val="00FE3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3A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B3AF4"/>
    <w:pPr>
      <w:ind w:left="720"/>
      <w:contextualSpacing/>
    </w:pPr>
  </w:style>
  <w:style w:type="paragraph" w:styleId="BalloonText">
    <w:name w:val="Balloon Text"/>
    <w:basedOn w:val="Normal"/>
    <w:link w:val="BalloonTextChar"/>
    <w:uiPriority w:val="99"/>
    <w:semiHidden/>
    <w:rsid w:val="00D7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D45"/>
    <w:rPr>
      <w:rFonts w:ascii="Tahoma" w:hAnsi="Tahoma" w:cs="Tahoma"/>
      <w:sz w:val="16"/>
      <w:szCs w:val="16"/>
    </w:rPr>
  </w:style>
  <w:style w:type="table" w:styleId="LightShading-Accent2">
    <w:name w:val="Light Shading Accent 2"/>
    <w:basedOn w:val="TableNormal"/>
    <w:uiPriority w:val="99"/>
    <w:rsid w:val="00494FB7"/>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5">
    <w:name w:val="Medium Shading 1 Accent 5"/>
    <w:basedOn w:val="TableNormal"/>
    <w:uiPriority w:val="99"/>
    <w:rsid w:val="00A15422"/>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Grid-Accent3">
    <w:name w:val="Colorful Grid Accent 3"/>
    <w:basedOn w:val="TableNormal"/>
    <w:uiPriority w:val="99"/>
    <w:rsid w:val="00D3657A"/>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4">
    <w:name w:val="Colorful List Accent 4"/>
    <w:basedOn w:val="TableNormal"/>
    <w:uiPriority w:val="99"/>
    <w:rsid w:val="005523A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3-Accent6">
    <w:name w:val="Medium Grid 3 Accent 6"/>
    <w:basedOn w:val="TableNormal"/>
    <w:uiPriority w:val="99"/>
    <w:rsid w:val="005523A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99"/>
    <w:rsid w:val="0039778E"/>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Grid3-Accent3">
    <w:name w:val="Medium Grid 3 Accent 3"/>
    <w:basedOn w:val="TableNormal"/>
    <w:uiPriority w:val="99"/>
    <w:rsid w:val="00A705EA"/>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List-Accent3">
    <w:name w:val="Colorful List Accent 3"/>
    <w:basedOn w:val="TableNormal"/>
    <w:uiPriority w:val="99"/>
    <w:rsid w:val="00A705EA"/>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5">
    <w:name w:val="Colorful List Accent 5"/>
    <w:basedOn w:val="TableNormal"/>
    <w:uiPriority w:val="99"/>
    <w:rsid w:val="00FB751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styleId="Header">
    <w:name w:val="header"/>
    <w:basedOn w:val="Normal"/>
    <w:link w:val="HeaderChar"/>
    <w:uiPriority w:val="99"/>
    <w:semiHidden/>
    <w:rsid w:val="00764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64ED7"/>
    <w:rPr>
      <w:rFonts w:cs="Times New Roman"/>
    </w:rPr>
  </w:style>
  <w:style w:type="paragraph" w:styleId="Footer">
    <w:name w:val="footer"/>
    <w:basedOn w:val="Normal"/>
    <w:link w:val="FooterChar"/>
    <w:uiPriority w:val="99"/>
    <w:rsid w:val="00764E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4ED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charts/chart1.xml" Type="http://schemas.openxmlformats.org/officeDocument/2006/relationships/chart" Id="rId8"></Relationship><Relationship Target="footer1.xml" Type="http://schemas.openxmlformats.org/officeDocument/2006/relationships/footer" Id="rId13"></Relationship><Relationship Target="settings.xml" Type="http://schemas.openxmlformats.org/officeDocument/2006/relationships/settings" Id="rId3"></Relationship><Relationship Target="media/image1.png" Type="http://schemas.openxmlformats.org/officeDocument/2006/relationships/image" Id="rId7"></Relationship><Relationship Target="charts/chart5.xml" Type="http://schemas.openxmlformats.org/officeDocument/2006/relationships/chart"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charts/chart4.xml" Type="http://schemas.openxmlformats.org/officeDocument/2006/relationships/chart" Id="rId11"></Relationship><Relationship Target="footnotes.xml" Type="http://schemas.openxmlformats.org/officeDocument/2006/relationships/footnotes" Id="rId5"></Relationship><Relationship Target="theme/theme1.xml" Type="http://schemas.openxmlformats.org/officeDocument/2006/relationships/theme" Id="rId15"></Relationship><Relationship Target="charts/chart3.xml" Type="http://schemas.openxmlformats.org/officeDocument/2006/relationships/chart" Id="rId10"></Relationship><Relationship Target="webSettings.xml" Type="http://schemas.openxmlformats.org/officeDocument/2006/relationships/webSettings" Id="rId4"></Relationship><Relationship Target="charts/chart2.xml" Type="http://schemas.openxmlformats.org/officeDocument/2006/relationships/chart" Id="rId9"></Relationship><Relationship Target="fontTable.xml" Type="http://schemas.openxmlformats.org/officeDocument/2006/relationships/fontTable" Id="rId14"></Relationship></Relationships>
</file>

<file path=word/charts/_rels/chart1.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HOAVOTHUONG_87\NAM%202012-2013\SURVEY\Ky%20vong%20lam%20phat\Quy%20II2.2013\TH%20he%20bieu%20dau%20ra%206.2013%20(final).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Phuong\tai%20lieu%20phong%20du%20bao\DIEU%20TRA%20THONG%20KE\K&#7923;%20v&#7885;ng%20l&#7841;m%20ph&#225;t\Th&#225;ng%206.2013\TH%20he%20bieu%20dau%20ra%206.2013%20(final)_moi.xlsx" TargetMode="External"/><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6.1036566230127834E-2"/>
          <c:y val="0.16648012587344055"/>
          <c:w val="0.85681527707446914"/>
          <c:h val="0.82989907910753846"/>
        </c:manualLayout>
      </c:layout>
      <c:pie3DChart>
        <c:varyColors val="1"/>
        <c:ser>
          <c:idx val="0"/>
          <c:order val="0"/>
          <c:explosion val="25"/>
          <c:dPt>
            <c:idx val="0"/>
            <c:spPr>
              <a:pattFill prst="horzBrick">
                <a:fgClr>
                  <a:srgbClr val="953735"/>
                </a:fgClr>
                <a:bgClr>
                  <a:srgbClr val="D99795"/>
                </a:bgClr>
              </a:pattFill>
            </c:spPr>
          </c:dPt>
          <c:dPt>
            <c:idx val="1"/>
            <c:spPr>
              <a:pattFill prst="sphere">
                <a:fgClr>
                  <a:srgbClr val="75923C"/>
                </a:fgClr>
                <a:bgClr>
                  <a:srgbClr val="C2D69A"/>
                </a:bgClr>
              </a:pattFill>
            </c:spPr>
          </c:dPt>
          <c:dPt>
            <c:idx val="2"/>
            <c:spPr>
              <a:pattFill prst="pct25">
                <a:fgClr>
                  <a:srgbClr val="E46D0A"/>
                </a:fgClr>
                <a:bgClr>
                  <a:srgbClr val="FAC090"/>
                </a:bgClr>
              </a:pattFill>
            </c:spPr>
          </c:dPt>
          <c:dPt>
            <c:idx val="3"/>
            <c:spPr>
              <a:pattFill prst="narVert">
                <a:fgClr>
                  <a:srgbClr val="538ED5"/>
                </a:fgClr>
                <a:bgClr>
                  <a:srgbClr val="8DB4E3"/>
                </a:bgClr>
              </a:pattFill>
            </c:spPr>
          </c:dPt>
          <c:dPt>
            <c:idx val="4"/>
            <c:spPr>
              <a:pattFill prst="pct10">
                <a:fgClr>
                  <a:srgbClr val="C00000"/>
                </a:fgClr>
                <a:bgClr>
                  <a:srgbClr val="FF0000"/>
                </a:bgClr>
              </a:pattFill>
            </c:spPr>
          </c:dPt>
          <c:dPt>
            <c:idx val="5"/>
            <c:spPr>
              <a:pattFill prst="pct30">
                <a:fgClr>
                  <a:srgbClr val="7030A0"/>
                </a:fgClr>
                <a:bgClr>
                  <a:srgbClr val="B2A1C7"/>
                </a:bgClr>
              </a:pattFill>
            </c:spPr>
          </c:dPt>
          <c:dLbls>
            <c:dLbl>
              <c:idx val="0"/>
              <c:layout>
                <c:manualLayout>
                  <c:x val="0.16713728303201436"/>
                  <c:y val="5.9553804015701005E-2"/>
                </c:manualLayout>
              </c:layout>
              <c:tx>
                <c:rich>
                  <a:bodyPr/>
                  <a:lstStyle/>
                  <a:p>
                    <a:r>
                      <a:rPr lang="vi-VN"/>
                      <a:t>Giảm từ 2% </a:t>
                    </a:r>
                    <a:r>
                      <a:rPr lang="en-US"/>
                      <a:t>-</a:t>
                    </a:r>
                    <a:r>
                      <a:rPr lang="vi-VN"/>
                      <a:t> dưới 3%
</a:t>
                    </a:r>
                    <a:r>
                      <a:rPr lang="vi-VN" b="1"/>
                      <a:t>4%</a:t>
                    </a:r>
                  </a:p>
                </c:rich>
              </c:tx>
              <c:showCatName val="1"/>
              <c:showPercent val="1"/>
            </c:dLbl>
            <c:dLbl>
              <c:idx val="1"/>
              <c:layout>
                <c:manualLayout>
                  <c:x val="-1.9634330349169983E-2"/>
                  <c:y val="0.39589697192355278"/>
                </c:manualLayout>
              </c:layout>
              <c:tx>
                <c:rich>
                  <a:bodyPr/>
                  <a:lstStyle/>
                  <a:p>
                    <a:r>
                      <a:rPr lang="vi-VN"/>
                      <a:t>Giảm từ 1% </a:t>
                    </a:r>
                    <a:r>
                      <a:rPr lang="en-US"/>
                      <a:t>-</a:t>
                    </a:r>
                    <a:r>
                      <a:rPr lang="vi-VN"/>
                      <a:t> dưới 2%
</a:t>
                    </a:r>
                    <a:r>
                      <a:rPr lang="vi-VN" b="1"/>
                      <a:t>38%</a:t>
                    </a:r>
                  </a:p>
                </c:rich>
              </c:tx>
              <c:showCatName val="1"/>
              <c:showPercent val="1"/>
            </c:dLbl>
            <c:dLbl>
              <c:idx val="2"/>
              <c:tx>
                <c:rich>
                  <a:bodyPr/>
                  <a:lstStyle/>
                  <a:p>
                    <a:r>
                      <a:rPr lang="vi-VN"/>
                      <a:t>Giảm dưới 1%
</a:t>
                    </a:r>
                    <a:r>
                      <a:rPr lang="vi-VN" b="1"/>
                      <a:t>33%</a:t>
                    </a:r>
                  </a:p>
                </c:rich>
              </c:tx>
              <c:showCatName val="1"/>
              <c:showPercent val="1"/>
            </c:dLbl>
            <c:dLbl>
              <c:idx val="3"/>
              <c:layout>
                <c:manualLayout>
                  <c:x val="-4.9676362441727233E-2"/>
                  <c:y val="5.9649585105995467E-2"/>
                </c:manualLayout>
              </c:layout>
              <c:tx>
                <c:rich>
                  <a:bodyPr/>
                  <a:lstStyle/>
                  <a:p>
                    <a:r>
                      <a:rPr lang="vi-VN"/>
                      <a:t>Không đổi
</a:t>
                    </a:r>
                    <a:r>
                      <a:rPr lang="vi-VN" b="1"/>
                      <a:t>22%</a:t>
                    </a:r>
                  </a:p>
                </c:rich>
              </c:tx>
              <c:showCatName val="1"/>
              <c:showPercent val="1"/>
            </c:dLbl>
            <c:dLbl>
              <c:idx val="4"/>
              <c:layout>
                <c:manualLayout>
                  <c:x val="-0.14648375344602246"/>
                  <c:y val="1.3866673621662964E-2"/>
                </c:manualLayout>
              </c:layout>
              <c:tx>
                <c:rich>
                  <a:bodyPr/>
                  <a:lstStyle/>
                  <a:p>
                    <a:r>
                      <a:rPr lang="vi-VN"/>
                      <a:t>Tăng dưới 1%
</a:t>
                    </a:r>
                    <a:r>
                      <a:rPr lang="vi-VN" b="1"/>
                      <a:t>2%</a:t>
                    </a:r>
                  </a:p>
                </c:rich>
              </c:tx>
              <c:showCatName val="1"/>
              <c:showPercent val="1"/>
            </c:dLbl>
            <c:dLbl>
              <c:idx val="6"/>
              <c:layout>
                <c:manualLayout>
                  <c:x val="8.8965969365594755E-2"/>
                  <c:y val="-1.4687782874610859E-2"/>
                </c:manualLayout>
              </c:layout>
              <c:tx>
                <c:rich>
                  <a:bodyPr/>
                  <a:lstStyle/>
                  <a:p>
                    <a:r>
                      <a:rPr lang="vi-VN"/>
                      <a:t>Tăng từ 2% </a:t>
                    </a:r>
                    <a:r>
                      <a:rPr lang="en-US"/>
                      <a:t>-</a:t>
                    </a:r>
                    <a:r>
                      <a:rPr lang="en-US" baseline="0"/>
                      <a:t> </a:t>
                    </a:r>
                    <a:r>
                      <a:rPr lang="vi-VN"/>
                      <a:t>dưới 3%
</a:t>
                    </a:r>
                    <a:r>
                      <a:rPr lang="vi-VN" b="1"/>
                      <a:t>1%</a:t>
                    </a:r>
                  </a:p>
                </c:rich>
              </c:tx>
              <c:showCatName val="1"/>
              <c:showPercent val="1"/>
            </c:dLbl>
            <c:txPr>
              <a:bodyPr/>
              <a:lstStyle/>
              <a:p>
                <a:pPr>
                  <a:defRPr lang="en-US" sz="900">
                    <a:latin typeface="Times New Roman" pitchFamily="18" charset="0"/>
                    <a:cs typeface="Times New Roman" pitchFamily="18" charset="0"/>
                  </a:defRPr>
                </a:pPr>
                <a:endParaRPr lang="en-US"/>
              </a:p>
            </c:txPr>
            <c:showCatName val="1"/>
            <c:showPercent val="1"/>
            <c:showLeaderLines val="1"/>
          </c:dLbls>
          <c:cat>
            <c:strRef>
              <c:f>'Cau 5,6,7'!$A$7:$A$13</c:f>
              <c:strCache>
                <c:ptCount val="7"/>
                <c:pt idx="0">
                  <c:v>Giảm từ 2% đến dưới 3%</c:v>
                </c:pt>
                <c:pt idx="1">
                  <c:v>Giảm từ 1% đến dưới 2%</c:v>
                </c:pt>
                <c:pt idx="2">
                  <c:v>Giảm dưới 1%</c:v>
                </c:pt>
                <c:pt idx="3">
                  <c:v>Không đổi</c:v>
                </c:pt>
                <c:pt idx="4">
                  <c:v>Tăng dưới 1%</c:v>
                </c:pt>
                <c:pt idx="5">
                  <c:v>Tăng từ 1% đến dưới 2%</c:v>
                </c:pt>
                <c:pt idx="6">
                  <c:v>Tăng từ 2% đến dưới 3%</c:v>
                </c:pt>
              </c:strCache>
            </c:strRef>
          </c:cat>
          <c:val>
            <c:numRef>
              <c:f>'Cau 5,6,7'!$C$7:$C$13</c:f>
              <c:numCache>
                <c:formatCode>#,000%</c:formatCode>
                <c:ptCount val="7"/>
                <c:pt idx="0">
                  <c:v>4.1095890410958895E-2</c:v>
                </c:pt>
                <c:pt idx="1">
                  <c:v>0.38356164383561847</c:v>
                </c:pt>
                <c:pt idx="2">
                  <c:v>0.32876712328767377</c:v>
                </c:pt>
                <c:pt idx="3">
                  <c:v>0.21917808219178159</c:v>
                </c:pt>
                <c:pt idx="4">
                  <c:v>1.3698630136986301E-2</c:v>
                </c:pt>
                <c:pt idx="6">
                  <c:v>1.3698630136986301E-2</c:v>
                </c:pt>
              </c:numCache>
            </c:numRef>
          </c:val>
        </c:ser>
        <c:dLbls>
          <c:showCatName val="1"/>
          <c:showPercent val="1"/>
        </c:dLbls>
      </c:pie3DChart>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6.1036431879462831E-2"/>
          <c:y val="0.16662991408860767"/>
          <c:w val="0.85607445540830895"/>
          <c:h val="0.82974950877042064"/>
        </c:manualLayout>
      </c:layout>
      <c:pie3DChart>
        <c:varyColors val="1"/>
        <c:ser>
          <c:idx val="0"/>
          <c:order val="0"/>
          <c:tx>
            <c:v>1</c:v>
          </c:tx>
          <c:explosion val="25"/>
          <c:dPt>
            <c:idx val="0"/>
            <c:spPr>
              <a:pattFill prst="horzBrick">
                <a:fgClr>
                  <a:srgbClr val="953735"/>
                </a:fgClr>
                <a:bgClr>
                  <a:srgbClr val="D99795"/>
                </a:bgClr>
              </a:pattFill>
            </c:spPr>
          </c:dPt>
          <c:dPt>
            <c:idx val="1"/>
            <c:spPr>
              <a:pattFill prst="sphere">
                <a:fgClr>
                  <a:srgbClr val="75923C"/>
                </a:fgClr>
                <a:bgClr>
                  <a:srgbClr val="C2D69A"/>
                </a:bgClr>
              </a:pattFill>
            </c:spPr>
          </c:dPt>
          <c:dPt>
            <c:idx val="2"/>
            <c:spPr>
              <a:pattFill prst="pct25">
                <a:fgClr>
                  <a:srgbClr val="E46D0A"/>
                </a:fgClr>
                <a:bgClr>
                  <a:srgbClr val="FAC090"/>
                </a:bgClr>
              </a:pattFill>
            </c:spPr>
          </c:dPt>
          <c:dPt>
            <c:idx val="3"/>
            <c:spPr>
              <a:pattFill prst="narVert">
                <a:fgClr>
                  <a:srgbClr val="538ED5"/>
                </a:fgClr>
                <a:bgClr>
                  <a:srgbClr val="8DB4E3"/>
                </a:bgClr>
              </a:pattFill>
            </c:spPr>
          </c:dPt>
          <c:dPt>
            <c:idx val="4"/>
            <c:spPr>
              <a:pattFill prst="divot">
                <a:fgClr>
                  <a:srgbClr val="C00000"/>
                </a:fgClr>
                <a:bgClr>
                  <a:srgbClr val="FF0000"/>
                </a:bgClr>
              </a:pattFill>
            </c:spPr>
          </c:dPt>
          <c:dPt>
            <c:idx val="5"/>
            <c:spPr>
              <a:pattFill prst="pct40">
                <a:fgClr>
                  <a:srgbClr val="7030A0"/>
                </a:fgClr>
                <a:bgClr>
                  <a:srgbClr val="B2A1C7"/>
                </a:bgClr>
              </a:pattFill>
            </c:spPr>
          </c:dPt>
          <c:dLbls>
            <c:dLbl>
              <c:idx val="0"/>
              <c:layout>
                <c:manualLayout>
                  <c:x val="4.9379327304716523E-2"/>
                  <c:y val="-5.0048943677122315E-2"/>
                </c:manualLayout>
              </c:layout>
              <c:tx>
                <c:rich>
                  <a:bodyPr/>
                  <a:lstStyle/>
                  <a:p>
                    <a:r>
                      <a:rPr lang="vi-VN"/>
                      <a:t>Giảm từ 3% </a:t>
                    </a:r>
                    <a:r>
                      <a:rPr lang="en-US" baseline="0"/>
                      <a:t> -</a:t>
                    </a:r>
                    <a:r>
                      <a:rPr lang="vi-VN"/>
                      <a:t> dưới 4%
</a:t>
                    </a:r>
                    <a:r>
                      <a:rPr lang="vi-VN" b="1"/>
                      <a:t>23%</a:t>
                    </a:r>
                  </a:p>
                </c:rich>
              </c:tx>
              <c:showCatName val="1"/>
              <c:showPercent val="1"/>
            </c:dLbl>
            <c:dLbl>
              <c:idx val="1"/>
              <c:tx>
                <c:rich>
                  <a:bodyPr/>
                  <a:lstStyle/>
                  <a:p>
                    <a:r>
                      <a:rPr lang="vi-VN"/>
                      <a:t>Giảm từ 2% </a:t>
                    </a:r>
                    <a:r>
                      <a:rPr lang="en-US" baseline="0"/>
                      <a:t> -</a:t>
                    </a:r>
                    <a:r>
                      <a:rPr lang="vi-VN"/>
                      <a:t> dưới 3%
</a:t>
                    </a:r>
                    <a:r>
                      <a:rPr lang="vi-VN" b="1"/>
                      <a:t>33%</a:t>
                    </a:r>
                  </a:p>
                </c:rich>
              </c:tx>
              <c:showCatName val="1"/>
              <c:showPercent val="1"/>
            </c:dLbl>
            <c:dLbl>
              <c:idx val="2"/>
              <c:tx>
                <c:rich>
                  <a:bodyPr/>
                  <a:lstStyle/>
                  <a:p>
                    <a:r>
                      <a:rPr lang="vi-VN"/>
                      <a:t>Giảm dưới 2%
</a:t>
                    </a:r>
                    <a:r>
                      <a:rPr lang="vi-VN" b="1"/>
                      <a:t>37%</a:t>
                    </a:r>
                  </a:p>
                </c:rich>
              </c:tx>
              <c:showCatName val="1"/>
              <c:showPercent val="1"/>
            </c:dLbl>
            <c:dLbl>
              <c:idx val="3"/>
              <c:layout>
                <c:manualLayout>
                  <c:x val="-7.1159016977409867E-2"/>
                  <c:y val="1.9898383603688941E-2"/>
                </c:manualLayout>
              </c:layout>
              <c:tx>
                <c:rich>
                  <a:bodyPr/>
                  <a:lstStyle/>
                  <a:p>
                    <a:r>
                      <a:rPr lang="vi-VN"/>
                      <a:t>Không đổi
</a:t>
                    </a:r>
                    <a:r>
                      <a:rPr lang="vi-VN" b="1"/>
                      <a:t>3%</a:t>
                    </a:r>
                  </a:p>
                </c:rich>
              </c:tx>
              <c:showCatName val="1"/>
              <c:showPercent val="1"/>
            </c:dLbl>
            <c:dLbl>
              <c:idx val="4"/>
              <c:layout>
                <c:manualLayout>
                  <c:x val="7.4239868072017906E-2"/>
                  <c:y val="-3.3105108787631052E-2"/>
                </c:manualLayout>
              </c:layout>
              <c:tx>
                <c:rich>
                  <a:bodyPr/>
                  <a:lstStyle/>
                  <a:p>
                    <a:r>
                      <a:rPr lang="vi-VN"/>
                      <a:t>Tăng dưới 2%
</a:t>
                    </a:r>
                    <a:r>
                      <a:rPr lang="vi-VN" b="1"/>
                      <a:t>3%</a:t>
                    </a:r>
                  </a:p>
                </c:rich>
              </c:tx>
              <c:showCatName val="1"/>
              <c:showPercent val="1"/>
            </c:dLbl>
            <c:dLbl>
              <c:idx val="5"/>
              <c:delete val="1"/>
            </c:dLbl>
            <c:dLbl>
              <c:idx val="6"/>
              <c:layout>
                <c:manualLayout>
                  <c:x val="0.18182120648284325"/>
                  <c:y val="-1.2442092279448676E-2"/>
                </c:manualLayout>
              </c:layout>
              <c:tx>
                <c:rich>
                  <a:bodyPr/>
                  <a:lstStyle/>
                  <a:p>
                    <a:r>
                      <a:rPr lang="vi-VN"/>
                      <a:t>Tăng từ 3 % </a:t>
                    </a:r>
                    <a:r>
                      <a:rPr lang="en-US" baseline="0"/>
                      <a:t> -</a:t>
                    </a:r>
                    <a:r>
                      <a:rPr lang="vi-VN"/>
                      <a:t> dưới 4%
</a:t>
                    </a:r>
                    <a:r>
                      <a:rPr lang="vi-VN" b="1"/>
                      <a:t>1%</a:t>
                    </a:r>
                  </a:p>
                </c:rich>
              </c:tx>
              <c:showCatName val="1"/>
              <c:showPercent val="1"/>
            </c:dLbl>
            <c:txPr>
              <a:bodyPr/>
              <a:lstStyle/>
              <a:p>
                <a:pPr>
                  <a:defRPr lang="en-US" sz="900">
                    <a:latin typeface="Times New Roman" pitchFamily="18" charset="0"/>
                    <a:cs typeface="Times New Roman" pitchFamily="18" charset="0"/>
                  </a:defRPr>
                </a:pPr>
                <a:endParaRPr lang="en-US"/>
              </a:p>
            </c:txPr>
            <c:showCatName val="1"/>
            <c:showPercent val="1"/>
            <c:showLeaderLines val="1"/>
          </c:dLbls>
          <c:cat>
            <c:strRef>
              <c:f>'Cau 5,6,7'!$E$7:$E$13</c:f>
              <c:strCache>
                <c:ptCount val="7"/>
                <c:pt idx="0">
                  <c:v>Giảm từ 3% đến dưới 4%</c:v>
                </c:pt>
                <c:pt idx="1">
                  <c:v>Giảm từ 2% đến dưới 3%</c:v>
                </c:pt>
                <c:pt idx="2">
                  <c:v>Giảm dưới 2%</c:v>
                </c:pt>
                <c:pt idx="3">
                  <c:v>Không đổi</c:v>
                </c:pt>
                <c:pt idx="4">
                  <c:v>Tăng dưới 2%</c:v>
                </c:pt>
                <c:pt idx="5">
                  <c:v>Tăng từ 2% đến dưới 3%</c:v>
                </c:pt>
                <c:pt idx="6">
                  <c:v>Tăng từ 3 % đến dưới 4%</c:v>
                </c:pt>
              </c:strCache>
            </c:strRef>
          </c:cat>
          <c:val>
            <c:numRef>
              <c:f>'Cau 5,6,7'!$H$7:$H$13</c:f>
              <c:numCache>
                <c:formatCode>#,000%</c:formatCode>
                <c:ptCount val="7"/>
                <c:pt idx="0">
                  <c:v>0.23287671232876667</c:v>
                </c:pt>
                <c:pt idx="1">
                  <c:v>0.32876712328767377</c:v>
                </c:pt>
                <c:pt idx="2">
                  <c:v>0.36986301369863167</c:v>
                </c:pt>
                <c:pt idx="3">
                  <c:v>2.7397260273972612E-2</c:v>
                </c:pt>
                <c:pt idx="4">
                  <c:v>2.7397260273972612E-2</c:v>
                </c:pt>
                <c:pt idx="5">
                  <c:v>0</c:v>
                </c:pt>
                <c:pt idx="6">
                  <c:v>1.3698630136986301E-2</c:v>
                </c:pt>
              </c:numCache>
            </c:numRef>
          </c:val>
        </c:ser>
        <c:dLbls>
          <c:showCatName val="1"/>
          <c:showPercent val="1"/>
        </c:dLbls>
      </c:pie3DChart>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noFill/>
        <a:ln w="9525">
          <a:noFill/>
        </a:ln>
      </c:spPr>
    </c:floor>
    <c:sideWall>
      <c:spPr>
        <a:noFill/>
      </c:spPr>
    </c:sideWall>
    <c:backWall>
      <c:spPr>
        <a:noFill/>
        <a:ln w="25400">
          <a:noFill/>
        </a:ln>
      </c:spPr>
    </c:backWall>
    <c:plotArea>
      <c:layout>
        <c:manualLayout>
          <c:layoutTarget val="inner"/>
          <c:xMode val="edge"/>
          <c:yMode val="edge"/>
          <c:x val="0.47793954599206284"/>
          <c:y val="2.3388339755402908E-2"/>
          <c:w val="0.44058583968371595"/>
          <c:h val="0.84952420841012211"/>
        </c:manualLayout>
      </c:layout>
      <c:bar3DChart>
        <c:barDir val="bar"/>
        <c:grouping val="clustered"/>
        <c:ser>
          <c:idx val="0"/>
          <c:order val="0"/>
          <c:tx>
            <c:v>Quý III/2013</c:v>
          </c:tx>
          <c:spPr>
            <a:pattFill prst="diagBrick">
              <a:fgClr>
                <a:srgbClr val="FAC090"/>
              </a:fgClr>
              <a:bgClr>
                <a:srgbClr val="00B050"/>
              </a:bgClr>
            </a:pattFill>
            <a:ln>
              <a:solidFill>
                <a:schemeClr val="accent5">
                  <a:lumMod val="60000"/>
                  <a:lumOff val="40000"/>
                </a:schemeClr>
              </a:solidFill>
            </a:ln>
            <a:effectLst>
              <a:outerShdw blurRad="50800" dist="50800" dir="5400000" algn="ctr" rotWithShape="0">
                <a:schemeClr val="accent5">
                  <a:lumMod val="60000"/>
                  <a:lumOff val="40000"/>
                </a:schemeClr>
              </a:outerShdw>
            </a:effectLst>
          </c:spPr>
          <c:dLbls>
            <c:numFmt formatCode="#,000%" sourceLinked="0"/>
            <c:txPr>
              <a:bodyPr/>
              <a:lstStyle/>
              <a:p>
                <a:pPr>
                  <a:defRPr lang="en-US" sz="800">
                    <a:latin typeface="Times New Roman" pitchFamily="18" charset="0"/>
                    <a:cs typeface="Times New Roman" pitchFamily="18" charset="0"/>
                  </a:defRPr>
                </a:pPr>
                <a:endParaRPr lang="en-US"/>
              </a:p>
            </c:txPr>
            <c:showVal val="1"/>
          </c:dLbls>
          <c:cat>
            <c:strRef>
              <c:f>'Cau 4'!$A$20:$A$24</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'Cau 4'!$C$20:$C$24</c:f>
              <c:numCache>
                <c:formatCode>#,000%</c:formatCode>
                <c:ptCount val="5"/>
                <c:pt idx="0">
                  <c:v>0.21428571428571427</c:v>
                </c:pt>
                <c:pt idx="1">
                  <c:v>0.41428571428571431</c:v>
                </c:pt>
                <c:pt idx="2">
                  <c:v>0.25714285714285862</c:v>
                </c:pt>
                <c:pt idx="3">
                  <c:v>5.7142857142857162E-2</c:v>
                </c:pt>
                <c:pt idx="4">
                  <c:v>5.7142857142857162E-2</c:v>
                </c:pt>
              </c:numCache>
            </c:numRef>
          </c:val>
        </c:ser>
        <c:ser>
          <c:idx val="1"/>
          <c:order val="1"/>
          <c:tx>
            <c:v>Năm 2013</c:v>
          </c:tx>
          <c:spPr>
            <a:solidFill>
              <a:srgbClr val="FF9900"/>
            </a:solidFill>
            <a:ln>
              <a:solidFill>
                <a:srgbClr val="FF9900"/>
              </a:solidFill>
            </a:ln>
            <a:effectLst>
              <a:outerShdw blurRad="50800" dist="50800" dir="5400000" algn="ctr" rotWithShape="0">
                <a:schemeClr val="accent6">
                  <a:lumMod val="75000"/>
                </a:schemeClr>
              </a:outerShdw>
            </a:effectLst>
          </c:spPr>
          <c:dLbls>
            <c:numFmt formatCode="#,000%" sourceLinked="0"/>
            <c:txPr>
              <a:bodyPr/>
              <a:lstStyle/>
              <a:p>
                <a:pPr>
                  <a:defRPr lang="en-US" sz="800" b="1">
                    <a:latin typeface="Times New Roman" pitchFamily="18" charset="0"/>
                    <a:cs typeface="Times New Roman" pitchFamily="18" charset="0"/>
                  </a:defRPr>
                </a:pPr>
                <a:endParaRPr lang="en-US"/>
              </a:p>
            </c:txPr>
            <c:showVal val="1"/>
          </c:dLbls>
          <c:cat>
            <c:strRef>
              <c:f>'Cau 4'!$A$20:$A$24</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'Cau 4'!$O$20:$O$24</c:f>
              <c:numCache>
                <c:formatCode>#,000%</c:formatCode>
                <c:ptCount val="5"/>
                <c:pt idx="0">
                  <c:v>0.23611111111111124</c:v>
                </c:pt>
                <c:pt idx="1">
                  <c:v>0.34722222222222282</c:v>
                </c:pt>
                <c:pt idx="2">
                  <c:v>0.26388888888889189</c:v>
                </c:pt>
                <c:pt idx="3">
                  <c:v>8.3333333333333467E-2</c:v>
                </c:pt>
                <c:pt idx="4">
                  <c:v>6.9444444444444531E-2</c:v>
                </c:pt>
              </c:numCache>
            </c:numRef>
          </c:val>
        </c:ser>
        <c:shape val="cylinder"/>
        <c:axId val="77278592"/>
        <c:axId val="77296768"/>
        <c:axId val="0"/>
      </c:bar3DChart>
      <c:catAx>
        <c:axId val="77278592"/>
        <c:scaling>
          <c:orientation val="minMax"/>
        </c:scaling>
        <c:axPos val="l"/>
        <c:tickLblPos val="nextTo"/>
        <c:txPr>
          <a:bodyPr rot="0" vert="horz" anchor="ctr" anchorCtr="0"/>
          <a:lstStyle/>
          <a:p>
            <a:pPr>
              <a:defRPr lang="en-US" sz="800">
                <a:latin typeface="Times New Roman" pitchFamily="18" charset="0"/>
                <a:cs typeface="Times New Roman" pitchFamily="18" charset="0"/>
              </a:defRPr>
            </a:pPr>
            <a:endParaRPr lang="en-US"/>
          </a:p>
        </c:txPr>
        <c:crossAx val="77296768"/>
        <c:crosses val="autoZero"/>
        <c:auto val="1"/>
        <c:lblAlgn val="l"/>
        <c:lblOffset val="100"/>
        <c:tickMarkSkip val="2"/>
      </c:catAx>
      <c:valAx>
        <c:axId val="77296768"/>
        <c:scaling>
          <c:orientation val="minMax"/>
          <c:max val="0.5"/>
          <c:min val="0"/>
        </c:scaling>
        <c:axPos val="b"/>
        <c:numFmt formatCode="0%" sourceLinked="0"/>
        <c:tickLblPos val="low"/>
        <c:txPr>
          <a:bodyPr rot="-660000"/>
          <a:lstStyle/>
          <a:p>
            <a:pPr>
              <a:defRPr lang="en-US" sz="800" b="1">
                <a:latin typeface="Times New Roman" pitchFamily="18" charset="0"/>
                <a:cs typeface="Times New Roman" pitchFamily="18" charset="0"/>
              </a:defRPr>
            </a:pPr>
            <a:endParaRPr lang="en-US"/>
          </a:p>
        </c:txPr>
        <c:crossAx val="77278592"/>
        <c:crosses val="autoZero"/>
        <c:crossBetween val="between"/>
        <c:majorUnit val="0.1"/>
      </c:valAx>
      <c:spPr>
        <a:ln w="25400">
          <a:noFill/>
        </a:ln>
      </c:spPr>
    </c:plotArea>
    <c:legend>
      <c:legendPos val="b"/>
      <c:layout>
        <c:manualLayout>
          <c:xMode val="edge"/>
          <c:yMode val="edge"/>
          <c:x val="0"/>
          <c:y val="0.93911690719651397"/>
          <c:w val="0.91114854595968608"/>
          <c:h val="6.0883092803486284E-2"/>
        </c:manualLayout>
      </c:layout>
      <c:txPr>
        <a:bodyPr/>
        <a:lstStyle/>
        <a:p>
          <a:pPr>
            <a:defRPr lang="en-US" sz="800" b="1">
              <a:latin typeface="Times New Roman" pitchFamily="18" charset="0"/>
              <a:cs typeface="Times New Roman" pitchFamily="18" charset="0"/>
            </a:defRPr>
          </a:pPr>
          <a:endParaRPr lang="en-US"/>
        </a:p>
      </c:txPr>
    </c:legend>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noFill/>
        <a:ln w="9525">
          <a:noFill/>
        </a:ln>
      </c:spPr>
    </c:floor>
    <c:sideWall>
      <c:spPr>
        <a:noFill/>
      </c:spPr>
    </c:sideWall>
    <c:backWall>
      <c:spPr>
        <a:noFill/>
        <a:ln w="25400">
          <a:noFill/>
        </a:ln>
      </c:spPr>
    </c:backWall>
    <c:plotArea>
      <c:layout>
        <c:manualLayout>
          <c:layoutTarget val="inner"/>
          <c:xMode val="edge"/>
          <c:yMode val="edge"/>
          <c:x val="0.43088830255057392"/>
          <c:y val="0"/>
          <c:w val="0.51576091247169364"/>
          <c:h val="0.85535895248838456"/>
        </c:manualLayout>
      </c:layout>
      <c:bar3DChart>
        <c:barDir val="bar"/>
        <c:grouping val="stacked"/>
        <c:ser>
          <c:idx val="0"/>
          <c:order val="0"/>
          <c:tx>
            <c:strRef>
              <c:f>'Cau 5,6,7'!$F$60:$G$60</c:f>
              <c:strCache>
                <c:ptCount val="1"/>
                <c:pt idx="0">
                  <c:v>Năm 2013</c:v>
                </c:pt>
              </c:strCache>
            </c:strRef>
          </c:tx>
          <c:spPr>
            <a:pattFill prst="horzBrick">
              <a:fgClr>
                <a:srgbClr val="E46D0A"/>
              </a:fgClr>
              <a:bgClr>
                <a:srgbClr val="FAC090"/>
              </a:bgClr>
            </a:pattFill>
          </c:spPr>
          <c:dLbls>
            <c:dLbl>
              <c:idx val="0"/>
              <c:layout>
                <c:manualLayout>
                  <c:x val="0.12121212121212167"/>
                  <c:y val="-8.4388185654008432E-3"/>
                </c:manualLayout>
              </c:layout>
              <c:showVal val="1"/>
            </c:dLbl>
            <c:dLbl>
              <c:idx val="1"/>
              <c:layout>
                <c:manualLayout>
                  <c:x val="0.11339198435972588"/>
                  <c:y val="7.735494323860445E-17"/>
                </c:manualLayout>
              </c:layout>
              <c:showVal val="1"/>
            </c:dLbl>
            <c:dLbl>
              <c:idx val="2"/>
              <c:layout>
                <c:manualLayout>
                  <c:x val="9.3841642228738947E-2"/>
                  <c:y val="0"/>
                </c:manualLayout>
              </c:layout>
              <c:showVal val="1"/>
            </c:dLbl>
            <c:dLbl>
              <c:idx val="3"/>
              <c:layout>
                <c:manualLayout>
                  <c:x val="0.20332355816226791"/>
                  <c:y val="0"/>
                </c:manualLayout>
              </c:layout>
              <c:showVal val="1"/>
            </c:dLbl>
            <c:dLbl>
              <c:idx val="4"/>
              <c:layout>
                <c:manualLayout>
                  <c:x val="0.24633431085044119"/>
                  <c:y val="-8.4388185654008432E-3"/>
                </c:manualLayout>
              </c:layout>
              <c:showVal val="1"/>
            </c:dLbl>
            <c:dLbl>
              <c:idx val="5"/>
              <c:layout>
                <c:manualLayout>
                  <c:x val="0.14858260019550343"/>
                  <c:y val="0"/>
                </c:manualLayout>
              </c:layout>
              <c:showVal val="1"/>
            </c:dLbl>
            <c:numFmt formatCode="0%" sourceLinked="0"/>
            <c:txPr>
              <a:bodyPr/>
              <a:lstStyle/>
              <a:p>
                <a:pPr>
                  <a:defRPr lang="en-US" sz="900" b="1">
                    <a:latin typeface="Times New Roman" pitchFamily="18" charset="0"/>
                    <a:cs typeface="Times New Roman" pitchFamily="18" charset="0"/>
                  </a:defRPr>
                </a:pPr>
                <a:endParaRPr lang="en-US"/>
              </a:p>
            </c:txPr>
            <c:showVal val="1"/>
          </c:dLbls>
          <c:cat>
            <c:strRef>
              <c:f>'Cau 5,6,7'!$H$62:$H$67</c:f>
              <c:strCache>
                <c:ptCount val="6"/>
                <c:pt idx="0">
                  <c:v>Giảm từ 3% đến dưới 4%</c:v>
                </c:pt>
                <c:pt idx="1">
                  <c:v>Giảm từ 2% đến dưới 3%</c:v>
                </c:pt>
                <c:pt idx="2">
                  <c:v>Giảm dưới 2%</c:v>
                </c:pt>
                <c:pt idx="3">
                  <c:v>Không đổi</c:v>
                </c:pt>
                <c:pt idx="4">
                  <c:v>Tăng dưới 2%</c:v>
                </c:pt>
                <c:pt idx="5">
                  <c:v>Tăng từ 2% đến dưới 3%</c:v>
                </c:pt>
              </c:strCache>
            </c:strRef>
          </c:cat>
          <c:val>
            <c:numRef>
              <c:f>'Cau 5,6,7'!$G$62:$G$67</c:f>
              <c:numCache>
                <c:formatCode>#,000%</c:formatCode>
                <c:ptCount val="6"/>
                <c:pt idx="0">
                  <c:v>1.3698630136986301E-2</c:v>
                </c:pt>
                <c:pt idx="1">
                  <c:v>2.7397260273972612E-2</c:v>
                </c:pt>
                <c:pt idx="2">
                  <c:v>5.479452054794573E-2</c:v>
                </c:pt>
                <c:pt idx="3">
                  <c:v>0.31506849315068786</c:v>
                </c:pt>
                <c:pt idx="4">
                  <c:v>0.41095890410959063</c:v>
                </c:pt>
                <c:pt idx="5">
                  <c:v>0.17808219178082293</c:v>
                </c:pt>
              </c:numCache>
            </c:numRef>
          </c:val>
        </c:ser>
        <c:shape val="cylinder"/>
        <c:axId val="35043584"/>
        <c:axId val="60227584"/>
        <c:axId val="0"/>
      </c:bar3DChart>
      <c:catAx>
        <c:axId val="35043584"/>
        <c:scaling>
          <c:orientation val="minMax"/>
        </c:scaling>
        <c:axPos val="l"/>
        <c:tickLblPos val="nextTo"/>
        <c:txPr>
          <a:bodyPr/>
          <a:lstStyle/>
          <a:p>
            <a:pPr>
              <a:defRPr lang="en-US" sz="800" b="1">
                <a:latin typeface="Times New Roman" pitchFamily="18" charset="0"/>
                <a:cs typeface="Times New Roman" pitchFamily="18" charset="0"/>
              </a:defRPr>
            </a:pPr>
            <a:endParaRPr lang="en-US"/>
          </a:p>
        </c:txPr>
        <c:crossAx val="60227584"/>
        <c:crosses val="autoZero"/>
        <c:auto val="1"/>
        <c:lblAlgn val="ctr"/>
        <c:lblOffset val="100"/>
      </c:catAx>
      <c:valAx>
        <c:axId val="60227584"/>
        <c:scaling>
          <c:orientation val="minMax"/>
        </c:scaling>
        <c:axPos val="b"/>
        <c:numFmt formatCode="0%" sourceLinked="0"/>
        <c:tickLblPos val="nextTo"/>
        <c:txPr>
          <a:bodyPr rot="-600000"/>
          <a:lstStyle/>
          <a:p>
            <a:pPr>
              <a:defRPr lang="en-US" sz="800" b="1">
                <a:latin typeface="Times New Roman" pitchFamily="18" charset="0"/>
                <a:cs typeface="Times New Roman" pitchFamily="18" charset="0"/>
              </a:defRPr>
            </a:pPr>
            <a:endParaRPr lang="en-US"/>
          </a:p>
        </c:txPr>
        <c:crossAx val="35043584"/>
        <c:crosses val="autoZero"/>
        <c:crossBetween val="between"/>
      </c:valAx>
      <c:spPr>
        <a:ln w="25400">
          <a:noFill/>
        </a:ln>
      </c:spPr>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depthPercent val="120"/>
      <c:rAngAx val="1"/>
    </c:view3D>
    <c:sideWall>
      <c:spPr>
        <a:ln>
          <a:noFill/>
        </a:ln>
      </c:spPr>
    </c:sideWall>
    <c:backWall>
      <c:spPr>
        <a:ln>
          <a:noFill/>
        </a:ln>
      </c:spPr>
    </c:backWall>
    <c:plotArea>
      <c:layout>
        <c:manualLayout>
          <c:layoutTarget val="inner"/>
          <c:xMode val="edge"/>
          <c:yMode val="edge"/>
          <c:x val="0.2120579615048119"/>
          <c:y val="2.2084985871258446E-3"/>
          <c:w val="0.74604768153981038"/>
          <c:h val="0.80115040902779266"/>
        </c:manualLayout>
      </c:layout>
      <c:bar3DChart>
        <c:barDir val="bar"/>
        <c:grouping val="clustered"/>
        <c:ser>
          <c:idx val="0"/>
          <c:order val="0"/>
          <c:tx>
            <c:strRef>
              <c:f>'Cau 1,2'!$C$46</c:f>
              <c:strCache>
                <c:ptCount val="1"/>
                <c:pt idx="0">
                  <c:v>QII/2013</c:v>
                </c:pt>
              </c:strCache>
            </c:strRef>
          </c:tx>
          <c:spPr>
            <a:gradFill>
              <a:gsLst>
                <a:gs pos="0">
                  <a:srgbClr val="FFEFD1"/>
                </a:gs>
                <a:gs pos="64999">
                  <a:srgbClr val="F0EBD5"/>
                </a:gs>
                <a:gs pos="100000">
                  <a:srgbClr val="D1C39F"/>
                </a:gs>
              </a:gsLst>
              <a:lin ang="5400000" scaled="0"/>
            </a:gradFill>
            <a:ln>
              <a:solidFill>
                <a:sysClr val="windowText" lastClr="000000">
                  <a:tint val="75000"/>
                  <a:shade val="95000"/>
                  <a:satMod val="105000"/>
                </a:sysClr>
              </a:solidFill>
            </a:ln>
          </c:spPr>
          <c:dLbls>
            <c:dLbl>
              <c:idx val="2"/>
              <c:layout>
                <c:manualLayout>
                  <c:x val="3.2809936723693665E-2"/>
                  <c:y val="0"/>
                </c:manualLayout>
              </c:layout>
              <c:showVal val="1"/>
            </c:dLbl>
            <c:numFmt formatCode="0%" sourceLinked="0"/>
            <c:txPr>
              <a:bodyPr/>
              <a:lstStyle/>
              <a:p>
                <a:pPr>
                  <a:defRPr lang="en-US" sz="800"/>
                </a:pPr>
                <a:endParaRPr lang="en-US"/>
              </a:p>
            </c:txPr>
            <c:showVal val="1"/>
          </c:dLbls>
          <c:cat>
            <c:strRef>
              <c:f>'Cau 1,2'!$B$47:$B$52</c:f>
              <c:strCache>
                <c:ptCount val="6"/>
                <c:pt idx="0">
                  <c:v>Rất chặt</c:v>
                </c:pt>
                <c:pt idx="1">
                  <c:v>Chặt</c:v>
                </c:pt>
                <c:pt idx="2">
                  <c:v>Bình thường</c:v>
                </c:pt>
                <c:pt idx="3">
                  <c:v>Lỏng</c:v>
                </c:pt>
                <c:pt idx="4">
                  <c:v>Rất lỏng</c:v>
                </c:pt>
                <c:pt idx="5">
                  <c:v>Không ý kiến</c:v>
                </c:pt>
              </c:strCache>
            </c:strRef>
          </c:cat>
          <c:val>
            <c:numRef>
              <c:f>'Cau 1,2'!$C$47:$C$52</c:f>
              <c:numCache>
                <c:formatCode>#,000%</c:formatCode>
                <c:ptCount val="6"/>
                <c:pt idx="0">
                  <c:v>0.1506849315068495</c:v>
                </c:pt>
                <c:pt idx="1">
                  <c:v>0.30136986301370089</c:v>
                </c:pt>
                <c:pt idx="2">
                  <c:v>0.42465753424657499</c:v>
                </c:pt>
                <c:pt idx="3">
                  <c:v>0.10958904109589</c:v>
                </c:pt>
                <c:pt idx="5">
                  <c:v>1.3698630136986301E-2</c:v>
                </c:pt>
              </c:numCache>
            </c:numRef>
          </c:val>
        </c:ser>
        <c:ser>
          <c:idx val="1"/>
          <c:order val="1"/>
          <c:tx>
            <c:strRef>
              <c:f>'Cau 1,2'!$D$46</c:f>
              <c:strCache>
                <c:ptCount val="1"/>
                <c:pt idx="0">
                  <c:v>QIII/2013</c:v>
                </c:pt>
              </c:strCache>
            </c:strRef>
          </c:tx>
          <c:spPr>
            <a:solidFill>
              <a:srgbClr val="4F81BD"/>
            </a:solidFill>
          </c:spPr>
          <c:dLbls>
            <c:dLbl>
              <c:idx val="3"/>
              <c:layout>
                <c:manualLayout>
                  <c:x val="9.374267635341027E-2"/>
                  <c:y val="0"/>
                </c:manualLayout>
              </c:layout>
              <c:showVal val="1"/>
            </c:dLbl>
            <c:numFmt formatCode="0%" sourceLinked="0"/>
            <c:txPr>
              <a:bodyPr/>
              <a:lstStyle/>
              <a:p>
                <a:pPr>
                  <a:defRPr lang="en-US" sz="800"/>
                </a:pPr>
                <a:endParaRPr lang="en-US"/>
              </a:p>
            </c:txPr>
            <c:showVal val="1"/>
          </c:dLbls>
          <c:cat>
            <c:strRef>
              <c:f>'Cau 1,2'!$B$47:$B$52</c:f>
              <c:strCache>
                <c:ptCount val="6"/>
                <c:pt idx="0">
                  <c:v>Rất chặt</c:v>
                </c:pt>
                <c:pt idx="1">
                  <c:v>Chặt</c:v>
                </c:pt>
                <c:pt idx="2">
                  <c:v>Bình thường</c:v>
                </c:pt>
                <c:pt idx="3">
                  <c:v>Lỏng</c:v>
                </c:pt>
                <c:pt idx="4">
                  <c:v>Rất lỏng</c:v>
                </c:pt>
                <c:pt idx="5">
                  <c:v>Không ý kiến</c:v>
                </c:pt>
              </c:strCache>
            </c:strRef>
          </c:cat>
          <c:val>
            <c:numRef>
              <c:f>'Cau 1,2'!$D$47:$D$52</c:f>
              <c:numCache>
                <c:formatCode>#,000%</c:formatCode>
                <c:ptCount val="6"/>
                <c:pt idx="0">
                  <c:v>6.8493150684931503E-2</c:v>
                </c:pt>
                <c:pt idx="1">
                  <c:v>0.19178082191780788</c:v>
                </c:pt>
                <c:pt idx="2">
                  <c:v>0.35616438356164565</c:v>
                </c:pt>
                <c:pt idx="3">
                  <c:v>0.36986301369863106</c:v>
                </c:pt>
                <c:pt idx="4">
                  <c:v>1.3698630136986301E-2</c:v>
                </c:pt>
                <c:pt idx="5" formatCode="General">
                  <c:v>0</c:v>
                </c:pt>
              </c:numCache>
            </c:numRef>
          </c:val>
        </c:ser>
        <c:ser>
          <c:idx val="2"/>
          <c:order val="2"/>
          <c:tx>
            <c:strRef>
              <c:f>'Cau 1,2'!$E$46</c:f>
              <c:strCache>
                <c:ptCount val="1"/>
                <c:pt idx="0">
                  <c:v>Cả năm 2013</c:v>
                </c:pt>
              </c:strCache>
            </c:strRef>
          </c:tx>
          <c:spPr>
            <a:blipFill>
              <a:blip xmlns:r="http://schemas.openxmlformats.org/officeDocument/2006/relationships" r:embed="rId1"/>
              <a:tile tx="0" ty="0" sx="100000" sy="100000" flip="none" algn="tl"/>
            </a:blipFill>
            <a:ln>
              <a:solidFill>
                <a:sysClr val="windowText" lastClr="000000">
                  <a:tint val="75000"/>
                  <a:shade val="95000"/>
                  <a:satMod val="105000"/>
                </a:sysClr>
              </a:solidFill>
            </a:ln>
          </c:spPr>
          <c:dLbls>
            <c:dLbl>
              <c:idx val="0"/>
              <c:layout>
                <c:manualLayout>
                  <c:x val="7.4994141082727922E-2"/>
                  <c:y val="0"/>
                </c:manualLayout>
              </c:layout>
              <c:showVal val="1"/>
            </c:dLbl>
            <c:dLbl>
              <c:idx val="2"/>
              <c:layout>
                <c:manualLayout>
                  <c:x val="2.8122802906022974E-2"/>
                  <c:y val="0"/>
                </c:manualLayout>
              </c:layout>
              <c:showVal val="1"/>
            </c:dLbl>
            <c:numFmt formatCode="0%" sourceLinked="0"/>
            <c:txPr>
              <a:bodyPr/>
              <a:lstStyle/>
              <a:p>
                <a:pPr>
                  <a:defRPr lang="en-US" sz="800" b="1"/>
                </a:pPr>
                <a:endParaRPr lang="en-US"/>
              </a:p>
            </c:txPr>
            <c:showVal val="1"/>
          </c:dLbls>
          <c:cat>
            <c:strRef>
              <c:f>'Cau 1,2'!$B$47:$B$52</c:f>
              <c:strCache>
                <c:ptCount val="6"/>
                <c:pt idx="0">
                  <c:v>Rất chặt</c:v>
                </c:pt>
                <c:pt idx="1">
                  <c:v>Chặt</c:v>
                </c:pt>
                <c:pt idx="2">
                  <c:v>Bình thường</c:v>
                </c:pt>
                <c:pt idx="3">
                  <c:v>Lỏng</c:v>
                </c:pt>
                <c:pt idx="4">
                  <c:v>Rất lỏng</c:v>
                </c:pt>
                <c:pt idx="5">
                  <c:v>Không ý kiến</c:v>
                </c:pt>
              </c:strCache>
            </c:strRef>
          </c:cat>
          <c:val>
            <c:numRef>
              <c:f>'Cau 1,2'!$E$47:$E$52</c:f>
              <c:numCache>
                <c:formatCode>#,000%</c:formatCode>
                <c:ptCount val="6"/>
                <c:pt idx="0">
                  <c:v>6.8493150684931503E-2</c:v>
                </c:pt>
                <c:pt idx="1">
                  <c:v>0.12328767123287702</c:v>
                </c:pt>
                <c:pt idx="2">
                  <c:v>0.41095890410959024</c:v>
                </c:pt>
                <c:pt idx="3">
                  <c:v>0.36986301369863106</c:v>
                </c:pt>
                <c:pt idx="4">
                  <c:v>1.3698630136986301E-2</c:v>
                </c:pt>
                <c:pt idx="5">
                  <c:v>1.3698630136986301E-2</c:v>
                </c:pt>
              </c:numCache>
            </c:numRef>
          </c:val>
        </c:ser>
        <c:shape val="cylinder"/>
        <c:axId val="65854080"/>
        <c:axId val="76702080"/>
        <c:axId val="0"/>
      </c:bar3DChart>
      <c:catAx>
        <c:axId val="65854080"/>
        <c:scaling>
          <c:orientation val="minMax"/>
        </c:scaling>
        <c:axPos val="l"/>
        <c:tickLblPos val="nextTo"/>
        <c:txPr>
          <a:bodyPr/>
          <a:lstStyle/>
          <a:p>
            <a:pPr>
              <a:defRPr lang="en-US" sz="900"/>
            </a:pPr>
            <a:endParaRPr lang="en-US"/>
          </a:p>
        </c:txPr>
        <c:crossAx val="76702080"/>
        <c:crosses val="autoZero"/>
        <c:auto val="1"/>
        <c:lblAlgn val="ctr"/>
        <c:lblOffset val="100"/>
      </c:catAx>
      <c:valAx>
        <c:axId val="76702080"/>
        <c:scaling>
          <c:orientation val="minMax"/>
        </c:scaling>
        <c:axPos val="b"/>
        <c:numFmt formatCode="0%" sourceLinked="0"/>
        <c:tickLblPos val="nextTo"/>
        <c:txPr>
          <a:bodyPr/>
          <a:lstStyle/>
          <a:p>
            <a:pPr>
              <a:defRPr lang="en-US" sz="900" b="1"/>
            </a:pPr>
            <a:endParaRPr lang="en-US"/>
          </a:p>
        </c:txPr>
        <c:crossAx val="65854080"/>
        <c:crosses val="autoZero"/>
        <c:crossBetween val="between"/>
      </c:valAx>
      <c:spPr>
        <a:noFill/>
        <a:ln>
          <a:noFill/>
        </a:ln>
      </c:spPr>
    </c:plotArea>
    <c:legend>
      <c:legendPos val="r"/>
      <c:layout>
        <c:manualLayout>
          <c:xMode val="edge"/>
          <c:yMode val="edge"/>
          <c:x val="2.7375328083989875E-3"/>
          <c:y val="0.87442403032954585"/>
          <c:w val="0.98892913385826753"/>
          <c:h val="0.12152194517352044"/>
        </c:manualLayout>
      </c:layout>
      <c:txPr>
        <a:bodyPr/>
        <a:lstStyle/>
        <a:p>
          <a:pPr>
            <a:defRPr lang="en-US" sz="900"/>
          </a:pPr>
          <a:endParaRPr lang="en-US"/>
        </a:p>
      </c:txPr>
    </c:legend>
    <c:plotVisOnly val="1"/>
  </c:chart>
  <c:spPr>
    <a:noFill/>
    <a:ln w="0">
      <a:noFill/>
    </a:ln>
  </c:spPr>
  <c:txPr>
    <a:bodyPr/>
    <a:lstStyle/>
    <a:p>
      <a:pPr>
        <a:defRPr>
          <a:latin typeface="Times New Roman" pitchFamily="18" charset="0"/>
          <a:cs typeface="Times New Roman"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Bank of Vietnam</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Phuong</dc:creator>
  <cp:keywords/>
  <dc:description/>
  <cp:lastModifiedBy>Hoang Viet Phuong</cp:lastModifiedBy>
  <cp:revision>17</cp:revision>
  <cp:lastPrinted>2010-03-11T15:39:00Z</cp:lastPrinted>
  <dcterms:created xsi:type="dcterms:W3CDTF">2013-06-18T09:36:00Z</dcterms:created>
  <dcterms:modified xsi:type="dcterms:W3CDTF">2010-03-10T18:52:00Z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SBV241002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243429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http://webcenter-app01:16200/cs/idcplg?IdcService=DESKTOP_DOC_INFO&amp;dDocName=SBV241002&amp;dID=243429&amp;ClientControlled=DocMan,taskpane&amp;coreContentOnly=1</vt:lpwstr>
  </property>
</Properties>
</file>