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4EECB" w14:textId="10756EAA" w:rsidR="00596E2A" w:rsidRDefault="00596E2A" w:rsidP="008D6D08">
      <w:pPr>
        <w:jc w:val="center"/>
        <w:rPr>
          <w:b/>
          <w:sz w:val="28"/>
          <w:szCs w:val="28"/>
        </w:rPr>
      </w:pPr>
      <w:bookmarkStart w:id="0" w:name="_GoBack"/>
      <w:bookmarkEnd w:id="0"/>
      <w:r>
        <w:rPr>
          <w:b/>
          <w:sz w:val="28"/>
          <w:szCs w:val="28"/>
        </w:rPr>
        <w:t xml:space="preserve">BẢNG </w:t>
      </w:r>
      <w:r w:rsidR="00F33042" w:rsidRPr="001C40B4">
        <w:rPr>
          <w:b/>
          <w:sz w:val="28"/>
          <w:szCs w:val="28"/>
        </w:rPr>
        <w:t xml:space="preserve">TỔNG HỢP </w:t>
      </w:r>
      <w:r w:rsidR="004E647B">
        <w:rPr>
          <w:b/>
          <w:sz w:val="28"/>
          <w:szCs w:val="28"/>
        </w:rPr>
        <w:t xml:space="preserve">GIẢI ĐÁP </w:t>
      </w:r>
      <w:r w:rsidR="00E3556F" w:rsidRPr="001C40B4">
        <w:rPr>
          <w:b/>
          <w:sz w:val="28"/>
          <w:szCs w:val="28"/>
        </w:rPr>
        <w:t xml:space="preserve">VƯỚNG MẮC </w:t>
      </w:r>
      <w:r w:rsidR="00682E51" w:rsidRPr="001C40B4">
        <w:rPr>
          <w:b/>
          <w:sz w:val="28"/>
          <w:szCs w:val="28"/>
        </w:rPr>
        <w:t xml:space="preserve">THÔNG TƯ </w:t>
      </w:r>
      <w:r w:rsidR="00CC065C" w:rsidRPr="001C40B4">
        <w:rPr>
          <w:b/>
          <w:sz w:val="28"/>
          <w:szCs w:val="28"/>
        </w:rPr>
        <w:t>11</w:t>
      </w:r>
      <w:r w:rsidR="00E3556F" w:rsidRPr="001C40B4">
        <w:rPr>
          <w:b/>
          <w:sz w:val="28"/>
          <w:szCs w:val="28"/>
        </w:rPr>
        <w:t>/201</w:t>
      </w:r>
      <w:r w:rsidR="00CC065C" w:rsidRPr="001C40B4">
        <w:rPr>
          <w:b/>
          <w:sz w:val="28"/>
          <w:szCs w:val="28"/>
        </w:rPr>
        <w:t>8</w:t>
      </w:r>
      <w:r w:rsidR="008E38EF" w:rsidRPr="001C40B4">
        <w:rPr>
          <w:b/>
          <w:sz w:val="28"/>
          <w:szCs w:val="28"/>
        </w:rPr>
        <w:t>/TT-NHNN</w:t>
      </w:r>
    </w:p>
    <w:p w14:paraId="69925559" w14:textId="49F98227" w:rsidR="00F120BE" w:rsidRPr="001C40B4" w:rsidRDefault="004D25C7" w:rsidP="008D6D08">
      <w:pPr>
        <w:jc w:val="center"/>
        <w:rPr>
          <w:b/>
          <w:sz w:val="28"/>
          <w:szCs w:val="28"/>
        </w:rPr>
      </w:pPr>
      <w:r w:rsidRPr="001C40B4">
        <w:rPr>
          <w:b/>
          <w:sz w:val="28"/>
          <w:szCs w:val="28"/>
        </w:rPr>
        <w:t>VÀ CÔNG VĂN 3941/NHNN-DBTK</w:t>
      </w:r>
      <w:r w:rsidR="00F009EB">
        <w:rPr>
          <w:b/>
          <w:sz w:val="28"/>
          <w:szCs w:val="28"/>
        </w:rPr>
        <w:t xml:space="preserve"> (Lần 2)</w:t>
      </w:r>
    </w:p>
    <w:p w14:paraId="2DE12122" w14:textId="77777777" w:rsidR="00810610" w:rsidRPr="001C40B4" w:rsidRDefault="00810610" w:rsidP="008D6D08">
      <w:pPr>
        <w:jc w:val="center"/>
        <w:rPr>
          <w:b/>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5954"/>
        <w:gridCol w:w="1417"/>
        <w:gridCol w:w="5528"/>
      </w:tblGrid>
      <w:tr w:rsidR="00433883" w:rsidRPr="00BD51C1" w14:paraId="3455B5AF" w14:textId="2CCE5EE4" w:rsidTr="00465075">
        <w:trPr>
          <w:trHeight w:val="397"/>
        </w:trPr>
        <w:tc>
          <w:tcPr>
            <w:tcW w:w="709" w:type="dxa"/>
            <w:shd w:val="clear" w:color="auto" w:fill="auto"/>
            <w:vAlign w:val="center"/>
          </w:tcPr>
          <w:p w14:paraId="30C0DB1C" w14:textId="77777777" w:rsidR="00433883" w:rsidRPr="00BD51C1" w:rsidRDefault="00433883" w:rsidP="004C0292">
            <w:pPr>
              <w:spacing w:before="60" w:after="60" w:line="276" w:lineRule="auto"/>
              <w:jc w:val="center"/>
              <w:rPr>
                <w:b/>
              </w:rPr>
            </w:pPr>
            <w:r w:rsidRPr="00BD51C1">
              <w:rPr>
                <w:b/>
              </w:rPr>
              <w:t>STT</w:t>
            </w:r>
          </w:p>
        </w:tc>
        <w:tc>
          <w:tcPr>
            <w:tcW w:w="1701" w:type="dxa"/>
            <w:shd w:val="clear" w:color="auto" w:fill="auto"/>
            <w:vAlign w:val="center"/>
          </w:tcPr>
          <w:p w14:paraId="71A29F21" w14:textId="77777777" w:rsidR="00433883" w:rsidRPr="00BD51C1" w:rsidRDefault="00433883" w:rsidP="004C0292">
            <w:pPr>
              <w:spacing w:before="60" w:after="60" w:line="276" w:lineRule="auto"/>
              <w:jc w:val="center"/>
            </w:pPr>
            <w:r w:rsidRPr="00BD51C1">
              <w:rPr>
                <w:b/>
              </w:rPr>
              <w:t>Mẫu biểu</w:t>
            </w:r>
          </w:p>
        </w:tc>
        <w:tc>
          <w:tcPr>
            <w:tcW w:w="5954" w:type="dxa"/>
            <w:vAlign w:val="center"/>
          </w:tcPr>
          <w:p w14:paraId="06BFACA7" w14:textId="22F32F31" w:rsidR="00433883" w:rsidRPr="00BD51C1" w:rsidRDefault="00433883" w:rsidP="004C0292">
            <w:pPr>
              <w:spacing w:before="60" w:after="60" w:line="276" w:lineRule="auto"/>
              <w:jc w:val="center"/>
              <w:rPr>
                <w:b/>
              </w:rPr>
            </w:pPr>
            <w:r w:rsidRPr="00BD51C1">
              <w:rPr>
                <w:b/>
              </w:rPr>
              <w:t>Nội dung</w:t>
            </w:r>
            <w:r w:rsidR="00ED20FC" w:rsidRPr="00BD51C1">
              <w:rPr>
                <w:b/>
              </w:rPr>
              <w:t xml:space="preserve"> vướng mắc</w:t>
            </w:r>
          </w:p>
        </w:tc>
        <w:tc>
          <w:tcPr>
            <w:tcW w:w="1417" w:type="dxa"/>
            <w:shd w:val="clear" w:color="auto" w:fill="auto"/>
            <w:vAlign w:val="center"/>
          </w:tcPr>
          <w:p w14:paraId="4AA2B0DC" w14:textId="77777777" w:rsidR="00ED20FC" w:rsidRPr="00BD51C1" w:rsidRDefault="00433883" w:rsidP="004C0292">
            <w:pPr>
              <w:spacing w:before="60" w:after="60" w:line="276" w:lineRule="auto"/>
              <w:jc w:val="center"/>
              <w:rPr>
                <w:b/>
              </w:rPr>
            </w:pPr>
            <w:r w:rsidRPr="00BD51C1">
              <w:rPr>
                <w:b/>
              </w:rPr>
              <w:t xml:space="preserve">Đơn vị </w:t>
            </w:r>
          </w:p>
          <w:p w14:paraId="024F394B" w14:textId="5E67D025" w:rsidR="00433883" w:rsidRPr="00BD51C1" w:rsidRDefault="00433883" w:rsidP="004C0292">
            <w:pPr>
              <w:spacing w:before="60" w:after="60" w:line="276" w:lineRule="auto"/>
              <w:jc w:val="center"/>
            </w:pPr>
            <w:r w:rsidRPr="00BD51C1">
              <w:rPr>
                <w:b/>
              </w:rPr>
              <w:t>ý kiến</w:t>
            </w:r>
          </w:p>
        </w:tc>
        <w:tc>
          <w:tcPr>
            <w:tcW w:w="5528" w:type="dxa"/>
            <w:vAlign w:val="center"/>
          </w:tcPr>
          <w:p w14:paraId="041B0CDA" w14:textId="666626AB" w:rsidR="00433883" w:rsidRPr="00BD51C1" w:rsidRDefault="00ED20FC" w:rsidP="004C0292">
            <w:pPr>
              <w:spacing w:before="60" w:after="60" w:line="276" w:lineRule="auto"/>
              <w:jc w:val="center"/>
              <w:rPr>
                <w:b/>
              </w:rPr>
            </w:pPr>
            <w:r w:rsidRPr="00BD51C1">
              <w:rPr>
                <w:b/>
              </w:rPr>
              <w:t>Giải đáp</w:t>
            </w:r>
          </w:p>
        </w:tc>
      </w:tr>
      <w:tr w:rsidR="00433883" w:rsidRPr="00BD51C1" w14:paraId="04B21699" w14:textId="1CC8BE45" w:rsidTr="00465075">
        <w:trPr>
          <w:trHeight w:val="397"/>
        </w:trPr>
        <w:tc>
          <w:tcPr>
            <w:tcW w:w="709" w:type="dxa"/>
            <w:shd w:val="clear" w:color="auto" w:fill="auto"/>
            <w:vAlign w:val="center"/>
          </w:tcPr>
          <w:p w14:paraId="5727C055" w14:textId="77777777" w:rsidR="00433883" w:rsidRPr="00BD51C1" w:rsidRDefault="00433883" w:rsidP="004C0292">
            <w:pPr>
              <w:spacing w:before="60" w:after="60" w:line="276" w:lineRule="auto"/>
              <w:jc w:val="center"/>
              <w:rPr>
                <w:i/>
              </w:rPr>
            </w:pPr>
            <w:r w:rsidRPr="00BD51C1">
              <w:rPr>
                <w:i/>
              </w:rPr>
              <w:t>(1)</w:t>
            </w:r>
          </w:p>
        </w:tc>
        <w:tc>
          <w:tcPr>
            <w:tcW w:w="1701" w:type="dxa"/>
            <w:shd w:val="clear" w:color="auto" w:fill="auto"/>
            <w:vAlign w:val="center"/>
          </w:tcPr>
          <w:p w14:paraId="2B0A71D8" w14:textId="77777777" w:rsidR="00433883" w:rsidRPr="00BD51C1" w:rsidRDefault="00433883" w:rsidP="004C0292">
            <w:pPr>
              <w:spacing w:before="60" w:after="60" w:line="276" w:lineRule="auto"/>
              <w:jc w:val="center"/>
              <w:rPr>
                <w:i/>
              </w:rPr>
            </w:pPr>
            <w:r w:rsidRPr="00BD51C1">
              <w:rPr>
                <w:i/>
              </w:rPr>
              <w:t>(2)</w:t>
            </w:r>
          </w:p>
        </w:tc>
        <w:tc>
          <w:tcPr>
            <w:tcW w:w="5954" w:type="dxa"/>
            <w:vAlign w:val="center"/>
          </w:tcPr>
          <w:p w14:paraId="4ABE33B3" w14:textId="4359B44E" w:rsidR="00433883" w:rsidRPr="00BD51C1" w:rsidRDefault="00433883" w:rsidP="004C0292">
            <w:pPr>
              <w:spacing w:before="60" w:after="60" w:line="276" w:lineRule="auto"/>
              <w:jc w:val="center"/>
              <w:rPr>
                <w:i/>
              </w:rPr>
            </w:pPr>
            <w:r w:rsidRPr="00BD51C1">
              <w:rPr>
                <w:i/>
              </w:rPr>
              <w:t>(3)</w:t>
            </w:r>
          </w:p>
        </w:tc>
        <w:tc>
          <w:tcPr>
            <w:tcW w:w="1417" w:type="dxa"/>
            <w:shd w:val="clear" w:color="auto" w:fill="auto"/>
            <w:vAlign w:val="center"/>
          </w:tcPr>
          <w:p w14:paraId="7DD237C2" w14:textId="77777777" w:rsidR="00433883" w:rsidRPr="00BD51C1" w:rsidRDefault="00433883" w:rsidP="004C0292">
            <w:pPr>
              <w:spacing w:before="60" w:after="60" w:line="276" w:lineRule="auto"/>
              <w:jc w:val="center"/>
              <w:rPr>
                <w:i/>
              </w:rPr>
            </w:pPr>
            <w:r w:rsidRPr="00BD51C1">
              <w:rPr>
                <w:i/>
              </w:rPr>
              <w:t>(4)</w:t>
            </w:r>
          </w:p>
        </w:tc>
        <w:tc>
          <w:tcPr>
            <w:tcW w:w="5528" w:type="dxa"/>
          </w:tcPr>
          <w:p w14:paraId="5C3823F2" w14:textId="51195440" w:rsidR="00433883" w:rsidRPr="00BD51C1" w:rsidRDefault="00596E2A" w:rsidP="004C0292">
            <w:pPr>
              <w:spacing w:before="60" w:after="60" w:line="276" w:lineRule="auto"/>
              <w:jc w:val="center"/>
              <w:rPr>
                <w:i/>
              </w:rPr>
            </w:pPr>
            <w:r>
              <w:rPr>
                <w:i/>
              </w:rPr>
              <w:t>(5</w:t>
            </w:r>
            <w:r w:rsidRPr="00BD51C1">
              <w:rPr>
                <w:i/>
              </w:rPr>
              <w:t>)</w:t>
            </w:r>
          </w:p>
        </w:tc>
      </w:tr>
      <w:tr w:rsidR="00433883" w:rsidRPr="00BD51C1" w14:paraId="5BC78BE8" w14:textId="70C7F4AB" w:rsidTr="002D1F76">
        <w:trPr>
          <w:trHeight w:val="397"/>
        </w:trPr>
        <w:tc>
          <w:tcPr>
            <w:tcW w:w="709" w:type="dxa"/>
            <w:shd w:val="clear" w:color="auto" w:fill="C6D9F1" w:themeFill="text2" w:themeFillTint="33"/>
            <w:vAlign w:val="center"/>
          </w:tcPr>
          <w:p w14:paraId="3F19AEA5" w14:textId="77777777" w:rsidR="00433883" w:rsidRPr="00BD51C1" w:rsidRDefault="00433883" w:rsidP="004C0292">
            <w:pPr>
              <w:spacing w:before="60" w:after="60" w:line="276" w:lineRule="auto"/>
              <w:jc w:val="center"/>
              <w:rPr>
                <w:b/>
              </w:rPr>
            </w:pPr>
            <w:r w:rsidRPr="00BD51C1">
              <w:rPr>
                <w:b/>
              </w:rPr>
              <w:t>I</w:t>
            </w:r>
          </w:p>
        </w:tc>
        <w:tc>
          <w:tcPr>
            <w:tcW w:w="9072" w:type="dxa"/>
            <w:gridSpan w:val="3"/>
            <w:shd w:val="clear" w:color="auto" w:fill="C6D9F1" w:themeFill="text2" w:themeFillTint="33"/>
            <w:vAlign w:val="center"/>
          </w:tcPr>
          <w:p w14:paraId="574DB938" w14:textId="0DFCCE5D" w:rsidR="00433883" w:rsidRPr="00BD51C1" w:rsidRDefault="002B5B79" w:rsidP="004C0292">
            <w:pPr>
              <w:spacing w:before="60" w:after="60" w:line="276" w:lineRule="auto"/>
              <w:rPr>
                <w:b/>
              </w:rPr>
            </w:pPr>
            <w:r>
              <w:rPr>
                <w:b/>
              </w:rPr>
              <w:t>Thông tư 11</w:t>
            </w:r>
          </w:p>
        </w:tc>
        <w:tc>
          <w:tcPr>
            <w:tcW w:w="5528" w:type="dxa"/>
            <w:shd w:val="clear" w:color="auto" w:fill="C6D9F1" w:themeFill="text2" w:themeFillTint="33"/>
          </w:tcPr>
          <w:p w14:paraId="42024AB1" w14:textId="77777777" w:rsidR="00433883" w:rsidRPr="00BD51C1" w:rsidRDefault="00433883" w:rsidP="004C0292">
            <w:pPr>
              <w:spacing w:before="60" w:after="60" w:line="276" w:lineRule="auto"/>
              <w:jc w:val="both"/>
              <w:rPr>
                <w:b/>
              </w:rPr>
            </w:pPr>
          </w:p>
        </w:tc>
      </w:tr>
      <w:tr w:rsidR="00EE6DE9" w:rsidRPr="00861F01" w14:paraId="2F8DFA0C" w14:textId="77777777" w:rsidTr="00465075">
        <w:trPr>
          <w:trHeight w:val="397"/>
        </w:trPr>
        <w:tc>
          <w:tcPr>
            <w:tcW w:w="709" w:type="dxa"/>
            <w:shd w:val="clear" w:color="auto" w:fill="auto"/>
            <w:vAlign w:val="center"/>
          </w:tcPr>
          <w:p w14:paraId="5B9592AC" w14:textId="40B2678C" w:rsidR="00EE6DE9" w:rsidRPr="00EE6DE9" w:rsidRDefault="00EE6DE9" w:rsidP="004C0292">
            <w:pPr>
              <w:spacing w:before="60" w:after="60" w:line="276" w:lineRule="auto"/>
              <w:jc w:val="center"/>
            </w:pPr>
            <w:r w:rsidRPr="00EE6DE9">
              <w:t>1</w:t>
            </w:r>
          </w:p>
        </w:tc>
        <w:tc>
          <w:tcPr>
            <w:tcW w:w="1701" w:type="dxa"/>
            <w:shd w:val="clear" w:color="auto" w:fill="auto"/>
            <w:vAlign w:val="center"/>
          </w:tcPr>
          <w:p w14:paraId="1428A48F" w14:textId="59FF8D1C" w:rsidR="00EE6DE9" w:rsidRPr="00EE6DE9" w:rsidRDefault="00EE6DE9" w:rsidP="004C0292">
            <w:pPr>
              <w:spacing w:before="60" w:after="60" w:line="276" w:lineRule="auto"/>
            </w:pPr>
            <w:r w:rsidRPr="00EE6DE9">
              <w:t>006.1-DBTK</w:t>
            </w:r>
          </w:p>
        </w:tc>
        <w:tc>
          <w:tcPr>
            <w:tcW w:w="5954" w:type="dxa"/>
            <w:vAlign w:val="center"/>
          </w:tcPr>
          <w:p w14:paraId="6B083868" w14:textId="46823FEA" w:rsidR="00EE6DE9" w:rsidRPr="00EE6DE9" w:rsidRDefault="00EE6DE9" w:rsidP="004C0292">
            <w:pPr>
              <w:shd w:val="clear" w:color="auto" w:fill="FFFFFF"/>
              <w:spacing w:before="60" w:after="60" w:line="276" w:lineRule="auto"/>
              <w:jc w:val="both"/>
              <w:rPr>
                <w:color w:val="212121"/>
              </w:rPr>
            </w:pPr>
            <w:r w:rsidRPr="00EE6DE9">
              <w:rPr>
                <w:color w:val="212121"/>
              </w:rPr>
              <w:t>- Bảo lãnh xuất khẩu/nhập khẩu (tại cột số 6) được hiểu như thế nào?</w:t>
            </w:r>
            <w:r>
              <w:rPr>
                <w:color w:val="212121"/>
              </w:rPr>
              <w:t xml:space="preserve"> </w:t>
            </w:r>
            <w:r w:rsidRPr="00EE6DE9">
              <w:rPr>
                <w:color w:val="212121"/>
              </w:rPr>
              <w:t>L/C xuất khẩu yêu cầu báo cáo trong biểu này được hiểu như thế nào?</w:t>
            </w:r>
          </w:p>
          <w:p w14:paraId="763DADC7" w14:textId="0DDACE4D" w:rsidR="00EE6DE9" w:rsidRPr="00EE6DE9" w:rsidRDefault="00EE6DE9" w:rsidP="004C0292">
            <w:pPr>
              <w:shd w:val="clear" w:color="auto" w:fill="FFFFFF"/>
              <w:spacing w:before="60" w:after="60" w:line="276" w:lineRule="auto"/>
              <w:jc w:val="both"/>
            </w:pPr>
            <w:r>
              <w:rPr>
                <w:color w:val="212121"/>
              </w:rPr>
              <w:t xml:space="preserve">- </w:t>
            </w:r>
            <w:r w:rsidRPr="00EE6DE9">
              <w:rPr>
                <w:color w:val="212121"/>
              </w:rPr>
              <w:t>Hiện tại, OceanBank có phát sinh một số khoản thu hộ cho một số khách hàng có hàng xuất khẩu thông qua L/C do ngân hàng của đối tác nước ngoài phát hành, những L/C này có được hiểu là L/C xuất khẩu không? </w:t>
            </w:r>
          </w:p>
        </w:tc>
        <w:tc>
          <w:tcPr>
            <w:tcW w:w="1417" w:type="dxa"/>
            <w:shd w:val="clear" w:color="auto" w:fill="auto"/>
            <w:vAlign w:val="center"/>
          </w:tcPr>
          <w:p w14:paraId="3740B576" w14:textId="184615CD" w:rsidR="00EE6DE9" w:rsidRPr="00EE6DE9" w:rsidRDefault="00EE6DE9" w:rsidP="004C0292">
            <w:pPr>
              <w:spacing w:before="60" w:after="60" w:line="276" w:lineRule="auto"/>
              <w:jc w:val="center"/>
            </w:pPr>
            <w:r w:rsidRPr="00EE6DE9">
              <w:t>Ngân hàng Đại Dương</w:t>
            </w:r>
          </w:p>
        </w:tc>
        <w:tc>
          <w:tcPr>
            <w:tcW w:w="5528" w:type="dxa"/>
          </w:tcPr>
          <w:p w14:paraId="49E15B69" w14:textId="4D914A55" w:rsidR="00EE6DE9" w:rsidRPr="00EE6DE9" w:rsidRDefault="00EE6DE9" w:rsidP="004C0292">
            <w:pPr>
              <w:spacing w:before="60" w:after="60" w:line="276" w:lineRule="auto"/>
              <w:jc w:val="both"/>
              <w:rPr>
                <w:color w:val="000000"/>
              </w:rPr>
            </w:pPr>
            <w:r w:rsidRPr="00EE6DE9">
              <w:rPr>
                <w:color w:val="000000"/>
              </w:rPr>
              <w:t>TCTD căn cứ phần hướng dẫn lập báo cáo:</w:t>
            </w:r>
          </w:p>
          <w:p w14:paraId="789037B3" w14:textId="7F147FB8" w:rsidR="00EE6DE9" w:rsidRPr="00EE6DE9" w:rsidRDefault="00A31373" w:rsidP="004C0292">
            <w:pPr>
              <w:spacing w:before="60" w:after="60" w:line="276" w:lineRule="auto"/>
              <w:jc w:val="both"/>
              <w:rPr>
                <w:color w:val="000000"/>
              </w:rPr>
            </w:pPr>
            <w:r>
              <w:rPr>
                <w:color w:val="000000"/>
              </w:rPr>
              <w:t>-</w:t>
            </w:r>
            <w:r w:rsidR="00EE6DE9" w:rsidRPr="00EE6DE9">
              <w:rPr>
                <w:color w:val="000000"/>
              </w:rPr>
              <w:t xml:space="preserve"> Thống kê số dư bảo lãnh và thư tín dụng (L/C) đối với các tổ chức và cá nhân là Người cư trú của Việt Nam (không bao gồm tổ chức tín dụng khác)</w:t>
            </w:r>
            <w:r w:rsidR="00EE6DE9" w:rsidRPr="00EE6DE9">
              <w:rPr>
                <w:rStyle w:val="apple-converted-space"/>
                <w:color w:val="000000"/>
              </w:rPr>
              <w:t> </w:t>
            </w:r>
            <w:r w:rsidR="00EE6DE9" w:rsidRPr="00EE6DE9">
              <w:rPr>
                <w:b/>
                <w:bCs/>
                <w:color w:val="000000"/>
              </w:rPr>
              <w:t>phục vụ cho hoạt động đầu tư, sản xuất kinh doanh hàng hóa và dịch vụ xuất, nhập khẩu</w:t>
            </w:r>
            <w:r w:rsidR="00EE6DE9" w:rsidRPr="00EE6DE9">
              <w:rPr>
                <w:color w:val="000000"/>
              </w:rPr>
              <w:t>.</w:t>
            </w:r>
            <w:r w:rsidR="00EE6DE9">
              <w:rPr>
                <w:color w:val="000000"/>
              </w:rPr>
              <w:t xml:space="preserve"> </w:t>
            </w:r>
          </w:p>
          <w:p w14:paraId="4FB5CEFA" w14:textId="5074BE70" w:rsidR="00EE6DE9" w:rsidRPr="00EE6DE9" w:rsidRDefault="00A31373" w:rsidP="004C0292">
            <w:pPr>
              <w:spacing w:before="60" w:after="60" w:line="276" w:lineRule="auto"/>
              <w:jc w:val="both"/>
              <w:rPr>
                <w:color w:val="000000"/>
              </w:rPr>
            </w:pPr>
            <w:r>
              <w:rPr>
                <w:color w:val="000000"/>
              </w:rPr>
              <w:t xml:space="preserve">- </w:t>
            </w:r>
            <w:r w:rsidR="00EE6DE9" w:rsidRPr="00EE6DE9">
              <w:rPr>
                <w:color w:val="000000"/>
              </w:rPr>
              <w:t xml:space="preserve">Hoạt động thu hộ khách hàng không phải là hoạt động cấp tín dụng nên không thống kê vào biểu này. Do đó, nếu đơn vị </w:t>
            </w:r>
            <w:r w:rsidR="00EE6DE9" w:rsidRPr="00EE6DE9">
              <w:rPr>
                <w:color w:val="212121"/>
              </w:rPr>
              <w:t xml:space="preserve">có phát sinh một số khoản thu hộ cho một số khách hàng có hàng xuất khẩu thông qua L/C do ngân hàng của đối tác nước ngoài phát hành, những L/C này </w:t>
            </w:r>
            <w:r w:rsidR="00EE6DE9" w:rsidRPr="00EE6DE9">
              <w:rPr>
                <w:b/>
                <w:color w:val="212121"/>
              </w:rPr>
              <w:t>không</w:t>
            </w:r>
            <w:r w:rsidR="00EE6DE9" w:rsidRPr="00EE6DE9">
              <w:rPr>
                <w:color w:val="212121"/>
              </w:rPr>
              <w:t xml:space="preserve"> được </w:t>
            </w:r>
            <w:r w:rsidR="00EE6DE9">
              <w:rPr>
                <w:color w:val="212121"/>
              </w:rPr>
              <w:t>thống kê tại biểu này</w:t>
            </w:r>
            <w:r w:rsidR="00EE6DE9" w:rsidRPr="00EE6DE9">
              <w:rPr>
                <w:color w:val="212121"/>
              </w:rPr>
              <w:t>.</w:t>
            </w:r>
          </w:p>
          <w:p w14:paraId="487E479C" w14:textId="0BB82870" w:rsidR="00EE6DE9" w:rsidRPr="00861F01" w:rsidRDefault="00EE6DE9" w:rsidP="004C0292">
            <w:pPr>
              <w:spacing w:before="60" w:after="60" w:line="276" w:lineRule="auto"/>
              <w:jc w:val="both"/>
            </w:pPr>
            <w:r w:rsidRPr="00EE6DE9">
              <w:rPr>
                <w:color w:val="000000"/>
              </w:rPr>
              <w:t>(Tuy nhiên TCTD lưu ý báo cáo có yêu cầu thống kê các khoản mở L/C để nhập khẩu hàng hóa phục vụ sản xuất hàng xuất khẩu).</w:t>
            </w:r>
          </w:p>
        </w:tc>
      </w:tr>
      <w:tr w:rsidR="00EE6DE9" w:rsidRPr="00FC0DA8" w14:paraId="39BF1AA0" w14:textId="4E1B9E7D" w:rsidTr="00465075">
        <w:trPr>
          <w:trHeight w:val="397"/>
        </w:trPr>
        <w:tc>
          <w:tcPr>
            <w:tcW w:w="709" w:type="dxa"/>
            <w:shd w:val="clear" w:color="auto" w:fill="auto"/>
            <w:vAlign w:val="center"/>
          </w:tcPr>
          <w:p w14:paraId="1486728B" w14:textId="54F3BFA0" w:rsidR="00EE6DE9" w:rsidRPr="00FC0DA8" w:rsidRDefault="00EE6DE9" w:rsidP="004C0292">
            <w:pPr>
              <w:spacing w:before="60" w:after="60" w:line="276" w:lineRule="auto"/>
              <w:jc w:val="center"/>
            </w:pPr>
            <w:r w:rsidRPr="00FC0DA8">
              <w:t>2</w:t>
            </w:r>
          </w:p>
        </w:tc>
        <w:tc>
          <w:tcPr>
            <w:tcW w:w="1701" w:type="dxa"/>
            <w:shd w:val="clear" w:color="auto" w:fill="auto"/>
            <w:vAlign w:val="center"/>
          </w:tcPr>
          <w:p w14:paraId="04E4F0ED" w14:textId="490DCAE1" w:rsidR="00EE6DE9" w:rsidRPr="00FC0DA8" w:rsidRDefault="00EE6DE9" w:rsidP="004C0292">
            <w:pPr>
              <w:spacing w:before="60" w:after="60" w:line="276" w:lineRule="auto"/>
            </w:pPr>
            <w:r w:rsidRPr="00FC0DA8">
              <w:t>009-TD</w:t>
            </w:r>
          </w:p>
        </w:tc>
        <w:tc>
          <w:tcPr>
            <w:tcW w:w="5954" w:type="dxa"/>
            <w:vAlign w:val="center"/>
          </w:tcPr>
          <w:p w14:paraId="507BFA01" w14:textId="77777777" w:rsidR="00EE6DE9" w:rsidRPr="00FC0DA8" w:rsidRDefault="00EE6DE9" w:rsidP="004C0292">
            <w:pPr>
              <w:spacing w:before="60" w:after="60" w:line="276" w:lineRule="auto"/>
              <w:jc w:val="both"/>
            </w:pPr>
            <w:r w:rsidRPr="00FC0DA8">
              <w:t>Ngành nghề của các mục đích sau: Mua máy móc phục vụ trồng trọt; Đóng mới, nâng cấp, cải hoán tàu phục vụ khai thác và dịch vụ hậu cần khai thác; Sản xuất, nhập khẩu phân bón nên được xếp vào ngành nghề theo mục đích khoản vay nào?</w:t>
            </w:r>
          </w:p>
          <w:p w14:paraId="5DFB70F0" w14:textId="6DFA7958" w:rsidR="00EE6DE9" w:rsidRPr="00FC0DA8" w:rsidRDefault="00EE6DE9" w:rsidP="004C0292">
            <w:pPr>
              <w:spacing w:before="60" w:after="60" w:line="276" w:lineRule="auto"/>
              <w:jc w:val="both"/>
            </w:pPr>
            <w:r w:rsidRPr="00FC0DA8">
              <w:lastRenderedPageBreak/>
              <w:t xml:space="preserve">Các mục trên được xếp vào mục nào tại Biểu </w:t>
            </w:r>
            <w:r w:rsidRPr="00FC0DA8">
              <w:rPr>
                <w:lang w:val="vi-VN"/>
              </w:rPr>
              <w:t>009-TD</w:t>
            </w:r>
            <w:r w:rsidR="00FC0DA8">
              <w:t>?</w:t>
            </w:r>
          </w:p>
        </w:tc>
        <w:tc>
          <w:tcPr>
            <w:tcW w:w="1417" w:type="dxa"/>
            <w:shd w:val="clear" w:color="auto" w:fill="auto"/>
            <w:vAlign w:val="center"/>
          </w:tcPr>
          <w:p w14:paraId="5082A173" w14:textId="77777777" w:rsidR="00EE6DE9" w:rsidRPr="00FC0DA8" w:rsidRDefault="00EE6DE9" w:rsidP="004C0292">
            <w:pPr>
              <w:spacing w:before="60" w:after="60" w:line="276" w:lineRule="auto"/>
              <w:jc w:val="center"/>
            </w:pPr>
            <w:r w:rsidRPr="00FC0DA8">
              <w:lastRenderedPageBreak/>
              <w:t xml:space="preserve">Dầu khí </w:t>
            </w:r>
          </w:p>
          <w:p w14:paraId="122893E9" w14:textId="3E789876" w:rsidR="00EE6DE9" w:rsidRPr="00FC0DA8" w:rsidRDefault="00EE6DE9" w:rsidP="004C0292">
            <w:pPr>
              <w:spacing w:before="60" w:after="60" w:line="276" w:lineRule="auto"/>
              <w:jc w:val="center"/>
            </w:pPr>
            <w:r w:rsidRPr="00FC0DA8">
              <w:t>Toàn cầu</w:t>
            </w:r>
          </w:p>
        </w:tc>
        <w:tc>
          <w:tcPr>
            <w:tcW w:w="5528" w:type="dxa"/>
          </w:tcPr>
          <w:p w14:paraId="683E6461" w14:textId="06C226A4" w:rsidR="00FC0DA8" w:rsidRPr="004C0292" w:rsidRDefault="00FC0DA8" w:rsidP="004C0292">
            <w:pPr>
              <w:spacing w:before="60" w:after="60" w:line="276" w:lineRule="auto"/>
              <w:jc w:val="both"/>
              <w:rPr>
                <w:i/>
              </w:rPr>
            </w:pPr>
            <w:r w:rsidRPr="004C0292">
              <w:rPr>
                <w:i/>
              </w:rPr>
              <w:t>1. Về hoạt động mua máy móc phục vụ trồng trọt, tổ chức tín dụng thống kê như sau:</w:t>
            </w:r>
          </w:p>
          <w:p w14:paraId="3C9DD8F2" w14:textId="068C8107" w:rsidR="00FC0DA8" w:rsidRPr="00FC0DA8" w:rsidRDefault="00FC0DA8" w:rsidP="004C0292">
            <w:pPr>
              <w:spacing w:before="60" w:after="60" w:line="276" w:lineRule="auto"/>
              <w:jc w:val="both"/>
            </w:pPr>
            <w:r w:rsidRPr="00FC0DA8">
              <w:t>- Trường hợp khách hàng vay vốn mua máy móc, thiết bị để trực tiếp phục vụ cho hoạt động trồng trọt của khách hàng thì thống kê vào chỉ tiêu 1.1.4</w:t>
            </w:r>
            <w:r w:rsidR="004C0292">
              <w:t>, M</w:t>
            </w:r>
            <w:r w:rsidR="004C0292" w:rsidRPr="00FC0DA8">
              <w:t>ục I</w:t>
            </w:r>
            <w:r w:rsidRPr="00FC0DA8">
              <w:t xml:space="preserve">. </w:t>
            </w:r>
          </w:p>
          <w:p w14:paraId="0E98917C" w14:textId="1E09A783" w:rsidR="00FC0DA8" w:rsidRPr="00FC0DA8" w:rsidRDefault="00FC0DA8" w:rsidP="004C0292">
            <w:pPr>
              <w:spacing w:before="60" w:after="60" w:line="276" w:lineRule="auto"/>
              <w:jc w:val="both"/>
            </w:pPr>
            <w:r w:rsidRPr="00FC0DA8">
              <w:lastRenderedPageBreak/>
              <w:t>- Trường hợp khách hàng vay vốn nhằm mục đích kinh doanh thương mại máy móc, thiết bị phục vụ trồng trọt trên địa bàn nông thôn thì thống kê vào chỉ tiêu 6</w:t>
            </w:r>
            <w:r w:rsidR="004C0292">
              <w:t>,</w:t>
            </w:r>
            <w:r w:rsidR="004C0292" w:rsidRPr="00FC0DA8">
              <w:t xml:space="preserve"> </w:t>
            </w:r>
            <w:r w:rsidR="004C0292">
              <w:t>M</w:t>
            </w:r>
            <w:r w:rsidR="004C0292" w:rsidRPr="00FC0DA8">
              <w:t>ục I</w:t>
            </w:r>
            <w:r w:rsidRPr="00FC0DA8">
              <w:t>.</w:t>
            </w:r>
          </w:p>
          <w:p w14:paraId="0E120629" w14:textId="77777777" w:rsidR="00FC0DA8" w:rsidRPr="00FC0DA8" w:rsidRDefault="00FC0DA8" w:rsidP="004C0292">
            <w:pPr>
              <w:spacing w:before="60" w:after="60" w:line="276" w:lineRule="auto"/>
              <w:jc w:val="both"/>
            </w:pPr>
            <w:r w:rsidRPr="00FC0DA8">
              <w:t>- Trường hợp khách hàng vay vốn nhằm mục đích kinh doanh thương mại máy móc, thiết bị phục vụ trồng trọt ngoài địa bàn nông thôn thì không thuộc phạm vi thống kê của Biểu 009-TD.</w:t>
            </w:r>
          </w:p>
          <w:p w14:paraId="64830AA4" w14:textId="77777777" w:rsidR="00FC0DA8" w:rsidRPr="004C0292" w:rsidRDefault="00FC0DA8" w:rsidP="004C0292">
            <w:pPr>
              <w:spacing w:before="60" w:after="60" w:line="276" w:lineRule="auto"/>
              <w:jc w:val="both"/>
              <w:rPr>
                <w:i/>
              </w:rPr>
            </w:pPr>
            <w:r w:rsidRPr="004C0292">
              <w:rPr>
                <w:i/>
              </w:rPr>
              <w:t>2. Về hoạt động đóng mới, nâng cấp, cải hoán tàu phục vụ khai thác và dịch vụ hậu cần khai thác, tổ chức tín dụng thống kê như sau:</w:t>
            </w:r>
          </w:p>
          <w:p w14:paraId="123C14D1" w14:textId="2212C3CA" w:rsidR="00FC0DA8" w:rsidRPr="00FC0DA8" w:rsidRDefault="00FC0DA8" w:rsidP="004C0292">
            <w:pPr>
              <w:spacing w:before="60" w:after="60" w:line="276" w:lineRule="auto"/>
              <w:jc w:val="both"/>
            </w:pPr>
            <w:r w:rsidRPr="00FC0DA8">
              <w:t>- Trường hợp khách hàng vay vốn nhằm mục đích mua tàu, đặt hàng đóng tàu, sửa chữa, nâng cấp tàu để trực tiếp phục vụ hoạt động khai thác thủy sản của chính khách hàng vay vốn thì thống kê vào chỉ tiêu 8</w:t>
            </w:r>
            <w:r w:rsidR="004C0292">
              <w:t>, M</w:t>
            </w:r>
            <w:r w:rsidR="004C0292" w:rsidRPr="00FC0DA8">
              <w:t>ục I</w:t>
            </w:r>
            <w:r w:rsidRPr="00FC0DA8">
              <w:t xml:space="preserve">. </w:t>
            </w:r>
          </w:p>
          <w:p w14:paraId="25F7443C" w14:textId="38250F84" w:rsidR="00FC0DA8" w:rsidRPr="00FC0DA8" w:rsidRDefault="00FC0DA8" w:rsidP="004C0292">
            <w:pPr>
              <w:spacing w:before="60" w:after="60" w:line="276" w:lineRule="auto"/>
              <w:jc w:val="both"/>
            </w:pPr>
            <w:r w:rsidRPr="00FC0DA8">
              <w:t>- Trường hợp khách hàng vay vốn là các cơ sở đóng tàu để phục vụ hoạt động đóng tàu trên địa bàn nông thôn thì thống kê vào chỉ tiêu 6</w:t>
            </w:r>
            <w:r w:rsidR="004C0292">
              <w:t>,</w:t>
            </w:r>
            <w:r w:rsidR="004C0292" w:rsidRPr="00FC0DA8">
              <w:t xml:space="preserve"> </w:t>
            </w:r>
            <w:r w:rsidR="004C0292">
              <w:t>Mục I</w:t>
            </w:r>
            <w:r w:rsidRPr="00FC0DA8">
              <w:t>.</w:t>
            </w:r>
          </w:p>
          <w:p w14:paraId="1A016F04" w14:textId="77777777" w:rsidR="00FC0DA8" w:rsidRPr="00FC0DA8" w:rsidRDefault="00FC0DA8" w:rsidP="004C0292">
            <w:pPr>
              <w:spacing w:before="60" w:after="60" w:line="276" w:lineRule="auto"/>
              <w:jc w:val="both"/>
            </w:pPr>
            <w:r w:rsidRPr="00FC0DA8">
              <w:t>- Trường hợp khách hàng vay vốn là các cơ sở đóng tàu để phục vụ hoạt động đóng tàu ngoài địa bàn nông thôn thì không thuộc phạm vi thống kê của Biểu 009-TD.</w:t>
            </w:r>
          </w:p>
          <w:p w14:paraId="149C0884" w14:textId="1DA2B9E4" w:rsidR="00EE6DE9" w:rsidRPr="004C0292" w:rsidRDefault="00FC0DA8" w:rsidP="004C0292">
            <w:pPr>
              <w:shd w:val="clear" w:color="auto" w:fill="FFFFFF"/>
              <w:spacing w:before="60" w:after="60" w:line="276" w:lineRule="auto"/>
              <w:jc w:val="both"/>
              <w:rPr>
                <w:i/>
              </w:rPr>
            </w:pPr>
            <w:r w:rsidRPr="004C0292">
              <w:rPr>
                <w:i/>
              </w:rPr>
              <w:t>3. Về hoạt động sản xuất, nhập khẩu phân bón, tổ chức tín dụng thống kê vào chỉ tiêu 8</w:t>
            </w:r>
            <w:r w:rsidR="004C0292" w:rsidRPr="004C0292">
              <w:rPr>
                <w:i/>
              </w:rPr>
              <w:t>, Mục I</w:t>
            </w:r>
            <w:r w:rsidRPr="004C0292">
              <w:rPr>
                <w:i/>
              </w:rPr>
              <w:t>.</w:t>
            </w:r>
          </w:p>
        </w:tc>
      </w:tr>
      <w:tr w:rsidR="00EE6DE9" w:rsidRPr="004A5794" w14:paraId="6A9F3F0D" w14:textId="05858469" w:rsidTr="00465075">
        <w:trPr>
          <w:trHeight w:val="397"/>
        </w:trPr>
        <w:tc>
          <w:tcPr>
            <w:tcW w:w="709" w:type="dxa"/>
            <w:shd w:val="clear" w:color="auto" w:fill="auto"/>
            <w:vAlign w:val="center"/>
          </w:tcPr>
          <w:p w14:paraId="6D80F0E7" w14:textId="167C5C96" w:rsidR="00EE6DE9" w:rsidRPr="00D23304" w:rsidRDefault="00EE6DE9" w:rsidP="004C0292">
            <w:pPr>
              <w:spacing w:before="60" w:after="60" w:line="276" w:lineRule="auto"/>
              <w:jc w:val="center"/>
            </w:pPr>
            <w:r>
              <w:lastRenderedPageBreak/>
              <w:t>3</w:t>
            </w:r>
          </w:p>
        </w:tc>
        <w:tc>
          <w:tcPr>
            <w:tcW w:w="1701" w:type="dxa"/>
            <w:shd w:val="clear" w:color="auto" w:fill="auto"/>
            <w:vAlign w:val="center"/>
          </w:tcPr>
          <w:p w14:paraId="06A6CA01" w14:textId="57339E14" w:rsidR="00EE6DE9" w:rsidRPr="00D23304" w:rsidRDefault="00EE6DE9" w:rsidP="004C0292">
            <w:pPr>
              <w:spacing w:before="60" w:after="60" w:line="276" w:lineRule="auto"/>
            </w:pPr>
            <w:r w:rsidRPr="00D23304">
              <w:t>029.1-TTGS; 029.2-TTGS</w:t>
            </w:r>
          </w:p>
        </w:tc>
        <w:tc>
          <w:tcPr>
            <w:tcW w:w="5954" w:type="dxa"/>
            <w:vAlign w:val="center"/>
          </w:tcPr>
          <w:p w14:paraId="47A0340C" w14:textId="4FB1FA22" w:rsidR="00EE6DE9" w:rsidRPr="00D23304" w:rsidRDefault="00EE6DE9" w:rsidP="004C0292">
            <w:pPr>
              <w:spacing w:before="60" w:after="60" w:line="276" w:lineRule="auto"/>
              <w:jc w:val="both"/>
              <w:rPr>
                <w:iCs/>
              </w:rPr>
            </w:pPr>
            <w:r w:rsidRPr="00D23304">
              <w:t xml:space="preserve">Đối với danh sách khách hàng nợ xấu theo hướng dẫn tại </w:t>
            </w:r>
            <w:r>
              <w:t xml:space="preserve">hai </w:t>
            </w:r>
            <w:r w:rsidRPr="00D23304">
              <w:t xml:space="preserve">biểu đang hướng dẫn: “Thống kê tên từng khách hàng có dư nợ xấu và/hoặc xử lý nợ xấu từ ngày 01/01 của năm báo cáo đến ngày cuối cùng của kỳ báo cáo”.- Vậy được </w:t>
            </w:r>
            <w:r w:rsidRPr="00D23304">
              <w:lastRenderedPageBreak/>
              <w:t xml:space="preserve">hiểu là tất cả các khách hàng từng phát sinh nợ xấu từ ngày 01/01 của năm báo cáo đến ngày cuối cùng của kỳ báo cáo sẽ được liệt kê toàn bộ trong danh sách báo cáo nhưng chỉ có khách hàng nào còn nợ xấu thì mới cập nhật dư nợ tại cột (6) - (11) của </w:t>
            </w:r>
            <w:r>
              <w:t>B</w:t>
            </w:r>
            <w:r w:rsidRPr="00D23304">
              <w:t>iểu 029.1 thôi và các khách hàng còn lại đã chuyển về nợ nhóm 1, 2/tất toán sẽ để trống phần dư nợ và chỉ cập nhật các thông tin còn lại?</w:t>
            </w:r>
          </w:p>
        </w:tc>
        <w:tc>
          <w:tcPr>
            <w:tcW w:w="1417" w:type="dxa"/>
            <w:shd w:val="clear" w:color="auto" w:fill="auto"/>
            <w:vAlign w:val="center"/>
          </w:tcPr>
          <w:p w14:paraId="67F9863A" w14:textId="557EBF90" w:rsidR="00EE6DE9" w:rsidRPr="00D23304" w:rsidRDefault="00EE6DE9" w:rsidP="004C0292">
            <w:pPr>
              <w:spacing w:before="60" w:after="60" w:line="276" w:lineRule="auto"/>
              <w:jc w:val="center"/>
            </w:pPr>
            <w:r w:rsidRPr="00D23304">
              <w:lastRenderedPageBreak/>
              <w:t>Việt Nam Thịnh vượng</w:t>
            </w:r>
          </w:p>
        </w:tc>
        <w:tc>
          <w:tcPr>
            <w:tcW w:w="5528" w:type="dxa"/>
          </w:tcPr>
          <w:p w14:paraId="573DECB6" w14:textId="77777777" w:rsidR="00EE6DE9" w:rsidRDefault="00EE6DE9" w:rsidP="004C0292">
            <w:pPr>
              <w:spacing w:before="60" w:after="60" w:line="276" w:lineRule="auto"/>
              <w:jc w:val="both"/>
            </w:pPr>
            <w:r w:rsidRPr="00D23304">
              <w:t xml:space="preserve">Biểu 029.1: Thống kê danh sách khách hàng có số dư nợ xấu từ 01/01 của năm báo cáo đến ngày làm việc cuối cùng của kỳ báo cáo. Đối với các khách hàng đã chuyển nợ về nhóm 1, 2/tất toán sẽ để trống phần dư </w:t>
            </w:r>
            <w:r w:rsidRPr="00D23304">
              <w:lastRenderedPageBreak/>
              <w:t xml:space="preserve">nợ và cập nhật các thông tin cho đến hết năm báo cáo. </w:t>
            </w:r>
          </w:p>
          <w:p w14:paraId="6E357081" w14:textId="27E6C598" w:rsidR="00EE6DE9" w:rsidRPr="004A5794" w:rsidRDefault="00EE6DE9" w:rsidP="004C0292">
            <w:pPr>
              <w:spacing w:before="60" w:after="60" w:line="276" w:lineRule="auto"/>
              <w:jc w:val="both"/>
              <w:rPr>
                <w:color w:val="4F81BD" w:themeColor="accent1"/>
              </w:rPr>
            </w:pPr>
          </w:p>
        </w:tc>
      </w:tr>
      <w:tr w:rsidR="00EE6DE9" w:rsidRPr="00D23304" w14:paraId="09A4D2E3" w14:textId="77777777" w:rsidTr="004B3084">
        <w:trPr>
          <w:trHeight w:val="397"/>
        </w:trPr>
        <w:tc>
          <w:tcPr>
            <w:tcW w:w="709" w:type="dxa"/>
            <w:shd w:val="clear" w:color="auto" w:fill="auto"/>
            <w:vAlign w:val="center"/>
          </w:tcPr>
          <w:p w14:paraId="097729D0" w14:textId="4EC10807" w:rsidR="00EE6DE9" w:rsidRPr="00D23304" w:rsidRDefault="00EE6DE9" w:rsidP="004C0292">
            <w:pPr>
              <w:spacing w:before="60" w:after="60" w:line="276" w:lineRule="auto"/>
              <w:jc w:val="center"/>
            </w:pPr>
            <w:r>
              <w:lastRenderedPageBreak/>
              <w:t>4</w:t>
            </w:r>
          </w:p>
        </w:tc>
        <w:tc>
          <w:tcPr>
            <w:tcW w:w="1701" w:type="dxa"/>
            <w:shd w:val="clear" w:color="auto" w:fill="auto"/>
            <w:vAlign w:val="center"/>
          </w:tcPr>
          <w:p w14:paraId="3B8BBFFE" w14:textId="42FE2021" w:rsidR="00EE6DE9" w:rsidRPr="00D23304" w:rsidRDefault="00EE6DE9" w:rsidP="004C0292">
            <w:pPr>
              <w:spacing w:before="60" w:after="60" w:line="276" w:lineRule="auto"/>
            </w:pPr>
            <w:r w:rsidRPr="00D23304">
              <w:t>128.1, 128.3, 128.4-TTGS</w:t>
            </w:r>
          </w:p>
        </w:tc>
        <w:tc>
          <w:tcPr>
            <w:tcW w:w="5954" w:type="dxa"/>
          </w:tcPr>
          <w:p w14:paraId="7B514C49" w14:textId="63B4AB3E" w:rsidR="00EE6DE9" w:rsidRPr="00D23304" w:rsidRDefault="00EE6DE9" w:rsidP="004C0292">
            <w:pPr>
              <w:spacing w:before="60" w:after="60" w:line="276" w:lineRule="auto"/>
              <w:jc w:val="both"/>
            </w:pPr>
            <w:r w:rsidRPr="00D23304">
              <w:t>Số lượng khách hàng của 3 báo cáo (128.1-TTGS, 128.3-TTGS, 128.4-TTGS) có bắt buộc phải bằng nhau hay không?</w:t>
            </w:r>
          </w:p>
        </w:tc>
        <w:tc>
          <w:tcPr>
            <w:tcW w:w="1417" w:type="dxa"/>
            <w:shd w:val="clear" w:color="auto" w:fill="auto"/>
            <w:vAlign w:val="center"/>
          </w:tcPr>
          <w:p w14:paraId="78E884A0" w14:textId="21F5FE91" w:rsidR="00EE6DE9" w:rsidRPr="00D23304" w:rsidRDefault="00EE6DE9" w:rsidP="004C0292">
            <w:pPr>
              <w:spacing w:before="60" w:after="60" w:line="276" w:lineRule="auto"/>
              <w:jc w:val="center"/>
            </w:pPr>
            <w:r w:rsidRPr="00D23304">
              <w:t>Sài Gòn</w:t>
            </w:r>
          </w:p>
        </w:tc>
        <w:tc>
          <w:tcPr>
            <w:tcW w:w="5528" w:type="dxa"/>
          </w:tcPr>
          <w:p w14:paraId="09FF3140" w14:textId="77777777" w:rsidR="00EE6DE9" w:rsidRDefault="00EE6DE9" w:rsidP="004C0292">
            <w:pPr>
              <w:spacing w:before="60" w:after="60" w:line="276" w:lineRule="auto"/>
              <w:jc w:val="both"/>
            </w:pPr>
            <w:r w:rsidRPr="00ED10ED">
              <w:t xml:space="preserve">Số lượng khách hàng của </w:t>
            </w:r>
            <w:r>
              <w:t>B</w:t>
            </w:r>
            <w:r w:rsidRPr="00ED10ED">
              <w:t xml:space="preserve">iểu 128.1-TTGS và </w:t>
            </w:r>
            <w:r>
              <w:t xml:space="preserve">Biểu </w:t>
            </w:r>
            <w:r w:rsidRPr="00ED10ED">
              <w:t xml:space="preserve">128.3-TTGS bằng nhau nhưng không nhất thiết phải bằng </w:t>
            </w:r>
            <w:r>
              <w:t>Biểu 128.4-TTGS vì:</w:t>
            </w:r>
          </w:p>
          <w:p w14:paraId="127A4596" w14:textId="77777777" w:rsidR="00EE6DE9" w:rsidRDefault="00EE6DE9" w:rsidP="004C0292">
            <w:pPr>
              <w:spacing w:before="60" w:after="60" w:line="276" w:lineRule="auto"/>
              <w:jc w:val="both"/>
            </w:pPr>
            <w:r>
              <w:t>- Biểu 128.1-TTGS và Biểu 128.3</w:t>
            </w:r>
            <w:r w:rsidRPr="00ED10ED">
              <w:t>-TTGS đều hướng dẫn thống kê danh mục khách hàng có dư nợ từ 500 triệu trở lên</w:t>
            </w:r>
            <w:r>
              <w:t>.</w:t>
            </w:r>
          </w:p>
          <w:p w14:paraId="0B34F4ED" w14:textId="371581CE" w:rsidR="00EE6DE9" w:rsidRPr="00D23304" w:rsidRDefault="00EE6DE9" w:rsidP="004C0292">
            <w:pPr>
              <w:spacing w:before="60" w:after="60" w:line="276" w:lineRule="auto"/>
              <w:jc w:val="both"/>
            </w:pPr>
            <w:r>
              <w:t>- B</w:t>
            </w:r>
            <w:r w:rsidRPr="00ED10ED">
              <w:t xml:space="preserve">iểu 128.4-TTGS thống kê khách hàng được TCTD báo cáo phát hành các cam kết về bảo lãnh, L/C </w:t>
            </w:r>
            <w:r w:rsidRPr="00ED10ED">
              <w:rPr>
                <w:spacing w:val="-4"/>
              </w:rPr>
              <w:t>và giá trị của các cam kết này từ 500 triệu VND trở lên.</w:t>
            </w:r>
          </w:p>
        </w:tc>
      </w:tr>
      <w:tr w:rsidR="00EE6DE9" w:rsidRPr="009F2521" w14:paraId="6D39D829" w14:textId="77777777" w:rsidTr="009F2521">
        <w:trPr>
          <w:trHeight w:val="397"/>
        </w:trPr>
        <w:tc>
          <w:tcPr>
            <w:tcW w:w="709" w:type="dxa"/>
            <w:shd w:val="clear" w:color="auto" w:fill="auto"/>
            <w:vAlign w:val="center"/>
          </w:tcPr>
          <w:p w14:paraId="23425954" w14:textId="50A0AD51" w:rsidR="00EE6DE9" w:rsidRPr="009F2521" w:rsidRDefault="00EE6DE9" w:rsidP="004C0292">
            <w:pPr>
              <w:spacing w:before="60" w:after="60" w:line="276" w:lineRule="auto"/>
              <w:jc w:val="center"/>
            </w:pPr>
            <w:r>
              <w:t>5</w:t>
            </w:r>
          </w:p>
        </w:tc>
        <w:tc>
          <w:tcPr>
            <w:tcW w:w="1701" w:type="dxa"/>
            <w:shd w:val="clear" w:color="auto" w:fill="auto"/>
            <w:vAlign w:val="center"/>
          </w:tcPr>
          <w:p w14:paraId="43699DCB" w14:textId="4113DCDF" w:rsidR="00EE6DE9" w:rsidRPr="009F2521" w:rsidRDefault="00EE6DE9" w:rsidP="004C0292">
            <w:pPr>
              <w:spacing w:before="60" w:after="60" w:line="276" w:lineRule="auto"/>
            </w:pPr>
            <w:r w:rsidRPr="009F2521">
              <w:t>128.4-TTGS</w:t>
            </w:r>
          </w:p>
        </w:tc>
        <w:tc>
          <w:tcPr>
            <w:tcW w:w="5954" w:type="dxa"/>
            <w:shd w:val="clear" w:color="auto" w:fill="auto"/>
          </w:tcPr>
          <w:p w14:paraId="75E3880D" w14:textId="07380098" w:rsidR="00EE6DE9" w:rsidRPr="009F2521" w:rsidRDefault="00EE6DE9" w:rsidP="004C0292">
            <w:pPr>
              <w:spacing w:before="60" w:after="60" w:line="276" w:lineRule="auto"/>
              <w:jc w:val="both"/>
            </w:pPr>
            <w:r w:rsidRPr="009F2521">
              <w:t>Trong hai trường hợp sau:</w:t>
            </w:r>
          </w:p>
          <w:p w14:paraId="34E7505C" w14:textId="04F3B778" w:rsidR="00EE6DE9" w:rsidRPr="009F2521" w:rsidRDefault="00EE6DE9" w:rsidP="004C0292">
            <w:pPr>
              <w:spacing w:before="60" w:after="60" w:line="276" w:lineRule="auto"/>
              <w:jc w:val="both"/>
            </w:pPr>
            <w:r w:rsidRPr="009F2521">
              <w:t xml:space="preserve">- Trường hợp 1: Khách hàng có dư nợ lớn hơn 500 triệu (đã báo cáo </w:t>
            </w:r>
            <w:r>
              <w:t xml:space="preserve">tại </w:t>
            </w:r>
            <w:r w:rsidRPr="009F2521">
              <w:t>Biểu 128.1-TTGS) và có số dư cam kết bảo lãnh hoặc L/C lớn hơn 500 triệu.</w:t>
            </w:r>
          </w:p>
          <w:p w14:paraId="2902BA28" w14:textId="72CE618F" w:rsidR="00EE6DE9" w:rsidRPr="009F2521" w:rsidRDefault="00EE6DE9" w:rsidP="004C0292">
            <w:pPr>
              <w:spacing w:before="60" w:after="60" w:line="276" w:lineRule="auto"/>
              <w:jc w:val="both"/>
            </w:pPr>
            <w:r w:rsidRPr="009F2521">
              <w:t xml:space="preserve">- Trường hợp 2: Khách hàng có dư nợ lớn hơn 500 triệu (đã báo cáo </w:t>
            </w:r>
            <w:r>
              <w:t xml:space="preserve">tại </w:t>
            </w:r>
            <w:r w:rsidRPr="009F2521">
              <w:t>Biểu 128.1-TTGS) nhưng có số dư cam kết bảo lãnh hoặc L/C nhỏ hơn 500 triệu.</w:t>
            </w:r>
          </w:p>
          <w:p w14:paraId="45D74A04" w14:textId="03A5E8C5" w:rsidR="00EE6DE9" w:rsidRPr="009F2521" w:rsidRDefault="00EE6DE9" w:rsidP="004C0292">
            <w:pPr>
              <w:spacing w:before="60" w:after="60" w:line="276" w:lineRule="auto"/>
              <w:jc w:val="both"/>
            </w:pPr>
            <w:r w:rsidRPr="009F2521">
              <w:t>Trường hợp nào thuộc đối tượng báo cáo của Biểu 128.4-TTGS?</w:t>
            </w:r>
          </w:p>
        </w:tc>
        <w:tc>
          <w:tcPr>
            <w:tcW w:w="1417" w:type="dxa"/>
            <w:shd w:val="clear" w:color="auto" w:fill="auto"/>
            <w:vAlign w:val="center"/>
          </w:tcPr>
          <w:p w14:paraId="6F3F4A0D" w14:textId="26DA85CF" w:rsidR="00EE6DE9" w:rsidRPr="009F2521" w:rsidRDefault="00EE6DE9" w:rsidP="004C0292">
            <w:pPr>
              <w:spacing w:before="60" w:after="60" w:line="276" w:lineRule="auto"/>
              <w:jc w:val="center"/>
            </w:pPr>
            <w:r w:rsidRPr="009F2521">
              <w:t>Sài Gòn</w:t>
            </w:r>
          </w:p>
        </w:tc>
        <w:tc>
          <w:tcPr>
            <w:tcW w:w="5528" w:type="dxa"/>
            <w:shd w:val="clear" w:color="auto" w:fill="auto"/>
          </w:tcPr>
          <w:p w14:paraId="0648DD57" w14:textId="7ECD4982" w:rsidR="00EE6DE9" w:rsidRPr="009F2521" w:rsidRDefault="00EE6DE9" w:rsidP="004C0292">
            <w:pPr>
              <w:spacing w:before="60" w:after="60" w:line="276" w:lineRule="auto"/>
              <w:jc w:val="both"/>
            </w:pPr>
            <w:r w:rsidRPr="009F2521">
              <w:t xml:space="preserve">- Trường hợp 1 thuộc đối tượng báo cáo của Biểu 128.4-TTGS. </w:t>
            </w:r>
          </w:p>
          <w:p w14:paraId="6A08C351" w14:textId="7ABEF5C6" w:rsidR="00EE6DE9" w:rsidRPr="009F2521" w:rsidRDefault="00EE6DE9" w:rsidP="004C0292">
            <w:pPr>
              <w:spacing w:before="60" w:after="60" w:line="276" w:lineRule="auto"/>
              <w:jc w:val="both"/>
            </w:pPr>
            <w:r w:rsidRPr="009F2521">
              <w:t>-</w:t>
            </w:r>
            <w:r>
              <w:t xml:space="preserve"> </w:t>
            </w:r>
            <w:r w:rsidRPr="009F2521">
              <w:t>Trường hợp 2 không thuộc đối tượng của Biểu 128.4-TTGS.</w:t>
            </w:r>
          </w:p>
        </w:tc>
      </w:tr>
      <w:tr w:rsidR="00EE6DE9" w:rsidRPr="00D23304" w14:paraId="751D71F7" w14:textId="77777777" w:rsidTr="009F2521">
        <w:trPr>
          <w:trHeight w:val="397"/>
        </w:trPr>
        <w:tc>
          <w:tcPr>
            <w:tcW w:w="709" w:type="dxa"/>
            <w:shd w:val="clear" w:color="auto" w:fill="auto"/>
            <w:vAlign w:val="center"/>
          </w:tcPr>
          <w:p w14:paraId="42E0CEEF" w14:textId="27F8F321" w:rsidR="00EE6DE9" w:rsidRPr="009F2521" w:rsidRDefault="00EE6DE9" w:rsidP="004C0292">
            <w:pPr>
              <w:spacing w:before="60" w:after="60" w:line="276" w:lineRule="auto"/>
              <w:jc w:val="center"/>
            </w:pPr>
            <w:r>
              <w:t>6</w:t>
            </w:r>
          </w:p>
        </w:tc>
        <w:tc>
          <w:tcPr>
            <w:tcW w:w="1701" w:type="dxa"/>
            <w:shd w:val="clear" w:color="auto" w:fill="auto"/>
            <w:vAlign w:val="center"/>
          </w:tcPr>
          <w:p w14:paraId="456F7AAB" w14:textId="77777777" w:rsidR="00EE6DE9" w:rsidRPr="009F2521" w:rsidRDefault="00EE6DE9" w:rsidP="004C0292">
            <w:pPr>
              <w:spacing w:before="60" w:after="60" w:line="276" w:lineRule="auto"/>
            </w:pPr>
          </w:p>
        </w:tc>
        <w:tc>
          <w:tcPr>
            <w:tcW w:w="5954" w:type="dxa"/>
            <w:shd w:val="clear" w:color="auto" w:fill="auto"/>
          </w:tcPr>
          <w:p w14:paraId="7C45EF0A" w14:textId="31A56B81" w:rsidR="00EE6DE9" w:rsidRPr="009F2521" w:rsidRDefault="00EE6DE9" w:rsidP="004C0292">
            <w:pPr>
              <w:spacing w:before="60" w:after="60" w:line="276" w:lineRule="auto"/>
              <w:jc w:val="both"/>
            </w:pPr>
            <w:r w:rsidRPr="009F2521">
              <w:t xml:space="preserve">Giá trị cam kết bảo lãnh được thống kê trong Biểu 128.4-TTGS được tính theo từng hợp đồng hay theo tổng hạn </w:t>
            </w:r>
            <w:r w:rsidRPr="009F2521">
              <w:lastRenderedPageBreak/>
              <w:t>mức được cấp? Ví dụ, trong hai trường hợp sau:</w:t>
            </w:r>
          </w:p>
          <w:p w14:paraId="21F043B4" w14:textId="7ACDA2D9" w:rsidR="00EE6DE9" w:rsidRPr="009F2521" w:rsidRDefault="00EE6DE9" w:rsidP="004C0292">
            <w:pPr>
              <w:spacing w:before="60" w:after="60" w:line="276" w:lineRule="auto"/>
              <w:jc w:val="both"/>
            </w:pPr>
            <w:r w:rsidRPr="009F2521">
              <w:t>- Trường hợp 1: Khách hàng A được SCB cấp một hạn mức là 500 triệu đồng. Sau đó, khách hàng phát sinh 3 món bảo lãnh có giá trị mỗi hợp đồng lần lượt là: 200 triệu đồng, 150 triệu đồng, 100 triệu đồng.</w:t>
            </w:r>
          </w:p>
          <w:p w14:paraId="1962079E" w14:textId="3219F37B" w:rsidR="00EE6DE9" w:rsidRPr="009F2521" w:rsidRDefault="00EE6DE9" w:rsidP="004C0292">
            <w:pPr>
              <w:spacing w:before="60" w:after="60" w:line="276" w:lineRule="auto"/>
              <w:jc w:val="both"/>
            </w:pPr>
            <w:r w:rsidRPr="009F2521">
              <w:t xml:space="preserve">- Trường hợp 2: Khách hàng B được SCB cấp một hạn mức là 600 triệu đồng. Sau đó, khách hàng phát sinh 3 món bảo lãnh có giá trị mỗi hợp đồng lần lượt là: 500 triệu đồng, 50 triệu đồng, 50 triệu đồng. </w:t>
            </w:r>
          </w:p>
          <w:p w14:paraId="60CAE6DA" w14:textId="227AE509" w:rsidR="00EE6DE9" w:rsidRPr="009F2521" w:rsidRDefault="00EE6DE9" w:rsidP="004C0292">
            <w:pPr>
              <w:spacing w:before="60" w:after="60" w:line="276" w:lineRule="auto"/>
              <w:jc w:val="both"/>
            </w:pPr>
            <w:r w:rsidRPr="009F2521">
              <w:t>Theo hai trường hợp trên, cả khách hàng A và B đều phải báo cáo vào Biểu 128.4-TTGS hay chỉ báo cáo hợp đồng bảo lãnh thứ nhất của khách hàng B (có giá trị 500 triệu) hay báo cáo cả ba hợp đồng bảo lãnh của khách hàng B?</w:t>
            </w:r>
          </w:p>
          <w:p w14:paraId="63072AB6" w14:textId="616E6D78" w:rsidR="00EE6DE9" w:rsidRPr="009F2521" w:rsidRDefault="00EE6DE9" w:rsidP="004C0292">
            <w:pPr>
              <w:spacing w:before="60" w:after="60" w:line="276" w:lineRule="auto"/>
              <w:jc w:val="both"/>
            </w:pPr>
            <w:r w:rsidRPr="009F2521">
              <w:t>+ Các ô trong cột (12) nằm ở dòng 1, 2,… là ô không cần nhập do số hợp đồng của các cam kết bảo lãnh, L/C đã được nhập ở dòng 1.1, 1.2, 2.1, 2.2,…?</w:t>
            </w:r>
          </w:p>
          <w:p w14:paraId="60C1D5C6" w14:textId="63B67780" w:rsidR="00EE6DE9" w:rsidRPr="009F2521" w:rsidRDefault="00EE6DE9" w:rsidP="004C0292">
            <w:pPr>
              <w:spacing w:before="60" w:after="60" w:line="276" w:lineRule="auto"/>
              <w:jc w:val="both"/>
            </w:pPr>
            <w:r w:rsidRPr="009F2521">
              <w:t>+ Các ô trong cột (13) nằm ở dòng 1, 2,… có bằng tổng của các dòng phụ bên dưới (1.1, 1.2, 2.1, 2.2,…) cộng lại?</w:t>
            </w:r>
          </w:p>
        </w:tc>
        <w:tc>
          <w:tcPr>
            <w:tcW w:w="1417" w:type="dxa"/>
            <w:shd w:val="clear" w:color="auto" w:fill="auto"/>
            <w:vAlign w:val="center"/>
          </w:tcPr>
          <w:p w14:paraId="0732FD1A" w14:textId="3057AFC7" w:rsidR="00EE6DE9" w:rsidRPr="009F2521" w:rsidRDefault="00EE6DE9" w:rsidP="004C0292">
            <w:pPr>
              <w:spacing w:before="60" w:after="60" w:line="276" w:lineRule="auto"/>
              <w:jc w:val="center"/>
            </w:pPr>
            <w:r w:rsidRPr="009F2521">
              <w:lastRenderedPageBreak/>
              <w:t>Sài Gòn</w:t>
            </w:r>
          </w:p>
        </w:tc>
        <w:tc>
          <w:tcPr>
            <w:tcW w:w="5528" w:type="dxa"/>
            <w:shd w:val="clear" w:color="auto" w:fill="auto"/>
          </w:tcPr>
          <w:p w14:paraId="21344A6D" w14:textId="72818D07" w:rsidR="00EE6DE9" w:rsidRPr="009F2521" w:rsidRDefault="00EE6DE9" w:rsidP="004C0292">
            <w:pPr>
              <w:spacing w:before="60" w:after="60" w:line="276" w:lineRule="auto"/>
              <w:jc w:val="both"/>
            </w:pPr>
            <w:r w:rsidRPr="009F2521">
              <w:t>- Trường hợp 1</w:t>
            </w:r>
            <w:r>
              <w:t>: TCTD</w:t>
            </w:r>
            <w:r w:rsidRPr="009F2521">
              <w:t xml:space="preserve"> không phải báo cáo do phát sinh thực tế của khách hàng chưa tới 500 triệu.</w:t>
            </w:r>
          </w:p>
          <w:p w14:paraId="5CCCD7EA" w14:textId="6F0C3CE7" w:rsidR="00EE6DE9" w:rsidRPr="009F2521" w:rsidRDefault="00EE6DE9" w:rsidP="004C0292">
            <w:pPr>
              <w:spacing w:before="60" w:after="60" w:line="276" w:lineRule="auto"/>
              <w:jc w:val="both"/>
            </w:pPr>
            <w:r w:rsidRPr="009F2521">
              <w:lastRenderedPageBreak/>
              <w:t>- Trường hợp 2</w:t>
            </w:r>
            <w:r>
              <w:t>: TCTD</w:t>
            </w:r>
            <w:r w:rsidRPr="009F2521">
              <w:t xml:space="preserve"> phải báo cáo tại Biểu 128.4-TTGS và phải báo cáo cả 3 hợp đồng bảo lãnh.</w:t>
            </w:r>
          </w:p>
          <w:p w14:paraId="39841056" w14:textId="65E57AA3" w:rsidR="00EE6DE9" w:rsidRPr="009F2521" w:rsidRDefault="00EE6DE9" w:rsidP="004C0292">
            <w:pPr>
              <w:spacing w:before="60" w:after="60" w:line="276" w:lineRule="auto"/>
              <w:jc w:val="both"/>
            </w:pPr>
            <w:r w:rsidRPr="009F2521">
              <w:t>- Các ô trong cột (12) nằm ở dòng 1, 2,… là ô không cần nhập do số hợp đồng của các cam kết bảo lãnh, L/C đã được nhập ở dòng 1.1, 1.2, 2.1, 2.2,…</w:t>
            </w:r>
          </w:p>
          <w:p w14:paraId="4A247EB3" w14:textId="0ED8C886" w:rsidR="00EE6DE9" w:rsidRPr="00D23304" w:rsidRDefault="00EE6DE9" w:rsidP="004C0292">
            <w:pPr>
              <w:spacing w:before="60" w:after="60" w:line="276" w:lineRule="auto"/>
              <w:jc w:val="both"/>
            </w:pPr>
            <w:r w:rsidRPr="009F2521">
              <w:t xml:space="preserve">- Các ô trong cột (13) nằm ở dòng 1, 2,… bằng tổng của các dòng </w:t>
            </w:r>
            <w:r>
              <w:t xml:space="preserve">chỉ tiết </w:t>
            </w:r>
            <w:r w:rsidRPr="009F2521">
              <w:t>(1.1, 1.2, 2.1, 2.2,…) cộng lại.</w:t>
            </w:r>
          </w:p>
        </w:tc>
      </w:tr>
      <w:tr w:rsidR="00EE6DE9" w:rsidRPr="00BD51C1" w14:paraId="63D4CE07" w14:textId="1B996950" w:rsidTr="002D1F76">
        <w:trPr>
          <w:trHeight w:val="397"/>
        </w:trPr>
        <w:tc>
          <w:tcPr>
            <w:tcW w:w="709" w:type="dxa"/>
            <w:shd w:val="clear" w:color="auto" w:fill="C6D9F1" w:themeFill="text2" w:themeFillTint="33"/>
            <w:vAlign w:val="center"/>
          </w:tcPr>
          <w:p w14:paraId="2F06AB75" w14:textId="5B9FBBED" w:rsidR="00EE6DE9" w:rsidRPr="00BD51C1" w:rsidRDefault="00EE6DE9" w:rsidP="004C0292">
            <w:pPr>
              <w:spacing w:before="60" w:after="60" w:line="276" w:lineRule="auto"/>
              <w:jc w:val="center"/>
              <w:rPr>
                <w:b/>
              </w:rPr>
            </w:pPr>
            <w:r>
              <w:rPr>
                <w:b/>
              </w:rPr>
              <w:lastRenderedPageBreak/>
              <w:t>II</w:t>
            </w:r>
          </w:p>
        </w:tc>
        <w:tc>
          <w:tcPr>
            <w:tcW w:w="9072" w:type="dxa"/>
            <w:gridSpan w:val="3"/>
            <w:shd w:val="clear" w:color="auto" w:fill="C6D9F1" w:themeFill="text2" w:themeFillTint="33"/>
            <w:vAlign w:val="center"/>
          </w:tcPr>
          <w:p w14:paraId="2DEC786E" w14:textId="79240F04" w:rsidR="00EE6DE9" w:rsidRPr="00BD51C1" w:rsidRDefault="00EE6DE9" w:rsidP="004C0292">
            <w:pPr>
              <w:spacing w:before="60" w:after="60" w:line="276" w:lineRule="auto"/>
              <w:jc w:val="both"/>
              <w:rPr>
                <w:b/>
              </w:rPr>
            </w:pPr>
            <w:r w:rsidRPr="00BD51C1">
              <w:rPr>
                <w:b/>
              </w:rPr>
              <w:t>Công văn 3941/NHNN-DBTK</w:t>
            </w:r>
          </w:p>
        </w:tc>
        <w:tc>
          <w:tcPr>
            <w:tcW w:w="5528" w:type="dxa"/>
            <w:shd w:val="clear" w:color="auto" w:fill="C6D9F1" w:themeFill="text2" w:themeFillTint="33"/>
          </w:tcPr>
          <w:p w14:paraId="6769D8AF" w14:textId="77777777" w:rsidR="00EE6DE9" w:rsidRPr="00BD51C1" w:rsidRDefault="00EE6DE9" w:rsidP="004C0292">
            <w:pPr>
              <w:spacing w:before="60" w:after="60" w:line="276" w:lineRule="auto"/>
              <w:jc w:val="both"/>
              <w:rPr>
                <w:b/>
              </w:rPr>
            </w:pPr>
          </w:p>
        </w:tc>
      </w:tr>
      <w:tr w:rsidR="00EE6DE9" w:rsidRPr="00D23304" w14:paraId="79FD4BC9" w14:textId="0E0BBEF2" w:rsidTr="007C2A59">
        <w:trPr>
          <w:trHeight w:val="397"/>
        </w:trPr>
        <w:tc>
          <w:tcPr>
            <w:tcW w:w="709" w:type="dxa"/>
            <w:shd w:val="clear" w:color="auto" w:fill="auto"/>
            <w:vAlign w:val="center"/>
          </w:tcPr>
          <w:p w14:paraId="0DBFE6D8" w14:textId="375EE23C" w:rsidR="00EE6DE9" w:rsidRPr="00D23304" w:rsidRDefault="00EE6DE9" w:rsidP="004C0292">
            <w:pPr>
              <w:spacing w:before="60" w:after="60" w:line="276" w:lineRule="auto"/>
              <w:jc w:val="center"/>
            </w:pPr>
            <w:r w:rsidRPr="00D23304">
              <w:t>1</w:t>
            </w:r>
          </w:p>
        </w:tc>
        <w:tc>
          <w:tcPr>
            <w:tcW w:w="1701" w:type="dxa"/>
            <w:shd w:val="clear" w:color="auto" w:fill="auto"/>
            <w:vAlign w:val="center"/>
          </w:tcPr>
          <w:p w14:paraId="1607B1DB" w14:textId="5FD2A9C3" w:rsidR="00EE6DE9" w:rsidRPr="00D23304" w:rsidRDefault="00EE6DE9" w:rsidP="004C0292">
            <w:pPr>
              <w:spacing w:before="60" w:after="60" w:line="276" w:lineRule="auto"/>
            </w:pPr>
            <w:r w:rsidRPr="00D23304">
              <w:t>001N, 002N-TD</w:t>
            </w:r>
          </w:p>
        </w:tc>
        <w:tc>
          <w:tcPr>
            <w:tcW w:w="5954" w:type="dxa"/>
          </w:tcPr>
          <w:p w14:paraId="5A84DD52" w14:textId="77777777" w:rsidR="00EE6DE9" w:rsidRPr="00D23304" w:rsidRDefault="00EE6DE9" w:rsidP="004C0292">
            <w:pPr>
              <w:spacing w:before="60" w:after="60" w:line="276" w:lineRule="auto"/>
              <w:jc w:val="both"/>
              <w:rPr>
                <w:color w:val="000000"/>
              </w:rPr>
            </w:pPr>
            <w:r w:rsidRPr="00D23304">
              <w:rPr>
                <w:color w:val="000000"/>
              </w:rPr>
              <w:t>- Hiện tại GPBank có vốn tự có âm, vậy tất cả các khoản cấp tín dụng đều vượt giới hạn theo định nghĩa, vậy phải báo cáo toàn bộ khoản cấp tín dụng hay báo cáo bằng 0?</w:t>
            </w:r>
          </w:p>
          <w:p w14:paraId="3E20A990" w14:textId="77777777" w:rsidR="00EE6DE9" w:rsidRPr="00D23304" w:rsidRDefault="00EE6DE9" w:rsidP="004C0292">
            <w:pPr>
              <w:spacing w:before="60" w:after="60" w:line="276" w:lineRule="auto"/>
              <w:jc w:val="both"/>
              <w:rPr>
                <w:color w:val="000000"/>
              </w:rPr>
            </w:pPr>
            <w:r w:rsidRPr="00D23304">
              <w:rPr>
                <w:color w:val="000000"/>
              </w:rPr>
              <w:t>- Cột (12): Nhóm nợ xác định trước hay sau khi tham chiếu CIC?</w:t>
            </w:r>
          </w:p>
          <w:p w14:paraId="46727CD4" w14:textId="77777777" w:rsidR="00EE6DE9" w:rsidRDefault="00EE6DE9" w:rsidP="004C0292">
            <w:pPr>
              <w:spacing w:before="60" w:after="60" w:line="276" w:lineRule="auto"/>
              <w:jc w:val="both"/>
              <w:rPr>
                <w:color w:val="000000"/>
              </w:rPr>
            </w:pPr>
            <w:r w:rsidRPr="00D23304">
              <w:rPr>
                <w:color w:val="000000"/>
              </w:rPr>
              <w:t>- Cột (15): Giá trị sổ sách có phải là giá trị định giá của TSBĐ gần nhất không?</w:t>
            </w:r>
          </w:p>
          <w:p w14:paraId="312BAA08" w14:textId="77777777" w:rsidR="00EE6DE9" w:rsidRPr="00D23304" w:rsidRDefault="00EE6DE9" w:rsidP="004C0292">
            <w:pPr>
              <w:spacing w:before="60" w:after="60" w:line="276" w:lineRule="auto"/>
              <w:jc w:val="both"/>
              <w:rPr>
                <w:color w:val="000000"/>
              </w:rPr>
            </w:pPr>
            <w:r w:rsidRPr="00D23304">
              <w:rPr>
                <w:color w:val="000000"/>
              </w:rPr>
              <w:t xml:space="preserve">- Cột (17): Ghi chú mục đích vay cụ thể hay ghi mục đích </w:t>
            </w:r>
            <w:r w:rsidRPr="00D23304">
              <w:rPr>
                <w:color w:val="000000"/>
              </w:rPr>
              <w:lastRenderedPageBreak/>
              <w:t>vay chung chung trên hệ thống; thời hạn hiệu lực ghi: "từ ngày … đến ngày…" hay chỉ ghi thời hạn hết hiệu lực ngày …?</w:t>
            </w:r>
          </w:p>
          <w:p w14:paraId="403ED9AD" w14:textId="6DF9D4D9" w:rsidR="00EE6DE9" w:rsidRPr="00D23304" w:rsidRDefault="00EE6DE9" w:rsidP="004C0292">
            <w:pPr>
              <w:spacing w:before="60" w:after="60" w:line="276" w:lineRule="auto"/>
              <w:jc w:val="both"/>
            </w:pPr>
          </w:p>
        </w:tc>
        <w:tc>
          <w:tcPr>
            <w:tcW w:w="1417" w:type="dxa"/>
            <w:shd w:val="clear" w:color="auto" w:fill="auto"/>
            <w:vAlign w:val="center"/>
          </w:tcPr>
          <w:p w14:paraId="4631A7C0" w14:textId="5EA949CF" w:rsidR="00EE6DE9" w:rsidRPr="00D23304" w:rsidRDefault="00EE6DE9" w:rsidP="004C0292">
            <w:pPr>
              <w:spacing w:before="60" w:after="60" w:line="276" w:lineRule="auto"/>
              <w:jc w:val="center"/>
            </w:pPr>
            <w:r w:rsidRPr="00D23304">
              <w:lastRenderedPageBreak/>
              <w:t>Dầu khí toàn cầu</w:t>
            </w:r>
          </w:p>
        </w:tc>
        <w:tc>
          <w:tcPr>
            <w:tcW w:w="5528" w:type="dxa"/>
          </w:tcPr>
          <w:p w14:paraId="59B0DBD6" w14:textId="02AF0E79" w:rsidR="00EE6DE9" w:rsidRDefault="00EE6DE9" w:rsidP="004C0292">
            <w:pPr>
              <w:tabs>
                <w:tab w:val="left" w:pos="142"/>
                <w:tab w:val="left" w:pos="270"/>
              </w:tabs>
              <w:spacing w:before="60" w:after="60" w:line="276" w:lineRule="auto"/>
              <w:jc w:val="both"/>
              <w:rPr>
                <w:color w:val="000000"/>
                <w:lang w:val="vi-VN"/>
              </w:rPr>
            </w:pPr>
            <w:r w:rsidRPr="00B40700">
              <w:rPr>
                <w:color w:val="000000"/>
                <w:lang w:val="vi-VN"/>
              </w:rPr>
              <w:t xml:space="preserve">- </w:t>
            </w:r>
            <w:r>
              <w:rPr>
                <w:color w:val="000000"/>
              </w:rPr>
              <w:t>TCTD</w:t>
            </w:r>
            <w:r w:rsidRPr="00475905">
              <w:rPr>
                <w:color w:val="000000"/>
                <w:lang w:val="vi-VN"/>
              </w:rPr>
              <w:t xml:space="preserve"> báo cáo tình hình cấp tín dụng vượt giới hạn đối với các Khoản cấp tín dụng theo Quyết định </w:t>
            </w:r>
            <w:r w:rsidRPr="00B40700">
              <w:rPr>
                <w:color w:val="000000"/>
                <w:lang w:val="vi-VN"/>
              </w:rPr>
              <w:t xml:space="preserve">13/2018/QĐ-TTg ngày 06/3/2018 </w:t>
            </w:r>
            <w:r w:rsidRPr="00475905">
              <w:rPr>
                <w:color w:val="000000"/>
                <w:lang w:val="vi-VN"/>
              </w:rPr>
              <w:t xml:space="preserve">và các Khoản cấp tín dụng vượt giới hạn đã được phê duyệt trước ngày Quyết định </w:t>
            </w:r>
            <w:r w:rsidRPr="00B40700">
              <w:rPr>
                <w:color w:val="000000"/>
                <w:lang w:val="vi-VN"/>
              </w:rPr>
              <w:t>13/2018/QĐ-TTg</w:t>
            </w:r>
            <w:r w:rsidRPr="00475905">
              <w:rPr>
                <w:color w:val="000000"/>
                <w:lang w:val="vi-VN"/>
              </w:rPr>
              <w:t xml:space="preserve"> có hiệu lực.</w:t>
            </w:r>
          </w:p>
          <w:p w14:paraId="1DFF3914" w14:textId="5E26BEB3" w:rsidR="009410EB" w:rsidRDefault="00EE6DE9" w:rsidP="004C0292">
            <w:pPr>
              <w:tabs>
                <w:tab w:val="left" w:pos="142"/>
                <w:tab w:val="left" w:pos="270"/>
              </w:tabs>
              <w:spacing w:before="60" w:after="60" w:line="276" w:lineRule="auto"/>
              <w:jc w:val="both"/>
              <w:rPr>
                <w:color w:val="000000"/>
              </w:rPr>
            </w:pPr>
            <w:r w:rsidRPr="009410EB">
              <w:rPr>
                <w:color w:val="000000"/>
                <w:lang w:val="vi-VN"/>
              </w:rPr>
              <w:t>- Cột (12)</w:t>
            </w:r>
            <w:r w:rsidRPr="009410EB">
              <w:rPr>
                <w:color w:val="000000"/>
              </w:rPr>
              <w:t>:</w:t>
            </w:r>
            <w:r w:rsidRPr="009410EB">
              <w:rPr>
                <w:color w:val="000000"/>
                <w:lang w:val="vi-VN"/>
              </w:rPr>
              <w:t xml:space="preserve"> Nhóm nợ</w:t>
            </w:r>
            <w:r w:rsidRPr="009410EB">
              <w:rPr>
                <w:color w:val="000000"/>
              </w:rPr>
              <w:t xml:space="preserve"> được phân loại theo quy định hiện hành</w:t>
            </w:r>
            <w:r w:rsidR="009410EB" w:rsidRPr="009410EB">
              <w:rPr>
                <w:color w:val="000000"/>
              </w:rPr>
              <w:t xml:space="preserve">, </w:t>
            </w:r>
            <w:r w:rsidR="009410EB" w:rsidRPr="00DA6040">
              <w:t>sau khi tham chiếu nhóm nợ do Trung tâm thông tin tín dụng quốc gia (CIC) cung cấp</w:t>
            </w:r>
            <w:r w:rsidR="009410EB" w:rsidRPr="009410EB">
              <w:rPr>
                <w:color w:val="000000"/>
              </w:rPr>
              <w:t>. Trường hợp thời điểm báo cáo Biểu 001N</w:t>
            </w:r>
            <w:r w:rsidR="009410EB">
              <w:rPr>
                <w:color w:val="000000"/>
              </w:rPr>
              <w:t>, 002N-TD</w:t>
            </w:r>
            <w:r w:rsidR="009410EB" w:rsidRPr="009410EB">
              <w:rPr>
                <w:color w:val="000000"/>
              </w:rPr>
              <w:t xml:space="preserve"> chưa </w:t>
            </w:r>
            <w:r w:rsidR="009410EB" w:rsidRPr="009410EB">
              <w:rPr>
                <w:color w:val="000000"/>
              </w:rPr>
              <w:lastRenderedPageBreak/>
              <w:t xml:space="preserve">nhận được danh sách phân loại nợ của CIC, thì TCTD lấy kết quả phân loại nợ </w:t>
            </w:r>
            <w:r w:rsidR="009410EB" w:rsidRPr="00DA6040">
              <w:t xml:space="preserve">do CIC cung cấp </w:t>
            </w:r>
            <w:r w:rsidR="009410EB" w:rsidRPr="00DA6040">
              <w:rPr>
                <w:b/>
              </w:rPr>
              <w:t>tại thời điểm gần nhất</w:t>
            </w:r>
            <w:r w:rsidR="009410EB">
              <w:rPr>
                <w:b/>
              </w:rPr>
              <w:t xml:space="preserve">. </w:t>
            </w:r>
            <w:r w:rsidR="009410EB" w:rsidRPr="00DA6040">
              <w:t>NHNN không yêu cầu TCTD bắt buộc phải sử dụng thông tin nhóm nợ do CIC cung cấp của tháng báo cáo, mà có thể sử dụng thông tin nhóm nợ do CIC cung cấp gần thời điểm báo cáo nhất.</w:t>
            </w:r>
          </w:p>
          <w:p w14:paraId="319FD507" w14:textId="77777777" w:rsidR="00EE6DE9" w:rsidRDefault="00EE6DE9" w:rsidP="004C0292">
            <w:pPr>
              <w:tabs>
                <w:tab w:val="left" w:pos="142"/>
                <w:tab w:val="left" w:pos="270"/>
              </w:tabs>
              <w:spacing w:before="60" w:after="60" w:line="276" w:lineRule="auto"/>
              <w:jc w:val="both"/>
              <w:rPr>
                <w:color w:val="000000"/>
              </w:rPr>
            </w:pPr>
            <w:r>
              <w:rPr>
                <w:color w:val="000000"/>
              </w:rPr>
              <w:t>- Cột (15): Giá trị sổ sách là giá trị định giá TSĐB gần nhất.</w:t>
            </w:r>
          </w:p>
          <w:p w14:paraId="73A90BFF" w14:textId="5EB5672C" w:rsidR="00EE6DE9" w:rsidRPr="00D23304" w:rsidRDefault="00EE6DE9" w:rsidP="004C0292">
            <w:pPr>
              <w:tabs>
                <w:tab w:val="left" w:pos="142"/>
                <w:tab w:val="left" w:pos="270"/>
              </w:tabs>
              <w:spacing w:before="60" w:after="60" w:line="276" w:lineRule="auto"/>
              <w:jc w:val="both"/>
              <w:rPr>
                <w:color w:val="4F81BD" w:themeColor="accent1"/>
              </w:rPr>
            </w:pPr>
            <w:r w:rsidRPr="00B40700">
              <w:rPr>
                <w:color w:val="000000"/>
                <w:lang w:val="vi-VN"/>
              </w:rPr>
              <w:t>-</w:t>
            </w:r>
            <w:r>
              <w:rPr>
                <w:color w:val="000000"/>
              </w:rPr>
              <w:t xml:space="preserve"> </w:t>
            </w:r>
            <w:r w:rsidRPr="00B40700">
              <w:rPr>
                <w:color w:val="000000"/>
                <w:lang w:val="vi-VN"/>
              </w:rPr>
              <w:t>Cột (17)</w:t>
            </w:r>
            <w:r>
              <w:rPr>
                <w:color w:val="000000"/>
              </w:rPr>
              <w:t>:</w:t>
            </w:r>
            <w:r w:rsidRPr="00B40700">
              <w:rPr>
                <w:color w:val="000000"/>
                <w:lang w:val="vi-VN"/>
              </w:rPr>
              <w:t xml:space="preserve"> </w:t>
            </w:r>
            <w:r>
              <w:rPr>
                <w:color w:val="000000"/>
              </w:rPr>
              <w:t>G</w:t>
            </w:r>
            <w:r>
              <w:rPr>
                <w:color w:val="000000"/>
                <w:lang w:val="vi-VN"/>
              </w:rPr>
              <w:t xml:space="preserve">hi rõ </w:t>
            </w:r>
            <w:r w:rsidRPr="00B40700">
              <w:rPr>
                <w:color w:val="000000"/>
                <w:lang w:val="vi-VN"/>
              </w:rPr>
              <w:t>m</w:t>
            </w:r>
            <w:r w:rsidRPr="00475905">
              <w:rPr>
                <w:color w:val="000000"/>
                <w:lang w:val="vi-VN"/>
              </w:rPr>
              <w:t>ục đích sử dụng vốn vay</w:t>
            </w:r>
            <w:r w:rsidRPr="00B40700">
              <w:rPr>
                <w:color w:val="000000"/>
                <w:lang w:val="vi-VN"/>
              </w:rPr>
              <w:t xml:space="preserve"> cụ thể</w:t>
            </w:r>
            <w:r w:rsidRPr="00475905">
              <w:rPr>
                <w:color w:val="000000"/>
                <w:lang w:val="vi-VN"/>
              </w:rPr>
              <w:t xml:space="preserve">, thời hạn hiệu lực của Khoản cấp </w:t>
            </w:r>
            <w:r>
              <w:rPr>
                <w:color w:val="000000"/>
                <w:lang w:val="vi-VN"/>
              </w:rPr>
              <w:t>tín dụng vượt giới hạn (nếu có)</w:t>
            </w:r>
            <w:r w:rsidRPr="00B40700">
              <w:rPr>
                <w:color w:val="000000"/>
                <w:lang w:val="vi-VN"/>
              </w:rPr>
              <w:t>. Về thời gian hiệu lực, ghi từ ngày …. đến ngày… (đối với các khoản cấp tín dụng ngắn hạn).</w:t>
            </w:r>
          </w:p>
        </w:tc>
      </w:tr>
      <w:tr w:rsidR="00EE6DE9" w:rsidRPr="00CD20A6" w14:paraId="4A25E186" w14:textId="77777777" w:rsidTr="006B04A6">
        <w:trPr>
          <w:trHeight w:val="397"/>
        </w:trPr>
        <w:tc>
          <w:tcPr>
            <w:tcW w:w="709" w:type="dxa"/>
            <w:shd w:val="clear" w:color="auto" w:fill="auto"/>
            <w:vAlign w:val="center"/>
          </w:tcPr>
          <w:p w14:paraId="230BA5BA" w14:textId="4E19DFF4" w:rsidR="00EE6DE9" w:rsidRPr="00CD20A6" w:rsidRDefault="00EE6DE9" w:rsidP="004C0292">
            <w:pPr>
              <w:spacing w:before="60" w:after="60" w:line="276" w:lineRule="auto"/>
              <w:jc w:val="center"/>
            </w:pPr>
            <w:r w:rsidRPr="00CD20A6">
              <w:lastRenderedPageBreak/>
              <w:t>2</w:t>
            </w:r>
          </w:p>
        </w:tc>
        <w:tc>
          <w:tcPr>
            <w:tcW w:w="1701" w:type="dxa"/>
            <w:shd w:val="clear" w:color="auto" w:fill="auto"/>
            <w:vAlign w:val="center"/>
          </w:tcPr>
          <w:p w14:paraId="10E19CA0" w14:textId="2A49BD81" w:rsidR="00EE6DE9" w:rsidRPr="00CD20A6" w:rsidRDefault="00EE6DE9" w:rsidP="004C0292">
            <w:pPr>
              <w:spacing w:before="60" w:after="60" w:line="276" w:lineRule="auto"/>
              <w:rPr>
                <w:sz w:val="22"/>
                <w:szCs w:val="22"/>
              </w:rPr>
            </w:pPr>
            <w:r w:rsidRPr="00CD20A6">
              <w:t xml:space="preserve"> 025N-TD</w:t>
            </w:r>
          </w:p>
        </w:tc>
        <w:tc>
          <w:tcPr>
            <w:tcW w:w="5954" w:type="dxa"/>
          </w:tcPr>
          <w:p w14:paraId="69F7BFF3" w14:textId="7441EA58" w:rsidR="00EE6DE9" w:rsidRPr="00CD20A6" w:rsidRDefault="00EE6DE9" w:rsidP="004C0292">
            <w:pPr>
              <w:spacing w:before="60" w:after="60" w:line="276" w:lineRule="auto"/>
              <w:jc w:val="both"/>
            </w:pPr>
            <w:r w:rsidRPr="00CD20A6">
              <w:t>1. Báo cáo số dư tín dụng có bao gồm L/C, bao thanh toán, bảo lãnh, mua đầu tư trái phiếu doanh nghiệp (vì chưa có định nghĩa số dư tín dụng mà chỉ có định nghĩa về cấp tín dụng và dư nợ tín dụng).</w:t>
            </w:r>
          </w:p>
          <w:p w14:paraId="3A42679D" w14:textId="33F25F61" w:rsidR="00EE6DE9" w:rsidRPr="00CD20A6" w:rsidRDefault="00EE6DE9" w:rsidP="004C0292">
            <w:pPr>
              <w:spacing w:before="60" w:after="60" w:line="276" w:lineRule="auto"/>
              <w:jc w:val="both"/>
              <w:rPr>
                <w:sz w:val="22"/>
                <w:szCs w:val="22"/>
              </w:rPr>
            </w:pPr>
            <w:r w:rsidRPr="00CD20A6">
              <w:t>2. Lĩnh vực giao thông được hiểu theo Hướng dẫn "Mục I: Bao gồm xây dựng các công trình đường bộ, đường sắt, đường thủy, hàng không, bến xe, bến đỗ…" đúng không?</w:t>
            </w:r>
          </w:p>
        </w:tc>
        <w:tc>
          <w:tcPr>
            <w:tcW w:w="1417" w:type="dxa"/>
            <w:shd w:val="clear" w:color="auto" w:fill="auto"/>
            <w:vAlign w:val="center"/>
          </w:tcPr>
          <w:p w14:paraId="208DC26F" w14:textId="2290DF34" w:rsidR="00EE6DE9" w:rsidRPr="00CD20A6" w:rsidRDefault="00EE6DE9" w:rsidP="004C0292">
            <w:pPr>
              <w:spacing w:before="60" w:after="60" w:line="276" w:lineRule="auto"/>
              <w:jc w:val="center"/>
            </w:pPr>
            <w:r w:rsidRPr="00CD20A6">
              <w:t>Dầu khí toàn cầu</w:t>
            </w:r>
          </w:p>
        </w:tc>
        <w:tc>
          <w:tcPr>
            <w:tcW w:w="5528" w:type="dxa"/>
          </w:tcPr>
          <w:p w14:paraId="763BFCA4" w14:textId="6291F34F" w:rsidR="00EE6DE9" w:rsidRPr="00CD20A6" w:rsidRDefault="00EE6DE9" w:rsidP="004C0292">
            <w:pPr>
              <w:spacing w:before="60" w:after="60" w:line="276" w:lineRule="auto"/>
              <w:jc w:val="both"/>
            </w:pPr>
            <w:r w:rsidRPr="00CD20A6">
              <w:t>1. Báo cáo số dư tín dụng có bao gồm L</w:t>
            </w:r>
            <w:r>
              <w:t>/C; bao thanh toán; bảo lãnh;</w:t>
            </w:r>
            <w:r w:rsidRPr="00CD20A6">
              <w:t xml:space="preserve"> mua</w:t>
            </w:r>
            <w:r>
              <w:t>,</w:t>
            </w:r>
            <w:r w:rsidRPr="00CD20A6">
              <w:t xml:space="preserve"> đầu tư trái phiếu doanh nghiệp.</w:t>
            </w:r>
          </w:p>
          <w:p w14:paraId="7968F257" w14:textId="4550F63A" w:rsidR="00EE6DE9" w:rsidRPr="00CD20A6" w:rsidRDefault="00EE6DE9" w:rsidP="004C0292">
            <w:pPr>
              <w:spacing w:before="60" w:after="60" w:line="276" w:lineRule="auto"/>
              <w:jc w:val="both"/>
            </w:pPr>
            <w:r w:rsidRPr="00CD20A6">
              <w:t>2. Lĩnh vực giao thông được hiểu theo Hướng dẫn "Mục I: Bao gồm xây dựng các công trình đường bộ, đường sắt, đường thủy, hàng không, bến xe, bến đỗ…".</w:t>
            </w:r>
          </w:p>
        </w:tc>
      </w:tr>
      <w:tr w:rsidR="00EE6DE9" w:rsidRPr="00BD51C1" w14:paraId="37DA57B0" w14:textId="77777777" w:rsidTr="006B04A6">
        <w:trPr>
          <w:trHeight w:val="397"/>
        </w:trPr>
        <w:tc>
          <w:tcPr>
            <w:tcW w:w="709" w:type="dxa"/>
            <w:shd w:val="clear" w:color="auto" w:fill="auto"/>
            <w:vAlign w:val="center"/>
          </w:tcPr>
          <w:p w14:paraId="426C4A8C" w14:textId="51B16A68" w:rsidR="00EE6DE9" w:rsidRPr="00D23304" w:rsidRDefault="00EE6DE9" w:rsidP="004C0292">
            <w:pPr>
              <w:spacing w:before="60" w:after="60" w:line="276" w:lineRule="auto"/>
              <w:jc w:val="center"/>
            </w:pPr>
            <w:r>
              <w:t>3</w:t>
            </w:r>
          </w:p>
        </w:tc>
        <w:tc>
          <w:tcPr>
            <w:tcW w:w="1701" w:type="dxa"/>
            <w:shd w:val="clear" w:color="auto" w:fill="auto"/>
            <w:vAlign w:val="center"/>
          </w:tcPr>
          <w:p w14:paraId="4F74BECA" w14:textId="4E62C6B0" w:rsidR="00EE6DE9" w:rsidRPr="00D23304" w:rsidRDefault="00EE6DE9" w:rsidP="004C0292">
            <w:pPr>
              <w:spacing w:before="60" w:after="60" w:line="276" w:lineRule="auto"/>
              <w:rPr>
                <w:color w:val="000000"/>
              </w:rPr>
            </w:pPr>
            <w:r w:rsidRPr="00D23304">
              <w:rPr>
                <w:color w:val="000000"/>
              </w:rPr>
              <w:t>026N-TD</w:t>
            </w:r>
          </w:p>
        </w:tc>
        <w:tc>
          <w:tcPr>
            <w:tcW w:w="5954" w:type="dxa"/>
          </w:tcPr>
          <w:p w14:paraId="3E6D4047" w14:textId="60B6A3ED" w:rsidR="00EE6DE9" w:rsidRPr="00D23304" w:rsidRDefault="00EE6DE9" w:rsidP="004C0292">
            <w:pPr>
              <w:spacing w:before="60" w:after="60" w:line="276" w:lineRule="auto"/>
              <w:jc w:val="both"/>
              <w:rPr>
                <w:color w:val="000000"/>
              </w:rPr>
            </w:pPr>
            <w:r>
              <w:rPr>
                <w:color w:val="000000"/>
              </w:rPr>
              <w:t>1.</w:t>
            </w:r>
            <w:r w:rsidRPr="00D23304">
              <w:rPr>
                <w:color w:val="000000"/>
              </w:rPr>
              <w:t xml:space="preserve"> Nhà đầu tư đối với Chủ đầu tư là </w:t>
            </w:r>
            <w:r>
              <w:rPr>
                <w:color w:val="000000"/>
              </w:rPr>
              <w:t>c</w:t>
            </w:r>
            <w:r w:rsidRPr="00D23304">
              <w:rPr>
                <w:color w:val="000000"/>
              </w:rPr>
              <w:t xml:space="preserve">ông ty </w:t>
            </w:r>
            <w:r>
              <w:rPr>
                <w:color w:val="000000"/>
              </w:rPr>
              <w:t>c</w:t>
            </w:r>
            <w:r w:rsidRPr="00D23304">
              <w:rPr>
                <w:color w:val="000000"/>
              </w:rPr>
              <w:t>ổ phần sẽ bao gồm những nhà đầu tư nào?</w:t>
            </w:r>
          </w:p>
          <w:p w14:paraId="4CC834BB" w14:textId="1021C0C3" w:rsidR="00EE6DE9" w:rsidRPr="00D23304" w:rsidRDefault="00EE6DE9" w:rsidP="004C0292">
            <w:pPr>
              <w:spacing w:before="60" w:after="60" w:line="276" w:lineRule="auto"/>
              <w:jc w:val="both"/>
              <w:rPr>
                <w:color w:val="000000"/>
              </w:rPr>
            </w:pPr>
            <w:r>
              <w:rPr>
                <w:color w:val="000000"/>
              </w:rPr>
              <w:t>2.</w:t>
            </w:r>
            <w:r w:rsidRPr="00D23304">
              <w:rPr>
                <w:color w:val="000000"/>
              </w:rPr>
              <w:t xml:space="preserve"> Dư nợ tại các dòng Nhà đầu tư: là các khoản cấp tín dụng để đầu tư vào dự án hay bao gồm tất cả khoản cấp tín dụng theo mục đích khác của Nhà đầu tư tại TCTD?</w:t>
            </w:r>
          </w:p>
        </w:tc>
        <w:tc>
          <w:tcPr>
            <w:tcW w:w="1417" w:type="dxa"/>
            <w:shd w:val="clear" w:color="auto" w:fill="auto"/>
            <w:vAlign w:val="center"/>
          </w:tcPr>
          <w:p w14:paraId="379BD29C" w14:textId="7CCA8FD5" w:rsidR="00EE6DE9" w:rsidRPr="00BD51C1" w:rsidRDefault="00EE6DE9" w:rsidP="004C0292">
            <w:pPr>
              <w:spacing w:before="60" w:after="60" w:line="276" w:lineRule="auto"/>
              <w:jc w:val="center"/>
            </w:pPr>
            <w:r w:rsidRPr="00D23304">
              <w:t>Dầu khí toàn cầu</w:t>
            </w:r>
          </w:p>
        </w:tc>
        <w:tc>
          <w:tcPr>
            <w:tcW w:w="5528" w:type="dxa"/>
          </w:tcPr>
          <w:p w14:paraId="7C99F331" w14:textId="09A9796F" w:rsidR="00EE6DE9" w:rsidRPr="00E144D6" w:rsidRDefault="00EE6DE9" w:rsidP="004C0292">
            <w:pPr>
              <w:spacing w:before="60" w:after="60" w:line="276" w:lineRule="auto"/>
              <w:jc w:val="both"/>
              <w:rPr>
                <w:lang w:eastAsia="vi-VN"/>
              </w:rPr>
            </w:pPr>
            <w:r w:rsidRPr="00E144D6">
              <w:t>1.</w:t>
            </w:r>
            <w:r w:rsidRPr="00E144D6">
              <w:rPr>
                <w:lang w:eastAsia="vi-VN"/>
              </w:rPr>
              <w:t xml:space="preserve"> Nhà đầu tư là tổ chức, cá nhân nắm giữ vốn sở hữu đối với chủ đầu tư.</w:t>
            </w:r>
          </w:p>
          <w:p w14:paraId="6FEB7AFE" w14:textId="14301404" w:rsidR="00EE6DE9" w:rsidRPr="00E144D6" w:rsidRDefault="00EE6DE9" w:rsidP="004C0292">
            <w:pPr>
              <w:spacing w:before="60" w:after="60" w:line="276" w:lineRule="auto"/>
              <w:jc w:val="both"/>
            </w:pPr>
            <w:r w:rsidRPr="00E144D6">
              <w:t>2. Dư nợ tại các dòng Nhà đầu tư là các khoản cấp tín dụng để đầu tư vào dự án bất động sản (</w:t>
            </w:r>
            <w:r w:rsidRPr="00E144D6">
              <w:rPr>
                <w:lang w:eastAsia="vi-VN"/>
              </w:rPr>
              <w:t xml:space="preserve">Dự án bất động sản có tổng mức dư nợ cấp tín dụng lớn theo báo cáo là một dự án có tổng mức dư nợ cấp tín dụng tại TCTD từ 300 tỷ đồng trở lên. Các TCTD xác định tổng mức dư nợ cấp tín dụng theo quy định tại </w:t>
            </w:r>
            <w:r w:rsidRPr="00E144D6">
              <w:rPr>
                <w:lang w:eastAsia="en-AU"/>
              </w:rPr>
              <w:t xml:space="preserve">Thông tư 36/2014/TT-NHNN ngày 20/11/2014, Thông tư </w:t>
            </w:r>
            <w:r w:rsidRPr="00E144D6">
              <w:rPr>
                <w:lang w:eastAsia="en-AU"/>
              </w:rPr>
              <w:lastRenderedPageBreak/>
              <w:t>19/2017/TT-NHNN ngày 28/12/2017</w:t>
            </w:r>
            <w:r>
              <w:rPr>
                <w:lang w:eastAsia="en-AU"/>
              </w:rPr>
              <w:t>, Thông tư 16/2018/TT-NHNN</w:t>
            </w:r>
            <w:r w:rsidRPr="00E144D6">
              <w:t>).</w:t>
            </w:r>
          </w:p>
        </w:tc>
      </w:tr>
    </w:tbl>
    <w:p w14:paraId="30DD0064" w14:textId="4F10FAC1" w:rsidR="00DC4D37" w:rsidRPr="001C40B4" w:rsidRDefault="00DC4D37" w:rsidP="009C72C8">
      <w:pPr>
        <w:jc w:val="center"/>
      </w:pPr>
    </w:p>
    <w:sectPr w:rsidR="00DC4D37" w:rsidRPr="001C40B4" w:rsidSect="00DC4D37">
      <w:footerReference w:type="even" r:id="rId9"/>
      <w:footerReference w:type="default" r:id="rId10"/>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AB034" w14:textId="77777777" w:rsidR="00E04F1A" w:rsidRDefault="00E04F1A">
      <w:r>
        <w:separator/>
      </w:r>
    </w:p>
  </w:endnote>
  <w:endnote w:type="continuationSeparator" w:id="0">
    <w:p w14:paraId="6347AB50" w14:textId="77777777" w:rsidR="00E04F1A" w:rsidRDefault="00E0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677DF" w14:textId="77777777" w:rsidR="00A85E2F" w:rsidRDefault="00A85E2F"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1584A" w14:textId="77777777" w:rsidR="00A85E2F" w:rsidRDefault="00A85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17AC5" w14:textId="25E8CCE6" w:rsidR="00A85E2F" w:rsidRDefault="00A85E2F"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096">
      <w:rPr>
        <w:rStyle w:val="PageNumber"/>
        <w:noProof/>
      </w:rPr>
      <w:t>1</w:t>
    </w:r>
    <w:r>
      <w:rPr>
        <w:rStyle w:val="PageNumber"/>
      </w:rPr>
      <w:fldChar w:fldCharType="end"/>
    </w:r>
  </w:p>
  <w:p w14:paraId="065F9FCD" w14:textId="77777777" w:rsidR="00A85E2F" w:rsidRDefault="00A85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099D6" w14:textId="77777777" w:rsidR="00E04F1A" w:rsidRDefault="00E04F1A">
      <w:r>
        <w:separator/>
      </w:r>
    </w:p>
  </w:footnote>
  <w:footnote w:type="continuationSeparator" w:id="0">
    <w:p w14:paraId="29277407" w14:textId="77777777" w:rsidR="00E04F1A" w:rsidRDefault="00E04F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A0CE6"/>
    <w:multiLevelType w:val="hybridMultilevel"/>
    <w:tmpl w:val="FDD2F602"/>
    <w:lvl w:ilvl="0" w:tplc="DD1AD42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E0730"/>
    <w:multiLevelType w:val="hybridMultilevel"/>
    <w:tmpl w:val="EB08348E"/>
    <w:lvl w:ilvl="0" w:tplc="C608C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F53A8"/>
    <w:multiLevelType w:val="hybridMultilevel"/>
    <w:tmpl w:val="984E50C2"/>
    <w:lvl w:ilvl="0" w:tplc="7A56AB1A">
      <w:start w:val="5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E6E07"/>
    <w:multiLevelType w:val="hybridMultilevel"/>
    <w:tmpl w:val="E918BD34"/>
    <w:lvl w:ilvl="0" w:tplc="9A567DA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9">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E50ED"/>
    <w:multiLevelType w:val="hybridMultilevel"/>
    <w:tmpl w:val="F7A2AB42"/>
    <w:lvl w:ilvl="0" w:tplc="85741C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A91299"/>
    <w:multiLevelType w:val="hybridMultilevel"/>
    <w:tmpl w:val="441AF162"/>
    <w:lvl w:ilvl="0" w:tplc="852EBDC8">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D6252"/>
    <w:multiLevelType w:val="hybridMultilevel"/>
    <w:tmpl w:val="6C48904C"/>
    <w:lvl w:ilvl="0" w:tplc="677C72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7">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376443"/>
    <w:multiLevelType w:val="hybridMultilevel"/>
    <w:tmpl w:val="60B20646"/>
    <w:lvl w:ilvl="0" w:tplc="EE4EDCC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813491"/>
    <w:multiLevelType w:val="hybridMultilevel"/>
    <w:tmpl w:val="A5C63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7"/>
  </w:num>
  <w:num w:numId="3">
    <w:abstractNumId w:val="28"/>
  </w:num>
  <w:num w:numId="4">
    <w:abstractNumId w:val="21"/>
  </w:num>
  <w:num w:numId="5">
    <w:abstractNumId w:val="3"/>
  </w:num>
  <w:num w:numId="6">
    <w:abstractNumId w:val="26"/>
  </w:num>
  <w:num w:numId="7">
    <w:abstractNumId w:val="13"/>
  </w:num>
  <w:num w:numId="8">
    <w:abstractNumId w:val="29"/>
  </w:num>
  <w:num w:numId="9">
    <w:abstractNumId w:val="25"/>
  </w:num>
  <w:num w:numId="10">
    <w:abstractNumId w:val="11"/>
  </w:num>
  <w:num w:numId="11">
    <w:abstractNumId w:val="34"/>
  </w:num>
  <w:num w:numId="12">
    <w:abstractNumId w:val="10"/>
  </w:num>
  <w:num w:numId="13">
    <w:abstractNumId w:val="18"/>
  </w:num>
  <w:num w:numId="14">
    <w:abstractNumId w:val="20"/>
  </w:num>
  <w:num w:numId="15">
    <w:abstractNumId w:val="12"/>
  </w:num>
  <w:num w:numId="16">
    <w:abstractNumId w:val="15"/>
  </w:num>
  <w:num w:numId="17">
    <w:abstractNumId w:val="23"/>
  </w:num>
  <w:num w:numId="18">
    <w:abstractNumId w:val="19"/>
  </w:num>
  <w:num w:numId="19">
    <w:abstractNumId w:val="6"/>
  </w:num>
  <w:num w:numId="20">
    <w:abstractNumId w:val="24"/>
  </w:num>
  <w:num w:numId="21">
    <w:abstractNumId w:val="9"/>
  </w:num>
  <w:num w:numId="22">
    <w:abstractNumId w:val="32"/>
  </w:num>
  <w:num w:numId="23">
    <w:abstractNumId w:val="16"/>
  </w:num>
  <w:num w:numId="24">
    <w:abstractNumId w:val="33"/>
  </w:num>
  <w:num w:numId="25">
    <w:abstractNumId w:val="0"/>
  </w:num>
  <w:num w:numId="26">
    <w:abstractNumId w:val="2"/>
  </w:num>
  <w:num w:numId="27">
    <w:abstractNumId w:val="4"/>
  </w:num>
  <w:num w:numId="28">
    <w:abstractNumId w:val="5"/>
  </w:num>
  <w:num w:numId="29">
    <w:abstractNumId w:val="22"/>
  </w:num>
  <w:num w:numId="30">
    <w:abstractNumId w:val="31"/>
  </w:num>
  <w:num w:numId="31">
    <w:abstractNumId w:val="7"/>
  </w:num>
  <w:num w:numId="32">
    <w:abstractNumId w:val="30"/>
  </w:num>
  <w:num w:numId="33">
    <w:abstractNumId w:val="1"/>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1D4A"/>
    <w:rsid w:val="000024C0"/>
    <w:rsid w:val="00012424"/>
    <w:rsid w:val="00015866"/>
    <w:rsid w:val="000171AF"/>
    <w:rsid w:val="00017B95"/>
    <w:rsid w:val="00017EDA"/>
    <w:rsid w:val="00017F4C"/>
    <w:rsid w:val="00017F53"/>
    <w:rsid w:val="00020AE2"/>
    <w:rsid w:val="00021A4B"/>
    <w:rsid w:val="00021EAA"/>
    <w:rsid w:val="00026CAD"/>
    <w:rsid w:val="00026CDD"/>
    <w:rsid w:val="000326BF"/>
    <w:rsid w:val="0003619C"/>
    <w:rsid w:val="0003638C"/>
    <w:rsid w:val="0003785A"/>
    <w:rsid w:val="00040954"/>
    <w:rsid w:val="00040F2B"/>
    <w:rsid w:val="000421B9"/>
    <w:rsid w:val="00043DA4"/>
    <w:rsid w:val="00050FAC"/>
    <w:rsid w:val="00051722"/>
    <w:rsid w:val="00053BA1"/>
    <w:rsid w:val="000540E3"/>
    <w:rsid w:val="00054949"/>
    <w:rsid w:val="00056123"/>
    <w:rsid w:val="00056BB0"/>
    <w:rsid w:val="00061DE3"/>
    <w:rsid w:val="00061E93"/>
    <w:rsid w:val="0006384F"/>
    <w:rsid w:val="00066D84"/>
    <w:rsid w:val="00072040"/>
    <w:rsid w:val="00072274"/>
    <w:rsid w:val="00074E29"/>
    <w:rsid w:val="00075428"/>
    <w:rsid w:val="00076BF3"/>
    <w:rsid w:val="000801D5"/>
    <w:rsid w:val="0008059C"/>
    <w:rsid w:val="00083949"/>
    <w:rsid w:val="000856FE"/>
    <w:rsid w:val="00085CA7"/>
    <w:rsid w:val="0008735F"/>
    <w:rsid w:val="00090777"/>
    <w:rsid w:val="0009261B"/>
    <w:rsid w:val="00092D2B"/>
    <w:rsid w:val="00092E04"/>
    <w:rsid w:val="0009343E"/>
    <w:rsid w:val="00093F3E"/>
    <w:rsid w:val="00094CCF"/>
    <w:rsid w:val="0009618F"/>
    <w:rsid w:val="000A0511"/>
    <w:rsid w:val="000A181E"/>
    <w:rsid w:val="000A2849"/>
    <w:rsid w:val="000A406C"/>
    <w:rsid w:val="000A56F4"/>
    <w:rsid w:val="000A68B4"/>
    <w:rsid w:val="000B172A"/>
    <w:rsid w:val="000B1C03"/>
    <w:rsid w:val="000B2FB6"/>
    <w:rsid w:val="000B3B9B"/>
    <w:rsid w:val="000B5506"/>
    <w:rsid w:val="000B6258"/>
    <w:rsid w:val="000B62E0"/>
    <w:rsid w:val="000C33E0"/>
    <w:rsid w:val="000C3DEC"/>
    <w:rsid w:val="000C3F1D"/>
    <w:rsid w:val="000C4A6A"/>
    <w:rsid w:val="000C5857"/>
    <w:rsid w:val="000C703E"/>
    <w:rsid w:val="000C75B0"/>
    <w:rsid w:val="000D04BB"/>
    <w:rsid w:val="000D17BE"/>
    <w:rsid w:val="000D39A2"/>
    <w:rsid w:val="000E35A8"/>
    <w:rsid w:val="000E40D7"/>
    <w:rsid w:val="000E534A"/>
    <w:rsid w:val="000F1C2C"/>
    <w:rsid w:val="000F24FA"/>
    <w:rsid w:val="000F44F7"/>
    <w:rsid w:val="000F48F0"/>
    <w:rsid w:val="000F48FD"/>
    <w:rsid w:val="000F5186"/>
    <w:rsid w:val="000F70DF"/>
    <w:rsid w:val="000F71B5"/>
    <w:rsid w:val="00101FA9"/>
    <w:rsid w:val="0010287A"/>
    <w:rsid w:val="00103C8C"/>
    <w:rsid w:val="00103DB9"/>
    <w:rsid w:val="00104C52"/>
    <w:rsid w:val="00107E3C"/>
    <w:rsid w:val="0011010D"/>
    <w:rsid w:val="001125F5"/>
    <w:rsid w:val="00112BB5"/>
    <w:rsid w:val="00113432"/>
    <w:rsid w:val="00113D96"/>
    <w:rsid w:val="00116509"/>
    <w:rsid w:val="0011651D"/>
    <w:rsid w:val="00122101"/>
    <w:rsid w:val="00123805"/>
    <w:rsid w:val="001238D7"/>
    <w:rsid w:val="00126A7C"/>
    <w:rsid w:val="0012790C"/>
    <w:rsid w:val="0013193D"/>
    <w:rsid w:val="001325CB"/>
    <w:rsid w:val="0013446D"/>
    <w:rsid w:val="0013538F"/>
    <w:rsid w:val="00135821"/>
    <w:rsid w:val="00136096"/>
    <w:rsid w:val="001374B3"/>
    <w:rsid w:val="00142FD6"/>
    <w:rsid w:val="001432FB"/>
    <w:rsid w:val="001443AC"/>
    <w:rsid w:val="00144F36"/>
    <w:rsid w:val="001460DB"/>
    <w:rsid w:val="0014680B"/>
    <w:rsid w:val="00146EB7"/>
    <w:rsid w:val="00147A76"/>
    <w:rsid w:val="00147BEE"/>
    <w:rsid w:val="00150243"/>
    <w:rsid w:val="001505D5"/>
    <w:rsid w:val="00150C36"/>
    <w:rsid w:val="00154312"/>
    <w:rsid w:val="00154688"/>
    <w:rsid w:val="00155747"/>
    <w:rsid w:val="001568A9"/>
    <w:rsid w:val="00160049"/>
    <w:rsid w:val="001614A0"/>
    <w:rsid w:val="00161628"/>
    <w:rsid w:val="0016204D"/>
    <w:rsid w:val="00162A19"/>
    <w:rsid w:val="00162BAE"/>
    <w:rsid w:val="001630D9"/>
    <w:rsid w:val="00163331"/>
    <w:rsid w:val="001641FB"/>
    <w:rsid w:val="00164A21"/>
    <w:rsid w:val="00165F24"/>
    <w:rsid w:val="00170A8F"/>
    <w:rsid w:val="00170C07"/>
    <w:rsid w:val="00170C0D"/>
    <w:rsid w:val="00173982"/>
    <w:rsid w:val="0017410D"/>
    <w:rsid w:val="001757F3"/>
    <w:rsid w:val="00175854"/>
    <w:rsid w:val="0018094F"/>
    <w:rsid w:val="0018161D"/>
    <w:rsid w:val="00185F10"/>
    <w:rsid w:val="001901A6"/>
    <w:rsid w:val="00192981"/>
    <w:rsid w:val="001937DF"/>
    <w:rsid w:val="00195B5E"/>
    <w:rsid w:val="001966CA"/>
    <w:rsid w:val="001A0116"/>
    <w:rsid w:val="001A09CA"/>
    <w:rsid w:val="001A2978"/>
    <w:rsid w:val="001A3DFE"/>
    <w:rsid w:val="001A5C72"/>
    <w:rsid w:val="001B05E5"/>
    <w:rsid w:val="001B1958"/>
    <w:rsid w:val="001B7DF5"/>
    <w:rsid w:val="001C0268"/>
    <w:rsid w:val="001C21B0"/>
    <w:rsid w:val="001C2B88"/>
    <w:rsid w:val="001C40B4"/>
    <w:rsid w:val="001D0042"/>
    <w:rsid w:val="001D1737"/>
    <w:rsid w:val="001D1C41"/>
    <w:rsid w:val="001D2095"/>
    <w:rsid w:val="001D3C8D"/>
    <w:rsid w:val="001D46AF"/>
    <w:rsid w:val="001D4AEA"/>
    <w:rsid w:val="001D6E56"/>
    <w:rsid w:val="001E0C46"/>
    <w:rsid w:val="001E526F"/>
    <w:rsid w:val="001E540A"/>
    <w:rsid w:val="001F04A7"/>
    <w:rsid w:val="001F38C5"/>
    <w:rsid w:val="001F42BD"/>
    <w:rsid w:val="002016C0"/>
    <w:rsid w:val="00202217"/>
    <w:rsid w:val="00203127"/>
    <w:rsid w:val="0020329D"/>
    <w:rsid w:val="00203E23"/>
    <w:rsid w:val="00204B71"/>
    <w:rsid w:val="00204BEA"/>
    <w:rsid w:val="00206B1E"/>
    <w:rsid w:val="00210FCF"/>
    <w:rsid w:val="00213277"/>
    <w:rsid w:val="00214620"/>
    <w:rsid w:val="00215FB8"/>
    <w:rsid w:val="002167C4"/>
    <w:rsid w:val="00216D76"/>
    <w:rsid w:val="00217324"/>
    <w:rsid w:val="00217A56"/>
    <w:rsid w:val="00221594"/>
    <w:rsid w:val="00224659"/>
    <w:rsid w:val="002254A2"/>
    <w:rsid w:val="002257CE"/>
    <w:rsid w:val="002302D3"/>
    <w:rsid w:val="00235369"/>
    <w:rsid w:val="00236A09"/>
    <w:rsid w:val="0023796A"/>
    <w:rsid w:val="00237B19"/>
    <w:rsid w:val="002407D8"/>
    <w:rsid w:val="00241CF5"/>
    <w:rsid w:val="002422EF"/>
    <w:rsid w:val="00242782"/>
    <w:rsid w:val="00242D0A"/>
    <w:rsid w:val="00245ADB"/>
    <w:rsid w:val="00246320"/>
    <w:rsid w:val="00247F4C"/>
    <w:rsid w:val="00251D21"/>
    <w:rsid w:val="0025230B"/>
    <w:rsid w:val="00252BE0"/>
    <w:rsid w:val="00252F53"/>
    <w:rsid w:val="002538A8"/>
    <w:rsid w:val="00253C3E"/>
    <w:rsid w:val="00255C8A"/>
    <w:rsid w:val="002569E6"/>
    <w:rsid w:val="00256E68"/>
    <w:rsid w:val="0025712B"/>
    <w:rsid w:val="0026048E"/>
    <w:rsid w:val="00263383"/>
    <w:rsid w:val="00264A83"/>
    <w:rsid w:val="00267623"/>
    <w:rsid w:val="00267F14"/>
    <w:rsid w:val="00267F2C"/>
    <w:rsid w:val="00270489"/>
    <w:rsid w:val="00272E42"/>
    <w:rsid w:val="00275869"/>
    <w:rsid w:val="00275A20"/>
    <w:rsid w:val="00280877"/>
    <w:rsid w:val="00282E82"/>
    <w:rsid w:val="00285FA7"/>
    <w:rsid w:val="0028689D"/>
    <w:rsid w:val="002879BA"/>
    <w:rsid w:val="00287BF6"/>
    <w:rsid w:val="00291FE6"/>
    <w:rsid w:val="00296F51"/>
    <w:rsid w:val="002A52A6"/>
    <w:rsid w:val="002A6BF6"/>
    <w:rsid w:val="002B0308"/>
    <w:rsid w:val="002B039D"/>
    <w:rsid w:val="002B0F70"/>
    <w:rsid w:val="002B3BEB"/>
    <w:rsid w:val="002B434E"/>
    <w:rsid w:val="002B5993"/>
    <w:rsid w:val="002B5B79"/>
    <w:rsid w:val="002B7970"/>
    <w:rsid w:val="002C0AB2"/>
    <w:rsid w:val="002C66B1"/>
    <w:rsid w:val="002C6D24"/>
    <w:rsid w:val="002C6FAB"/>
    <w:rsid w:val="002C72FB"/>
    <w:rsid w:val="002D1F76"/>
    <w:rsid w:val="002D2488"/>
    <w:rsid w:val="002D2640"/>
    <w:rsid w:val="002D32ED"/>
    <w:rsid w:val="002D3674"/>
    <w:rsid w:val="002D3CB5"/>
    <w:rsid w:val="002D4083"/>
    <w:rsid w:val="002D575C"/>
    <w:rsid w:val="002D5C2F"/>
    <w:rsid w:val="002D5CA8"/>
    <w:rsid w:val="002D6232"/>
    <w:rsid w:val="002D6F51"/>
    <w:rsid w:val="002D74F9"/>
    <w:rsid w:val="002E26E3"/>
    <w:rsid w:val="002F2ED0"/>
    <w:rsid w:val="002F3EA4"/>
    <w:rsid w:val="002F5FE0"/>
    <w:rsid w:val="002F661A"/>
    <w:rsid w:val="002F6999"/>
    <w:rsid w:val="002F7C8E"/>
    <w:rsid w:val="00300534"/>
    <w:rsid w:val="0030169D"/>
    <w:rsid w:val="003029A0"/>
    <w:rsid w:val="0030319A"/>
    <w:rsid w:val="00304E16"/>
    <w:rsid w:val="0030748D"/>
    <w:rsid w:val="003106F4"/>
    <w:rsid w:val="00310AF2"/>
    <w:rsid w:val="0031348C"/>
    <w:rsid w:val="00313D32"/>
    <w:rsid w:val="00316394"/>
    <w:rsid w:val="00317C92"/>
    <w:rsid w:val="00322695"/>
    <w:rsid w:val="00322B6F"/>
    <w:rsid w:val="00323802"/>
    <w:rsid w:val="003244B6"/>
    <w:rsid w:val="00325BD3"/>
    <w:rsid w:val="0032692A"/>
    <w:rsid w:val="00326E69"/>
    <w:rsid w:val="00327A12"/>
    <w:rsid w:val="00330302"/>
    <w:rsid w:val="00330D34"/>
    <w:rsid w:val="00334D3D"/>
    <w:rsid w:val="003366BC"/>
    <w:rsid w:val="0033753D"/>
    <w:rsid w:val="00341E34"/>
    <w:rsid w:val="003430C4"/>
    <w:rsid w:val="00344EE0"/>
    <w:rsid w:val="00344F67"/>
    <w:rsid w:val="003479A7"/>
    <w:rsid w:val="00350098"/>
    <w:rsid w:val="00351D6A"/>
    <w:rsid w:val="00351D6E"/>
    <w:rsid w:val="00353DFA"/>
    <w:rsid w:val="003552EF"/>
    <w:rsid w:val="00355A4F"/>
    <w:rsid w:val="00361816"/>
    <w:rsid w:val="00364079"/>
    <w:rsid w:val="00364CE4"/>
    <w:rsid w:val="00366126"/>
    <w:rsid w:val="003662AA"/>
    <w:rsid w:val="00367F07"/>
    <w:rsid w:val="00370CB0"/>
    <w:rsid w:val="003729FA"/>
    <w:rsid w:val="00376F62"/>
    <w:rsid w:val="0037700E"/>
    <w:rsid w:val="00381714"/>
    <w:rsid w:val="00382779"/>
    <w:rsid w:val="003864A3"/>
    <w:rsid w:val="00393174"/>
    <w:rsid w:val="00393DC9"/>
    <w:rsid w:val="00395452"/>
    <w:rsid w:val="00395D55"/>
    <w:rsid w:val="003974DE"/>
    <w:rsid w:val="003A0B36"/>
    <w:rsid w:val="003A5381"/>
    <w:rsid w:val="003B371D"/>
    <w:rsid w:val="003B49E7"/>
    <w:rsid w:val="003B4FAA"/>
    <w:rsid w:val="003B51C4"/>
    <w:rsid w:val="003B5FFA"/>
    <w:rsid w:val="003B63A5"/>
    <w:rsid w:val="003C0A7D"/>
    <w:rsid w:val="003C1C76"/>
    <w:rsid w:val="003C20EA"/>
    <w:rsid w:val="003C333C"/>
    <w:rsid w:val="003C3439"/>
    <w:rsid w:val="003C3A1E"/>
    <w:rsid w:val="003D031C"/>
    <w:rsid w:val="003D6C5B"/>
    <w:rsid w:val="003D7C4B"/>
    <w:rsid w:val="003E16D2"/>
    <w:rsid w:val="003E1EE4"/>
    <w:rsid w:val="003E4298"/>
    <w:rsid w:val="003E4C18"/>
    <w:rsid w:val="003E6A7A"/>
    <w:rsid w:val="003F3662"/>
    <w:rsid w:val="003F4441"/>
    <w:rsid w:val="003F471F"/>
    <w:rsid w:val="003F561C"/>
    <w:rsid w:val="003F5DF3"/>
    <w:rsid w:val="003F6474"/>
    <w:rsid w:val="003F788C"/>
    <w:rsid w:val="00400D00"/>
    <w:rsid w:val="0040334A"/>
    <w:rsid w:val="004034C0"/>
    <w:rsid w:val="00404BB4"/>
    <w:rsid w:val="00405C06"/>
    <w:rsid w:val="00405F73"/>
    <w:rsid w:val="0040672D"/>
    <w:rsid w:val="00406F35"/>
    <w:rsid w:val="00407266"/>
    <w:rsid w:val="004076CD"/>
    <w:rsid w:val="00410B4A"/>
    <w:rsid w:val="0041187F"/>
    <w:rsid w:val="00412F60"/>
    <w:rsid w:val="0041390F"/>
    <w:rsid w:val="00413BCE"/>
    <w:rsid w:val="004157CF"/>
    <w:rsid w:val="00416042"/>
    <w:rsid w:val="0041712C"/>
    <w:rsid w:val="00420A41"/>
    <w:rsid w:val="0042132B"/>
    <w:rsid w:val="00421D78"/>
    <w:rsid w:val="00422824"/>
    <w:rsid w:val="00425544"/>
    <w:rsid w:val="00427219"/>
    <w:rsid w:val="00433883"/>
    <w:rsid w:val="004341EA"/>
    <w:rsid w:val="0044298C"/>
    <w:rsid w:val="004430B8"/>
    <w:rsid w:val="004436AC"/>
    <w:rsid w:val="00447D3E"/>
    <w:rsid w:val="00447DE1"/>
    <w:rsid w:val="00450C46"/>
    <w:rsid w:val="0045123E"/>
    <w:rsid w:val="00451BC1"/>
    <w:rsid w:val="00451C2E"/>
    <w:rsid w:val="00452C97"/>
    <w:rsid w:val="00454CB1"/>
    <w:rsid w:val="00462706"/>
    <w:rsid w:val="00465075"/>
    <w:rsid w:val="004722C2"/>
    <w:rsid w:val="0047419A"/>
    <w:rsid w:val="00475C3A"/>
    <w:rsid w:val="0047713F"/>
    <w:rsid w:val="004803D2"/>
    <w:rsid w:val="00480C24"/>
    <w:rsid w:val="004904B5"/>
    <w:rsid w:val="00492BFE"/>
    <w:rsid w:val="00492F66"/>
    <w:rsid w:val="004931DD"/>
    <w:rsid w:val="00493223"/>
    <w:rsid w:val="00494D15"/>
    <w:rsid w:val="00495E6D"/>
    <w:rsid w:val="004970DB"/>
    <w:rsid w:val="00497E13"/>
    <w:rsid w:val="004A09CC"/>
    <w:rsid w:val="004A0C6B"/>
    <w:rsid w:val="004A30F5"/>
    <w:rsid w:val="004A37FE"/>
    <w:rsid w:val="004A5794"/>
    <w:rsid w:val="004A6E22"/>
    <w:rsid w:val="004A703D"/>
    <w:rsid w:val="004B071C"/>
    <w:rsid w:val="004B25C2"/>
    <w:rsid w:val="004B263E"/>
    <w:rsid w:val="004B3CCD"/>
    <w:rsid w:val="004B55D0"/>
    <w:rsid w:val="004C0292"/>
    <w:rsid w:val="004C0B15"/>
    <w:rsid w:val="004C28C7"/>
    <w:rsid w:val="004C6A87"/>
    <w:rsid w:val="004D25C7"/>
    <w:rsid w:val="004D41B2"/>
    <w:rsid w:val="004D5CEF"/>
    <w:rsid w:val="004D7668"/>
    <w:rsid w:val="004D7AB2"/>
    <w:rsid w:val="004D7E2D"/>
    <w:rsid w:val="004E0464"/>
    <w:rsid w:val="004E330B"/>
    <w:rsid w:val="004E33CB"/>
    <w:rsid w:val="004E472F"/>
    <w:rsid w:val="004E5F96"/>
    <w:rsid w:val="004E647B"/>
    <w:rsid w:val="004E749C"/>
    <w:rsid w:val="004F3972"/>
    <w:rsid w:val="004F4580"/>
    <w:rsid w:val="004F5153"/>
    <w:rsid w:val="004F5C53"/>
    <w:rsid w:val="004F6270"/>
    <w:rsid w:val="00500DF5"/>
    <w:rsid w:val="0050148A"/>
    <w:rsid w:val="00506DDD"/>
    <w:rsid w:val="005074A9"/>
    <w:rsid w:val="005076F8"/>
    <w:rsid w:val="0050774B"/>
    <w:rsid w:val="00513321"/>
    <w:rsid w:val="00513ED6"/>
    <w:rsid w:val="00514E73"/>
    <w:rsid w:val="005153A7"/>
    <w:rsid w:val="00516995"/>
    <w:rsid w:val="0052154E"/>
    <w:rsid w:val="00521BF7"/>
    <w:rsid w:val="00522434"/>
    <w:rsid w:val="00523CAE"/>
    <w:rsid w:val="00524AC2"/>
    <w:rsid w:val="005255A0"/>
    <w:rsid w:val="00525BD1"/>
    <w:rsid w:val="00525DDF"/>
    <w:rsid w:val="00525E44"/>
    <w:rsid w:val="00526119"/>
    <w:rsid w:val="005300FA"/>
    <w:rsid w:val="005319E8"/>
    <w:rsid w:val="00531D00"/>
    <w:rsid w:val="00533143"/>
    <w:rsid w:val="00533AAD"/>
    <w:rsid w:val="005424B5"/>
    <w:rsid w:val="005438E6"/>
    <w:rsid w:val="0054399E"/>
    <w:rsid w:val="005504A4"/>
    <w:rsid w:val="00550D58"/>
    <w:rsid w:val="00550DFD"/>
    <w:rsid w:val="00553A48"/>
    <w:rsid w:val="0055435C"/>
    <w:rsid w:val="005549CF"/>
    <w:rsid w:val="00555066"/>
    <w:rsid w:val="005550DE"/>
    <w:rsid w:val="005567A4"/>
    <w:rsid w:val="00561132"/>
    <w:rsid w:val="005619FC"/>
    <w:rsid w:val="00562223"/>
    <w:rsid w:val="005635DD"/>
    <w:rsid w:val="005649C9"/>
    <w:rsid w:val="005669FE"/>
    <w:rsid w:val="0057052C"/>
    <w:rsid w:val="005707EE"/>
    <w:rsid w:val="00571E11"/>
    <w:rsid w:val="00574B99"/>
    <w:rsid w:val="0057590D"/>
    <w:rsid w:val="00576B46"/>
    <w:rsid w:val="00577F66"/>
    <w:rsid w:val="00582B38"/>
    <w:rsid w:val="00583080"/>
    <w:rsid w:val="00585F12"/>
    <w:rsid w:val="005909BE"/>
    <w:rsid w:val="00591104"/>
    <w:rsid w:val="00591508"/>
    <w:rsid w:val="00592117"/>
    <w:rsid w:val="00592701"/>
    <w:rsid w:val="00592917"/>
    <w:rsid w:val="00595448"/>
    <w:rsid w:val="005961D0"/>
    <w:rsid w:val="00596E2A"/>
    <w:rsid w:val="00597780"/>
    <w:rsid w:val="005A05CF"/>
    <w:rsid w:val="005A166E"/>
    <w:rsid w:val="005A3D47"/>
    <w:rsid w:val="005A4662"/>
    <w:rsid w:val="005A52A0"/>
    <w:rsid w:val="005A5490"/>
    <w:rsid w:val="005B0E58"/>
    <w:rsid w:val="005B24D6"/>
    <w:rsid w:val="005B3B26"/>
    <w:rsid w:val="005B5D38"/>
    <w:rsid w:val="005C05BA"/>
    <w:rsid w:val="005C0D06"/>
    <w:rsid w:val="005C2B1B"/>
    <w:rsid w:val="005C4600"/>
    <w:rsid w:val="005D0DDE"/>
    <w:rsid w:val="005D29B1"/>
    <w:rsid w:val="005D2F98"/>
    <w:rsid w:val="005D3178"/>
    <w:rsid w:val="005D4667"/>
    <w:rsid w:val="005D54D7"/>
    <w:rsid w:val="005D628E"/>
    <w:rsid w:val="005D6DDB"/>
    <w:rsid w:val="005E056C"/>
    <w:rsid w:val="005E4AFB"/>
    <w:rsid w:val="005E4B26"/>
    <w:rsid w:val="005E6319"/>
    <w:rsid w:val="005E68DB"/>
    <w:rsid w:val="005F0BB0"/>
    <w:rsid w:val="005F1547"/>
    <w:rsid w:val="005F508C"/>
    <w:rsid w:val="005F5A9C"/>
    <w:rsid w:val="005F6CE4"/>
    <w:rsid w:val="005F73FA"/>
    <w:rsid w:val="00602DFA"/>
    <w:rsid w:val="00603E3C"/>
    <w:rsid w:val="00605809"/>
    <w:rsid w:val="0060752A"/>
    <w:rsid w:val="006129BC"/>
    <w:rsid w:val="00617454"/>
    <w:rsid w:val="0062013F"/>
    <w:rsid w:val="00620E89"/>
    <w:rsid w:val="00621B9D"/>
    <w:rsid w:val="00621F8B"/>
    <w:rsid w:val="00622014"/>
    <w:rsid w:val="0062365C"/>
    <w:rsid w:val="00625F69"/>
    <w:rsid w:val="0063055A"/>
    <w:rsid w:val="006358DC"/>
    <w:rsid w:val="00636BDD"/>
    <w:rsid w:val="00637400"/>
    <w:rsid w:val="00640395"/>
    <w:rsid w:val="00640E2A"/>
    <w:rsid w:val="00641D5A"/>
    <w:rsid w:val="006426DB"/>
    <w:rsid w:val="00660061"/>
    <w:rsid w:val="0066346E"/>
    <w:rsid w:val="00666965"/>
    <w:rsid w:val="00666ADB"/>
    <w:rsid w:val="006709DE"/>
    <w:rsid w:val="006719F1"/>
    <w:rsid w:val="00673923"/>
    <w:rsid w:val="006769D5"/>
    <w:rsid w:val="00677C9C"/>
    <w:rsid w:val="00680194"/>
    <w:rsid w:val="006812A8"/>
    <w:rsid w:val="00682E51"/>
    <w:rsid w:val="006843F8"/>
    <w:rsid w:val="00685C8E"/>
    <w:rsid w:val="0068748E"/>
    <w:rsid w:val="00690F67"/>
    <w:rsid w:val="00691458"/>
    <w:rsid w:val="0069152D"/>
    <w:rsid w:val="00691939"/>
    <w:rsid w:val="00693EFC"/>
    <w:rsid w:val="006956AC"/>
    <w:rsid w:val="00695710"/>
    <w:rsid w:val="006960F6"/>
    <w:rsid w:val="00697383"/>
    <w:rsid w:val="006A5594"/>
    <w:rsid w:val="006A60A9"/>
    <w:rsid w:val="006A610A"/>
    <w:rsid w:val="006B006B"/>
    <w:rsid w:val="006B0D00"/>
    <w:rsid w:val="006B1FA4"/>
    <w:rsid w:val="006B446D"/>
    <w:rsid w:val="006B486E"/>
    <w:rsid w:val="006B6C94"/>
    <w:rsid w:val="006C07E9"/>
    <w:rsid w:val="006C51D3"/>
    <w:rsid w:val="006C5CBA"/>
    <w:rsid w:val="006C785F"/>
    <w:rsid w:val="006D0810"/>
    <w:rsid w:val="006D2587"/>
    <w:rsid w:val="006D41C2"/>
    <w:rsid w:val="006D4944"/>
    <w:rsid w:val="006D4F5C"/>
    <w:rsid w:val="006D545C"/>
    <w:rsid w:val="006D580D"/>
    <w:rsid w:val="006D5F27"/>
    <w:rsid w:val="006E3DA9"/>
    <w:rsid w:val="006E54DD"/>
    <w:rsid w:val="006E6B05"/>
    <w:rsid w:val="006E6B9F"/>
    <w:rsid w:val="006E739B"/>
    <w:rsid w:val="006F03AC"/>
    <w:rsid w:val="006F1C5E"/>
    <w:rsid w:val="006F1E50"/>
    <w:rsid w:val="006F68D2"/>
    <w:rsid w:val="006F6B91"/>
    <w:rsid w:val="006F7701"/>
    <w:rsid w:val="0070028E"/>
    <w:rsid w:val="007018BE"/>
    <w:rsid w:val="007028D7"/>
    <w:rsid w:val="00702E35"/>
    <w:rsid w:val="0070310E"/>
    <w:rsid w:val="0070394B"/>
    <w:rsid w:val="00711213"/>
    <w:rsid w:val="00713A82"/>
    <w:rsid w:val="007147B6"/>
    <w:rsid w:val="007219CD"/>
    <w:rsid w:val="00721B6B"/>
    <w:rsid w:val="007223DB"/>
    <w:rsid w:val="007237CF"/>
    <w:rsid w:val="007252B0"/>
    <w:rsid w:val="007258C5"/>
    <w:rsid w:val="00727FEE"/>
    <w:rsid w:val="007306F3"/>
    <w:rsid w:val="007311FB"/>
    <w:rsid w:val="00731F99"/>
    <w:rsid w:val="00733EEA"/>
    <w:rsid w:val="0073411B"/>
    <w:rsid w:val="007375D3"/>
    <w:rsid w:val="00741486"/>
    <w:rsid w:val="00746226"/>
    <w:rsid w:val="00746FEE"/>
    <w:rsid w:val="00751D94"/>
    <w:rsid w:val="00752B45"/>
    <w:rsid w:val="00756A9E"/>
    <w:rsid w:val="00761C98"/>
    <w:rsid w:val="007624D0"/>
    <w:rsid w:val="0076308C"/>
    <w:rsid w:val="0076512B"/>
    <w:rsid w:val="0076564D"/>
    <w:rsid w:val="00765875"/>
    <w:rsid w:val="007664D0"/>
    <w:rsid w:val="007723B4"/>
    <w:rsid w:val="00772705"/>
    <w:rsid w:val="007751A7"/>
    <w:rsid w:val="00777FEE"/>
    <w:rsid w:val="00784668"/>
    <w:rsid w:val="007847D4"/>
    <w:rsid w:val="00784AA1"/>
    <w:rsid w:val="00784E81"/>
    <w:rsid w:val="00790F26"/>
    <w:rsid w:val="0079287D"/>
    <w:rsid w:val="00794FB9"/>
    <w:rsid w:val="007A0050"/>
    <w:rsid w:val="007A2823"/>
    <w:rsid w:val="007A3D8F"/>
    <w:rsid w:val="007A4AB2"/>
    <w:rsid w:val="007A5430"/>
    <w:rsid w:val="007B19F0"/>
    <w:rsid w:val="007B1A90"/>
    <w:rsid w:val="007B2FD1"/>
    <w:rsid w:val="007B7219"/>
    <w:rsid w:val="007C3E8F"/>
    <w:rsid w:val="007C6124"/>
    <w:rsid w:val="007D0723"/>
    <w:rsid w:val="007E22B1"/>
    <w:rsid w:val="007E2669"/>
    <w:rsid w:val="007E2F18"/>
    <w:rsid w:val="007E3561"/>
    <w:rsid w:val="007E4E95"/>
    <w:rsid w:val="007E5FE3"/>
    <w:rsid w:val="007E6D32"/>
    <w:rsid w:val="007F17D9"/>
    <w:rsid w:val="007F3136"/>
    <w:rsid w:val="007F411E"/>
    <w:rsid w:val="0080686D"/>
    <w:rsid w:val="00807FF2"/>
    <w:rsid w:val="00810610"/>
    <w:rsid w:val="00814D7B"/>
    <w:rsid w:val="0081536D"/>
    <w:rsid w:val="0081684E"/>
    <w:rsid w:val="00817077"/>
    <w:rsid w:val="00817117"/>
    <w:rsid w:val="00817F81"/>
    <w:rsid w:val="00820152"/>
    <w:rsid w:val="00820D33"/>
    <w:rsid w:val="00824395"/>
    <w:rsid w:val="00825924"/>
    <w:rsid w:val="008267F8"/>
    <w:rsid w:val="008271C5"/>
    <w:rsid w:val="008279A0"/>
    <w:rsid w:val="00830BC1"/>
    <w:rsid w:val="0083474D"/>
    <w:rsid w:val="00840C19"/>
    <w:rsid w:val="00846329"/>
    <w:rsid w:val="008505CD"/>
    <w:rsid w:val="00852F32"/>
    <w:rsid w:val="00854E1B"/>
    <w:rsid w:val="00855F55"/>
    <w:rsid w:val="008567D5"/>
    <w:rsid w:val="00860F31"/>
    <w:rsid w:val="00860F55"/>
    <w:rsid w:val="00861F01"/>
    <w:rsid w:val="00865605"/>
    <w:rsid w:val="00866709"/>
    <w:rsid w:val="00867076"/>
    <w:rsid w:val="00871BE3"/>
    <w:rsid w:val="00871F42"/>
    <w:rsid w:val="008733E4"/>
    <w:rsid w:val="00873F90"/>
    <w:rsid w:val="008804B4"/>
    <w:rsid w:val="00885612"/>
    <w:rsid w:val="0088691D"/>
    <w:rsid w:val="00890B6C"/>
    <w:rsid w:val="00892032"/>
    <w:rsid w:val="00894222"/>
    <w:rsid w:val="00895047"/>
    <w:rsid w:val="00895182"/>
    <w:rsid w:val="008955E2"/>
    <w:rsid w:val="00896BAE"/>
    <w:rsid w:val="00897379"/>
    <w:rsid w:val="008A1D2F"/>
    <w:rsid w:val="008A31CD"/>
    <w:rsid w:val="008A5A13"/>
    <w:rsid w:val="008A5C7E"/>
    <w:rsid w:val="008A7D5B"/>
    <w:rsid w:val="008B0C7F"/>
    <w:rsid w:val="008B2C24"/>
    <w:rsid w:val="008B2E2B"/>
    <w:rsid w:val="008B3BF1"/>
    <w:rsid w:val="008B4119"/>
    <w:rsid w:val="008B6C26"/>
    <w:rsid w:val="008C1B33"/>
    <w:rsid w:val="008C34C9"/>
    <w:rsid w:val="008C38E4"/>
    <w:rsid w:val="008C3CAA"/>
    <w:rsid w:val="008C48EA"/>
    <w:rsid w:val="008C4CB3"/>
    <w:rsid w:val="008C7106"/>
    <w:rsid w:val="008C7658"/>
    <w:rsid w:val="008D112E"/>
    <w:rsid w:val="008D187C"/>
    <w:rsid w:val="008D1CDD"/>
    <w:rsid w:val="008D6D08"/>
    <w:rsid w:val="008E011F"/>
    <w:rsid w:val="008E0EC9"/>
    <w:rsid w:val="008E38EF"/>
    <w:rsid w:val="008E3F30"/>
    <w:rsid w:val="008F1545"/>
    <w:rsid w:val="008F3701"/>
    <w:rsid w:val="008F4F92"/>
    <w:rsid w:val="009007F6"/>
    <w:rsid w:val="009022B3"/>
    <w:rsid w:val="00905F8A"/>
    <w:rsid w:val="009106E5"/>
    <w:rsid w:val="00911BC6"/>
    <w:rsid w:val="00913084"/>
    <w:rsid w:val="0091791E"/>
    <w:rsid w:val="00921A9D"/>
    <w:rsid w:val="00922087"/>
    <w:rsid w:val="0092636C"/>
    <w:rsid w:val="009325E8"/>
    <w:rsid w:val="0093341B"/>
    <w:rsid w:val="00933BB4"/>
    <w:rsid w:val="00937E77"/>
    <w:rsid w:val="00937F2A"/>
    <w:rsid w:val="00941015"/>
    <w:rsid w:val="009410EB"/>
    <w:rsid w:val="0094201C"/>
    <w:rsid w:val="00945181"/>
    <w:rsid w:val="00945490"/>
    <w:rsid w:val="0094595F"/>
    <w:rsid w:val="009459BD"/>
    <w:rsid w:val="00945DD9"/>
    <w:rsid w:val="0094682D"/>
    <w:rsid w:val="009503A4"/>
    <w:rsid w:val="00951EB3"/>
    <w:rsid w:val="00953662"/>
    <w:rsid w:val="00954ACC"/>
    <w:rsid w:val="00960028"/>
    <w:rsid w:val="00960D89"/>
    <w:rsid w:val="00961F68"/>
    <w:rsid w:val="0096280E"/>
    <w:rsid w:val="00963C50"/>
    <w:rsid w:val="009656CC"/>
    <w:rsid w:val="00967687"/>
    <w:rsid w:val="00967C13"/>
    <w:rsid w:val="009718A2"/>
    <w:rsid w:val="00971E19"/>
    <w:rsid w:val="009740DE"/>
    <w:rsid w:val="00975B11"/>
    <w:rsid w:val="009766F8"/>
    <w:rsid w:val="00976C06"/>
    <w:rsid w:val="00976F00"/>
    <w:rsid w:val="00976F1E"/>
    <w:rsid w:val="0098206A"/>
    <w:rsid w:val="00983587"/>
    <w:rsid w:val="009841CD"/>
    <w:rsid w:val="00986D0F"/>
    <w:rsid w:val="00987785"/>
    <w:rsid w:val="00987F75"/>
    <w:rsid w:val="00990755"/>
    <w:rsid w:val="00990AC0"/>
    <w:rsid w:val="009917A5"/>
    <w:rsid w:val="009924E8"/>
    <w:rsid w:val="00996939"/>
    <w:rsid w:val="00997858"/>
    <w:rsid w:val="009A06AF"/>
    <w:rsid w:val="009A0E3E"/>
    <w:rsid w:val="009A205C"/>
    <w:rsid w:val="009A4EDE"/>
    <w:rsid w:val="009A5137"/>
    <w:rsid w:val="009A52C5"/>
    <w:rsid w:val="009B2BF5"/>
    <w:rsid w:val="009C0412"/>
    <w:rsid w:val="009C044D"/>
    <w:rsid w:val="009C2723"/>
    <w:rsid w:val="009C376C"/>
    <w:rsid w:val="009C60DD"/>
    <w:rsid w:val="009C686B"/>
    <w:rsid w:val="009C72C8"/>
    <w:rsid w:val="009C743A"/>
    <w:rsid w:val="009C772F"/>
    <w:rsid w:val="009D055E"/>
    <w:rsid w:val="009D116C"/>
    <w:rsid w:val="009D451F"/>
    <w:rsid w:val="009D5406"/>
    <w:rsid w:val="009D6884"/>
    <w:rsid w:val="009D7F73"/>
    <w:rsid w:val="009E0BD2"/>
    <w:rsid w:val="009E50D4"/>
    <w:rsid w:val="009F0D5D"/>
    <w:rsid w:val="009F0DE1"/>
    <w:rsid w:val="009F19ED"/>
    <w:rsid w:val="009F2521"/>
    <w:rsid w:val="009F4051"/>
    <w:rsid w:val="009F7AA6"/>
    <w:rsid w:val="009F7D36"/>
    <w:rsid w:val="00A03464"/>
    <w:rsid w:val="00A05500"/>
    <w:rsid w:val="00A05A98"/>
    <w:rsid w:val="00A10BEF"/>
    <w:rsid w:val="00A11156"/>
    <w:rsid w:val="00A13961"/>
    <w:rsid w:val="00A13E77"/>
    <w:rsid w:val="00A20326"/>
    <w:rsid w:val="00A21C24"/>
    <w:rsid w:val="00A22E4C"/>
    <w:rsid w:val="00A25E01"/>
    <w:rsid w:val="00A2777E"/>
    <w:rsid w:val="00A27A05"/>
    <w:rsid w:val="00A31373"/>
    <w:rsid w:val="00A33A39"/>
    <w:rsid w:val="00A33BE4"/>
    <w:rsid w:val="00A369B9"/>
    <w:rsid w:val="00A36C73"/>
    <w:rsid w:val="00A43C29"/>
    <w:rsid w:val="00A44F65"/>
    <w:rsid w:val="00A45829"/>
    <w:rsid w:val="00A46432"/>
    <w:rsid w:val="00A502D7"/>
    <w:rsid w:val="00A529AA"/>
    <w:rsid w:val="00A56200"/>
    <w:rsid w:val="00A57181"/>
    <w:rsid w:val="00A57D46"/>
    <w:rsid w:val="00A63580"/>
    <w:rsid w:val="00A6408C"/>
    <w:rsid w:val="00A6490D"/>
    <w:rsid w:val="00A649C7"/>
    <w:rsid w:val="00A721E6"/>
    <w:rsid w:val="00A72702"/>
    <w:rsid w:val="00A72C6F"/>
    <w:rsid w:val="00A72F8F"/>
    <w:rsid w:val="00A74525"/>
    <w:rsid w:val="00A74A70"/>
    <w:rsid w:val="00A76531"/>
    <w:rsid w:val="00A7664E"/>
    <w:rsid w:val="00A80303"/>
    <w:rsid w:val="00A80524"/>
    <w:rsid w:val="00A83C04"/>
    <w:rsid w:val="00A853DF"/>
    <w:rsid w:val="00A8544D"/>
    <w:rsid w:val="00A85E2F"/>
    <w:rsid w:val="00A922EA"/>
    <w:rsid w:val="00A94223"/>
    <w:rsid w:val="00A94E9E"/>
    <w:rsid w:val="00A94F85"/>
    <w:rsid w:val="00A96BAB"/>
    <w:rsid w:val="00AA091D"/>
    <w:rsid w:val="00AA407F"/>
    <w:rsid w:val="00AA4B69"/>
    <w:rsid w:val="00AA4D0C"/>
    <w:rsid w:val="00AA5A08"/>
    <w:rsid w:val="00AA5A43"/>
    <w:rsid w:val="00AB1698"/>
    <w:rsid w:val="00AB4D2A"/>
    <w:rsid w:val="00AB5C81"/>
    <w:rsid w:val="00AB6E64"/>
    <w:rsid w:val="00AB7E2F"/>
    <w:rsid w:val="00AC047F"/>
    <w:rsid w:val="00AC299D"/>
    <w:rsid w:val="00AC3CA3"/>
    <w:rsid w:val="00AC44E8"/>
    <w:rsid w:val="00AC4749"/>
    <w:rsid w:val="00AC4CE1"/>
    <w:rsid w:val="00AC5AB5"/>
    <w:rsid w:val="00AC6C03"/>
    <w:rsid w:val="00AD4512"/>
    <w:rsid w:val="00AD4B9E"/>
    <w:rsid w:val="00AD4E88"/>
    <w:rsid w:val="00AD6DE0"/>
    <w:rsid w:val="00AE0348"/>
    <w:rsid w:val="00AE0601"/>
    <w:rsid w:val="00AE2056"/>
    <w:rsid w:val="00AE3621"/>
    <w:rsid w:val="00AE37F7"/>
    <w:rsid w:val="00AE49E1"/>
    <w:rsid w:val="00AE4C53"/>
    <w:rsid w:val="00AF0EDA"/>
    <w:rsid w:val="00AF1346"/>
    <w:rsid w:val="00AF3B8A"/>
    <w:rsid w:val="00AF4595"/>
    <w:rsid w:val="00AF45C9"/>
    <w:rsid w:val="00AF53E9"/>
    <w:rsid w:val="00AF6E1F"/>
    <w:rsid w:val="00B00AD7"/>
    <w:rsid w:val="00B02314"/>
    <w:rsid w:val="00B034E8"/>
    <w:rsid w:val="00B03BBE"/>
    <w:rsid w:val="00B047EF"/>
    <w:rsid w:val="00B07BF9"/>
    <w:rsid w:val="00B11442"/>
    <w:rsid w:val="00B1304F"/>
    <w:rsid w:val="00B144CD"/>
    <w:rsid w:val="00B147EA"/>
    <w:rsid w:val="00B15D22"/>
    <w:rsid w:val="00B17610"/>
    <w:rsid w:val="00B218DF"/>
    <w:rsid w:val="00B267F9"/>
    <w:rsid w:val="00B31AE6"/>
    <w:rsid w:val="00B33A43"/>
    <w:rsid w:val="00B34A36"/>
    <w:rsid w:val="00B366AD"/>
    <w:rsid w:val="00B3680A"/>
    <w:rsid w:val="00B37AA1"/>
    <w:rsid w:val="00B40DFD"/>
    <w:rsid w:val="00B424C1"/>
    <w:rsid w:val="00B42C72"/>
    <w:rsid w:val="00B43F64"/>
    <w:rsid w:val="00B4479D"/>
    <w:rsid w:val="00B534C4"/>
    <w:rsid w:val="00B535DE"/>
    <w:rsid w:val="00B54148"/>
    <w:rsid w:val="00B57E92"/>
    <w:rsid w:val="00B63379"/>
    <w:rsid w:val="00B7001C"/>
    <w:rsid w:val="00B7279A"/>
    <w:rsid w:val="00B74404"/>
    <w:rsid w:val="00B75B14"/>
    <w:rsid w:val="00B82740"/>
    <w:rsid w:val="00B84156"/>
    <w:rsid w:val="00B860DA"/>
    <w:rsid w:val="00B90105"/>
    <w:rsid w:val="00B91C90"/>
    <w:rsid w:val="00B92557"/>
    <w:rsid w:val="00B927F1"/>
    <w:rsid w:val="00B96740"/>
    <w:rsid w:val="00B96D42"/>
    <w:rsid w:val="00BA0EFA"/>
    <w:rsid w:val="00BA0F1D"/>
    <w:rsid w:val="00BA20B8"/>
    <w:rsid w:val="00BA3FCA"/>
    <w:rsid w:val="00BB0F47"/>
    <w:rsid w:val="00BB25E3"/>
    <w:rsid w:val="00BB3D1B"/>
    <w:rsid w:val="00BB3D8A"/>
    <w:rsid w:val="00BC163E"/>
    <w:rsid w:val="00BC28D6"/>
    <w:rsid w:val="00BC2E93"/>
    <w:rsid w:val="00BC4D21"/>
    <w:rsid w:val="00BC4E80"/>
    <w:rsid w:val="00BC5F76"/>
    <w:rsid w:val="00BC6B38"/>
    <w:rsid w:val="00BD2D7D"/>
    <w:rsid w:val="00BD3028"/>
    <w:rsid w:val="00BD3440"/>
    <w:rsid w:val="00BD34C3"/>
    <w:rsid w:val="00BD3F19"/>
    <w:rsid w:val="00BD40DE"/>
    <w:rsid w:val="00BD51C1"/>
    <w:rsid w:val="00BD64E2"/>
    <w:rsid w:val="00BD7859"/>
    <w:rsid w:val="00BE38DC"/>
    <w:rsid w:val="00BE5384"/>
    <w:rsid w:val="00BE7B48"/>
    <w:rsid w:val="00BF04AC"/>
    <w:rsid w:val="00BF5299"/>
    <w:rsid w:val="00BF5328"/>
    <w:rsid w:val="00BF58B1"/>
    <w:rsid w:val="00C0052A"/>
    <w:rsid w:val="00C010D6"/>
    <w:rsid w:val="00C02FDE"/>
    <w:rsid w:val="00C03F82"/>
    <w:rsid w:val="00C0468E"/>
    <w:rsid w:val="00C04E7F"/>
    <w:rsid w:val="00C07E9B"/>
    <w:rsid w:val="00C10637"/>
    <w:rsid w:val="00C11FD1"/>
    <w:rsid w:val="00C12EDC"/>
    <w:rsid w:val="00C1374E"/>
    <w:rsid w:val="00C15549"/>
    <w:rsid w:val="00C157EB"/>
    <w:rsid w:val="00C16970"/>
    <w:rsid w:val="00C17583"/>
    <w:rsid w:val="00C20ADC"/>
    <w:rsid w:val="00C20CF8"/>
    <w:rsid w:val="00C21804"/>
    <w:rsid w:val="00C21C0C"/>
    <w:rsid w:val="00C2210D"/>
    <w:rsid w:val="00C22193"/>
    <w:rsid w:val="00C25024"/>
    <w:rsid w:val="00C2556C"/>
    <w:rsid w:val="00C26FD9"/>
    <w:rsid w:val="00C27BD6"/>
    <w:rsid w:val="00C32B38"/>
    <w:rsid w:val="00C338B9"/>
    <w:rsid w:val="00C34B4B"/>
    <w:rsid w:val="00C3625D"/>
    <w:rsid w:val="00C4307C"/>
    <w:rsid w:val="00C46B99"/>
    <w:rsid w:val="00C47FC4"/>
    <w:rsid w:val="00C52092"/>
    <w:rsid w:val="00C604A2"/>
    <w:rsid w:val="00C61ED0"/>
    <w:rsid w:val="00C63571"/>
    <w:rsid w:val="00C654BF"/>
    <w:rsid w:val="00C674EF"/>
    <w:rsid w:val="00C7197A"/>
    <w:rsid w:val="00C719B5"/>
    <w:rsid w:val="00C72C50"/>
    <w:rsid w:val="00C754C6"/>
    <w:rsid w:val="00C77E08"/>
    <w:rsid w:val="00C80AC8"/>
    <w:rsid w:val="00C840A5"/>
    <w:rsid w:val="00C87A97"/>
    <w:rsid w:val="00C87C49"/>
    <w:rsid w:val="00C906E0"/>
    <w:rsid w:val="00C90AEB"/>
    <w:rsid w:val="00C91D5F"/>
    <w:rsid w:val="00C926E2"/>
    <w:rsid w:val="00C92F2D"/>
    <w:rsid w:val="00C93F5A"/>
    <w:rsid w:val="00C9405F"/>
    <w:rsid w:val="00C9562B"/>
    <w:rsid w:val="00C95ABA"/>
    <w:rsid w:val="00C96E3D"/>
    <w:rsid w:val="00CA3966"/>
    <w:rsid w:val="00CA66BB"/>
    <w:rsid w:val="00CA670D"/>
    <w:rsid w:val="00CB15FF"/>
    <w:rsid w:val="00CB22E3"/>
    <w:rsid w:val="00CB28F9"/>
    <w:rsid w:val="00CB3464"/>
    <w:rsid w:val="00CB418A"/>
    <w:rsid w:val="00CC065C"/>
    <w:rsid w:val="00CC0D87"/>
    <w:rsid w:val="00CC5112"/>
    <w:rsid w:val="00CC5E0B"/>
    <w:rsid w:val="00CC73EB"/>
    <w:rsid w:val="00CC7E1A"/>
    <w:rsid w:val="00CD20A6"/>
    <w:rsid w:val="00CD250F"/>
    <w:rsid w:val="00CD50B2"/>
    <w:rsid w:val="00CD5734"/>
    <w:rsid w:val="00CE403C"/>
    <w:rsid w:val="00CE75EB"/>
    <w:rsid w:val="00CF0CFB"/>
    <w:rsid w:val="00CF1128"/>
    <w:rsid w:val="00CF20FE"/>
    <w:rsid w:val="00CF3FE2"/>
    <w:rsid w:val="00CF570D"/>
    <w:rsid w:val="00CF5A8C"/>
    <w:rsid w:val="00CF67B2"/>
    <w:rsid w:val="00D027F4"/>
    <w:rsid w:val="00D052BD"/>
    <w:rsid w:val="00D106CD"/>
    <w:rsid w:val="00D121F0"/>
    <w:rsid w:val="00D13403"/>
    <w:rsid w:val="00D149B4"/>
    <w:rsid w:val="00D179D3"/>
    <w:rsid w:val="00D21232"/>
    <w:rsid w:val="00D23304"/>
    <w:rsid w:val="00D23449"/>
    <w:rsid w:val="00D239F7"/>
    <w:rsid w:val="00D241E2"/>
    <w:rsid w:val="00D25773"/>
    <w:rsid w:val="00D30823"/>
    <w:rsid w:val="00D31EC4"/>
    <w:rsid w:val="00D34C6C"/>
    <w:rsid w:val="00D37F9C"/>
    <w:rsid w:val="00D410DE"/>
    <w:rsid w:val="00D452F8"/>
    <w:rsid w:val="00D45ED3"/>
    <w:rsid w:val="00D50FA6"/>
    <w:rsid w:val="00D5195F"/>
    <w:rsid w:val="00D519BE"/>
    <w:rsid w:val="00D533A9"/>
    <w:rsid w:val="00D542ED"/>
    <w:rsid w:val="00D542F4"/>
    <w:rsid w:val="00D60070"/>
    <w:rsid w:val="00D67332"/>
    <w:rsid w:val="00D673C7"/>
    <w:rsid w:val="00D74704"/>
    <w:rsid w:val="00D74EFD"/>
    <w:rsid w:val="00D75F75"/>
    <w:rsid w:val="00D81DBE"/>
    <w:rsid w:val="00D83FF7"/>
    <w:rsid w:val="00D84BF7"/>
    <w:rsid w:val="00D850D7"/>
    <w:rsid w:val="00D8580E"/>
    <w:rsid w:val="00D90B77"/>
    <w:rsid w:val="00D90EC9"/>
    <w:rsid w:val="00D91FAC"/>
    <w:rsid w:val="00D93551"/>
    <w:rsid w:val="00DA15E9"/>
    <w:rsid w:val="00DA169E"/>
    <w:rsid w:val="00DA3386"/>
    <w:rsid w:val="00DA68A9"/>
    <w:rsid w:val="00DB0637"/>
    <w:rsid w:val="00DB0798"/>
    <w:rsid w:val="00DB0F11"/>
    <w:rsid w:val="00DB2555"/>
    <w:rsid w:val="00DB37B6"/>
    <w:rsid w:val="00DB51C9"/>
    <w:rsid w:val="00DB58E9"/>
    <w:rsid w:val="00DB6534"/>
    <w:rsid w:val="00DC0CE3"/>
    <w:rsid w:val="00DC100A"/>
    <w:rsid w:val="00DC15EB"/>
    <w:rsid w:val="00DC22F6"/>
    <w:rsid w:val="00DC2C90"/>
    <w:rsid w:val="00DC483C"/>
    <w:rsid w:val="00DC4D37"/>
    <w:rsid w:val="00DC5C6D"/>
    <w:rsid w:val="00DC71A3"/>
    <w:rsid w:val="00DC7614"/>
    <w:rsid w:val="00DC7F1C"/>
    <w:rsid w:val="00DD1A2A"/>
    <w:rsid w:val="00DD5656"/>
    <w:rsid w:val="00DE1398"/>
    <w:rsid w:val="00DE5291"/>
    <w:rsid w:val="00DF1294"/>
    <w:rsid w:val="00DF61CC"/>
    <w:rsid w:val="00DF7D77"/>
    <w:rsid w:val="00E000BD"/>
    <w:rsid w:val="00E02014"/>
    <w:rsid w:val="00E02048"/>
    <w:rsid w:val="00E04F1A"/>
    <w:rsid w:val="00E05BE9"/>
    <w:rsid w:val="00E06671"/>
    <w:rsid w:val="00E07FD6"/>
    <w:rsid w:val="00E109D9"/>
    <w:rsid w:val="00E12528"/>
    <w:rsid w:val="00E134AC"/>
    <w:rsid w:val="00E144D6"/>
    <w:rsid w:val="00E15D9E"/>
    <w:rsid w:val="00E16BED"/>
    <w:rsid w:val="00E215F1"/>
    <w:rsid w:val="00E21823"/>
    <w:rsid w:val="00E23A57"/>
    <w:rsid w:val="00E24D56"/>
    <w:rsid w:val="00E25E2B"/>
    <w:rsid w:val="00E30CDA"/>
    <w:rsid w:val="00E33804"/>
    <w:rsid w:val="00E34B03"/>
    <w:rsid w:val="00E34ED2"/>
    <w:rsid w:val="00E35027"/>
    <w:rsid w:val="00E352A5"/>
    <w:rsid w:val="00E3556F"/>
    <w:rsid w:val="00E378FD"/>
    <w:rsid w:val="00E37EDD"/>
    <w:rsid w:val="00E45A84"/>
    <w:rsid w:val="00E46200"/>
    <w:rsid w:val="00E46834"/>
    <w:rsid w:val="00E5017F"/>
    <w:rsid w:val="00E5040B"/>
    <w:rsid w:val="00E5174D"/>
    <w:rsid w:val="00E521DF"/>
    <w:rsid w:val="00E53140"/>
    <w:rsid w:val="00E54E41"/>
    <w:rsid w:val="00E55526"/>
    <w:rsid w:val="00E64F23"/>
    <w:rsid w:val="00E65A55"/>
    <w:rsid w:val="00E67C4C"/>
    <w:rsid w:val="00E7087B"/>
    <w:rsid w:val="00E70ADF"/>
    <w:rsid w:val="00E71D8D"/>
    <w:rsid w:val="00E7245B"/>
    <w:rsid w:val="00E7497C"/>
    <w:rsid w:val="00E77078"/>
    <w:rsid w:val="00E77C11"/>
    <w:rsid w:val="00E8145D"/>
    <w:rsid w:val="00E815B1"/>
    <w:rsid w:val="00E84259"/>
    <w:rsid w:val="00E86040"/>
    <w:rsid w:val="00E8757D"/>
    <w:rsid w:val="00E87A86"/>
    <w:rsid w:val="00E87E5D"/>
    <w:rsid w:val="00E90F7C"/>
    <w:rsid w:val="00E91495"/>
    <w:rsid w:val="00E925AB"/>
    <w:rsid w:val="00E92738"/>
    <w:rsid w:val="00E9630B"/>
    <w:rsid w:val="00E97166"/>
    <w:rsid w:val="00EA227B"/>
    <w:rsid w:val="00EA6C1B"/>
    <w:rsid w:val="00EA7875"/>
    <w:rsid w:val="00EA7F04"/>
    <w:rsid w:val="00EB0200"/>
    <w:rsid w:val="00EB1850"/>
    <w:rsid w:val="00EB1BB7"/>
    <w:rsid w:val="00EB34DD"/>
    <w:rsid w:val="00EB4E72"/>
    <w:rsid w:val="00EB4F5A"/>
    <w:rsid w:val="00EB5CCA"/>
    <w:rsid w:val="00EC013E"/>
    <w:rsid w:val="00EC1A26"/>
    <w:rsid w:val="00EC22DF"/>
    <w:rsid w:val="00ED0D53"/>
    <w:rsid w:val="00ED20FC"/>
    <w:rsid w:val="00ED7D38"/>
    <w:rsid w:val="00EE04AA"/>
    <w:rsid w:val="00EE6DE9"/>
    <w:rsid w:val="00EF1DD4"/>
    <w:rsid w:val="00EF25C1"/>
    <w:rsid w:val="00EF2890"/>
    <w:rsid w:val="00EF5D26"/>
    <w:rsid w:val="00EF6777"/>
    <w:rsid w:val="00EF71C6"/>
    <w:rsid w:val="00EF7AC6"/>
    <w:rsid w:val="00F009EB"/>
    <w:rsid w:val="00F0191E"/>
    <w:rsid w:val="00F024B3"/>
    <w:rsid w:val="00F0259D"/>
    <w:rsid w:val="00F047D8"/>
    <w:rsid w:val="00F0685D"/>
    <w:rsid w:val="00F10199"/>
    <w:rsid w:val="00F10250"/>
    <w:rsid w:val="00F120BE"/>
    <w:rsid w:val="00F139C7"/>
    <w:rsid w:val="00F16E21"/>
    <w:rsid w:val="00F21686"/>
    <w:rsid w:val="00F22869"/>
    <w:rsid w:val="00F2385B"/>
    <w:rsid w:val="00F2419B"/>
    <w:rsid w:val="00F25EFE"/>
    <w:rsid w:val="00F26BC0"/>
    <w:rsid w:val="00F30763"/>
    <w:rsid w:val="00F33042"/>
    <w:rsid w:val="00F34B4C"/>
    <w:rsid w:val="00F371CB"/>
    <w:rsid w:val="00F37378"/>
    <w:rsid w:val="00F37A92"/>
    <w:rsid w:val="00F40782"/>
    <w:rsid w:val="00F40AE9"/>
    <w:rsid w:val="00F40DBE"/>
    <w:rsid w:val="00F41A66"/>
    <w:rsid w:val="00F450BC"/>
    <w:rsid w:val="00F4775A"/>
    <w:rsid w:val="00F47995"/>
    <w:rsid w:val="00F47C4E"/>
    <w:rsid w:val="00F50C47"/>
    <w:rsid w:val="00F53956"/>
    <w:rsid w:val="00F53DD2"/>
    <w:rsid w:val="00F53FBC"/>
    <w:rsid w:val="00F54DF5"/>
    <w:rsid w:val="00F5642A"/>
    <w:rsid w:val="00F578FD"/>
    <w:rsid w:val="00F57F44"/>
    <w:rsid w:val="00F60272"/>
    <w:rsid w:val="00F64BB8"/>
    <w:rsid w:val="00F650C0"/>
    <w:rsid w:val="00F6594B"/>
    <w:rsid w:val="00F65B0E"/>
    <w:rsid w:val="00F66756"/>
    <w:rsid w:val="00F66903"/>
    <w:rsid w:val="00F707E2"/>
    <w:rsid w:val="00F70865"/>
    <w:rsid w:val="00F727E0"/>
    <w:rsid w:val="00F73862"/>
    <w:rsid w:val="00F73AF8"/>
    <w:rsid w:val="00F7405F"/>
    <w:rsid w:val="00F7525B"/>
    <w:rsid w:val="00F767B7"/>
    <w:rsid w:val="00F76B87"/>
    <w:rsid w:val="00F77BE3"/>
    <w:rsid w:val="00F77C1D"/>
    <w:rsid w:val="00F8000E"/>
    <w:rsid w:val="00F80846"/>
    <w:rsid w:val="00F818B3"/>
    <w:rsid w:val="00F81E20"/>
    <w:rsid w:val="00F82D28"/>
    <w:rsid w:val="00F85A0F"/>
    <w:rsid w:val="00F86889"/>
    <w:rsid w:val="00F903E7"/>
    <w:rsid w:val="00F90669"/>
    <w:rsid w:val="00F94935"/>
    <w:rsid w:val="00F96F16"/>
    <w:rsid w:val="00FA22B0"/>
    <w:rsid w:val="00FA3DCA"/>
    <w:rsid w:val="00FA5473"/>
    <w:rsid w:val="00FA59D1"/>
    <w:rsid w:val="00FA771A"/>
    <w:rsid w:val="00FA776C"/>
    <w:rsid w:val="00FA7E73"/>
    <w:rsid w:val="00FB1E18"/>
    <w:rsid w:val="00FB39A4"/>
    <w:rsid w:val="00FB454F"/>
    <w:rsid w:val="00FB475B"/>
    <w:rsid w:val="00FB525A"/>
    <w:rsid w:val="00FB7964"/>
    <w:rsid w:val="00FC0DA8"/>
    <w:rsid w:val="00FC1D65"/>
    <w:rsid w:val="00FC3EDD"/>
    <w:rsid w:val="00FC41F1"/>
    <w:rsid w:val="00FC5E81"/>
    <w:rsid w:val="00FD0CEF"/>
    <w:rsid w:val="00FD1BEB"/>
    <w:rsid w:val="00FD2FE5"/>
    <w:rsid w:val="00FD3450"/>
    <w:rsid w:val="00FD35C8"/>
    <w:rsid w:val="00FD551A"/>
    <w:rsid w:val="00FD5A7E"/>
    <w:rsid w:val="00FD6545"/>
    <w:rsid w:val="00FD732B"/>
    <w:rsid w:val="00FD7837"/>
    <w:rsid w:val="00FE11C9"/>
    <w:rsid w:val="00FE2F86"/>
    <w:rsid w:val="00FE68F0"/>
    <w:rsid w:val="00FE69A6"/>
    <w:rsid w:val="00FE7022"/>
    <w:rsid w:val="00FE7738"/>
    <w:rsid w:val="00FE7F5F"/>
    <w:rsid w:val="00FF0B40"/>
    <w:rsid w:val="00FF19BB"/>
    <w:rsid w:val="00FF2031"/>
    <w:rsid w:val="00FF4932"/>
    <w:rsid w:val="00FF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1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4E472F"/>
    <w:pPr>
      <w:spacing w:after="120" w:line="480" w:lineRule="auto"/>
    </w:pPr>
  </w:style>
  <w:style w:type="character" w:customStyle="1" w:styleId="BodyText2Char">
    <w:name w:val="Body Text 2 Char"/>
    <w:basedOn w:val="DefaultParagraphFont"/>
    <w:link w:val="BodyText2"/>
    <w:semiHidden/>
    <w:rsid w:val="004E472F"/>
    <w:rPr>
      <w:sz w:val="24"/>
      <w:szCs w:val="24"/>
    </w:rPr>
  </w:style>
  <w:style w:type="character" w:customStyle="1" w:styleId="left">
    <w:name w:val="left"/>
    <w:basedOn w:val="DefaultParagraphFont"/>
    <w:rsid w:val="0028689D"/>
  </w:style>
  <w:style w:type="character" w:styleId="CommentReference">
    <w:name w:val="annotation reference"/>
    <w:uiPriority w:val="99"/>
    <w:semiHidden/>
    <w:unhideWhenUsed/>
    <w:rsid w:val="00252BE0"/>
    <w:rPr>
      <w:sz w:val="16"/>
      <w:szCs w:val="16"/>
    </w:rPr>
  </w:style>
  <w:style w:type="paragraph" w:styleId="CommentText">
    <w:name w:val="annotation text"/>
    <w:basedOn w:val="Normal"/>
    <w:link w:val="CommentTextChar"/>
    <w:uiPriority w:val="99"/>
    <w:semiHidden/>
    <w:unhideWhenUsed/>
    <w:rsid w:val="00252BE0"/>
    <w:pPr>
      <w:spacing w:after="200" w:line="276" w:lineRule="auto"/>
    </w:pPr>
    <w:rPr>
      <w:rFonts w:ascii="Calibri" w:eastAsia="Calibri" w:hAnsi="Calibri"/>
      <w:sz w:val="20"/>
      <w:szCs w:val="20"/>
      <w:lang w:val="x-none"/>
    </w:rPr>
  </w:style>
  <w:style w:type="character" w:customStyle="1" w:styleId="CommentTextChar">
    <w:name w:val="Comment Text Char"/>
    <w:basedOn w:val="DefaultParagraphFont"/>
    <w:link w:val="CommentText"/>
    <w:uiPriority w:val="99"/>
    <w:semiHidden/>
    <w:rsid w:val="00252BE0"/>
    <w:rPr>
      <w:rFonts w:ascii="Calibri" w:eastAsia="Calibri" w:hAnsi="Calibri"/>
      <w:lang w:val="x-none"/>
    </w:rPr>
  </w:style>
  <w:style w:type="paragraph" w:styleId="BalloonText">
    <w:name w:val="Balloon Text"/>
    <w:basedOn w:val="Normal"/>
    <w:link w:val="BalloonTextChar"/>
    <w:semiHidden/>
    <w:unhideWhenUsed/>
    <w:rsid w:val="00252BE0"/>
    <w:rPr>
      <w:rFonts w:ascii="Segoe UI" w:hAnsi="Segoe UI" w:cs="Segoe UI"/>
      <w:sz w:val="18"/>
      <w:szCs w:val="18"/>
    </w:rPr>
  </w:style>
  <w:style w:type="character" w:customStyle="1" w:styleId="BalloonTextChar">
    <w:name w:val="Balloon Text Char"/>
    <w:basedOn w:val="DefaultParagraphFont"/>
    <w:link w:val="BalloonText"/>
    <w:semiHidden/>
    <w:rsid w:val="00252BE0"/>
    <w:rPr>
      <w:rFonts w:ascii="Segoe UI" w:hAnsi="Segoe UI" w:cs="Segoe UI"/>
      <w:sz w:val="18"/>
      <w:szCs w:val="18"/>
    </w:rPr>
  </w:style>
  <w:style w:type="character" w:styleId="Strong">
    <w:name w:val="Strong"/>
    <w:basedOn w:val="DefaultParagraphFont"/>
    <w:uiPriority w:val="22"/>
    <w:qFormat/>
    <w:rsid w:val="00CF1128"/>
    <w:rPr>
      <w:b/>
      <w:bCs/>
    </w:rPr>
  </w:style>
  <w:style w:type="character" w:styleId="Hyperlink">
    <w:name w:val="Hyperlink"/>
    <w:basedOn w:val="DefaultParagraphFont"/>
    <w:rsid w:val="008C7658"/>
    <w:rPr>
      <w:color w:val="0000FF"/>
      <w:u w:val="single"/>
    </w:rPr>
  </w:style>
  <w:style w:type="character" w:customStyle="1" w:styleId="x1a">
    <w:name w:val="x1a"/>
    <w:basedOn w:val="DefaultParagraphFont"/>
    <w:rsid w:val="008C7658"/>
  </w:style>
  <w:style w:type="character" w:customStyle="1" w:styleId="apple-converted-space">
    <w:name w:val="apple-converted-space"/>
    <w:basedOn w:val="DefaultParagraphFont"/>
    <w:rsid w:val="00330302"/>
  </w:style>
  <w:style w:type="paragraph" w:customStyle="1" w:styleId="m140421891151219438msolistparagraph">
    <w:name w:val="m_140421891151219438msolistparagraph"/>
    <w:basedOn w:val="Normal"/>
    <w:rsid w:val="00275A20"/>
    <w:pPr>
      <w:spacing w:before="100" w:beforeAutospacing="1" w:after="100" w:afterAutospacing="1"/>
    </w:pPr>
  </w:style>
  <w:style w:type="character" w:styleId="Emphasis">
    <w:name w:val="Emphasis"/>
    <w:basedOn w:val="DefaultParagraphFont"/>
    <w:uiPriority w:val="20"/>
    <w:qFormat/>
    <w:rsid w:val="00F81E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4E472F"/>
    <w:pPr>
      <w:spacing w:after="120" w:line="480" w:lineRule="auto"/>
    </w:pPr>
  </w:style>
  <w:style w:type="character" w:customStyle="1" w:styleId="BodyText2Char">
    <w:name w:val="Body Text 2 Char"/>
    <w:basedOn w:val="DefaultParagraphFont"/>
    <w:link w:val="BodyText2"/>
    <w:semiHidden/>
    <w:rsid w:val="004E472F"/>
    <w:rPr>
      <w:sz w:val="24"/>
      <w:szCs w:val="24"/>
    </w:rPr>
  </w:style>
  <w:style w:type="character" w:customStyle="1" w:styleId="left">
    <w:name w:val="left"/>
    <w:basedOn w:val="DefaultParagraphFont"/>
    <w:rsid w:val="0028689D"/>
  </w:style>
  <w:style w:type="character" w:styleId="CommentReference">
    <w:name w:val="annotation reference"/>
    <w:uiPriority w:val="99"/>
    <w:semiHidden/>
    <w:unhideWhenUsed/>
    <w:rsid w:val="00252BE0"/>
    <w:rPr>
      <w:sz w:val="16"/>
      <w:szCs w:val="16"/>
    </w:rPr>
  </w:style>
  <w:style w:type="paragraph" w:styleId="CommentText">
    <w:name w:val="annotation text"/>
    <w:basedOn w:val="Normal"/>
    <w:link w:val="CommentTextChar"/>
    <w:uiPriority w:val="99"/>
    <w:semiHidden/>
    <w:unhideWhenUsed/>
    <w:rsid w:val="00252BE0"/>
    <w:pPr>
      <w:spacing w:after="200" w:line="276" w:lineRule="auto"/>
    </w:pPr>
    <w:rPr>
      <w:rFonts w:ascii="Calibri" w:eastAsia="Calibri" w:hAnsi="Calibri"/>
      <w:sz w:val="20"/>
      <w:szCs w:val="20"/>
      <w:lang w:val="x-none"/>
    </w:rPr>
  </w:style>
  <w:style w:type="character" w:customStyle="1" w:styleId="CommentTextChar">
    <w:name w:val="Comment Text Char"/>
    <w:basedOn w:val="DefaultParagraphFont"/>
    <w:link w:val="CommentText"/>
    <w:uiPriority w:val="99"/>
    <w:semiHidden/>
    <w:rsid w:val="00252BE0"/>
    <w:rPr>
      <w:rFonts w:ascii="Calibri" w:eastAsia="Calibri" w:hAnsi="Calibri"/>
      <w:lang w:val="x-none"/>
    </w:rPr>
  </w:style>
  <w:style w:type="paragraph" w:styleId="BalloonText">
    <w:name w:val="Balloon Text"/>
    <w:basedOn w:val="Normal"/>
    <w:link w:val="BalloonTextChar"/>
    <w:semiHidden/>
    <w:unhideWhenUsed/>
    <w:rsid w:val="00252BE0"/>
    <w:rPr>
      <w:rFonts w:ascii="Segoe UI" w:hAnsi="Segoe UI" w:cs="Segoe UI"/>
      <w:sz w:val="18"/>
      <w:szCs w:val="18"/>
    </w:rPr>
  </w:style>
  <w:style w:type="character" w:customStyle="1" w:styleId="BalloonTextChar">
    <w:name w:val="Balloon Text Char"/>
    <w:basedOn w:val="DefaultParagraphFont"/>
    <w:link w:val="BalloonText"/>
    <w:semiHidden/>
    <w:rsid w:val="00252BE0"/>
    <w:rPr>
      <w:rFonts w:ascii="Segoe UI" w:hAnsi="Segoe UI" w:cs="Segoe UI"/>
      <w:sz w:val="18"/>
      <w:szCs w:val="18"/>
    </w:rPr>
  </w:style>
  <w:style w:type="character" w:styleId="Strong">
    <w:name w:val="Strong"/>
    <w:basedOn w:val="DefaultParagraphFont"/>
    <w:uiPriority w:val="22"/>
    <w:qFormat/>
    <w:rsid w:val="00CF1128"/>
    <w:rPr>
      <w:b/>
      <w:bCs/>
    </w:rPr>
  </w:style>
  <w:style w:type="character" w:styleId="Hyperlink">
    <w:name w:val="Hyperlink"/>
    <w:basedOn w:val="DefaultParagraphFont"/>
    <w:rsid w:val="008C7658"/>
    <w:rPr>
      <w:color w:val="0000FF"/>
      <w:u w:val="single"/>
    </w:rPr>
  </w:style>
  <w:style w:type="character" w:customStyle="1" w:styleId="x1a">
    <w:name w:val="x1a"/>
    <w:basedOn w:val="DefaultParagraphFont"/>
    <w:rsid w:val="008C7658"/>
  </w:style>
  <w:style w:type="character" w:customStyle="1" w:styleId="apple-converted-space">
    <w:name w:val="apple-converted-space"/>
    <w:basedOn w:val="DefaultParagraphFont"/>
    <w:rsid w:val="00330302"/>
  </w:style>
  <w:style w:type="paragraph" w:customStyle="1" w:styleId="m140421891151219438msolistparagraph">
    <w:name w:val="m_140421891151219438msolistparagraph"/>
    <w:basedOn w:val="Normal"/>
    <w:rsid w:val="00275A20"/>
    <w:pPr>
      <w:spacing w:before="100" w:beforeAutospacing="1" w:after="100" w:afterAutospacing="1"/>
    </w:pPr>
  </w:style>
  <w:style w:type="character" w:styleId="Emphasis">
    <w:name w:val="Emphasis"/>
    <w:basedOn w:val="DefaultParagraphFont"/>
    <w:uiPriority w:val="20"/>
    <w:qFormat/>
    <w:rsid w:val="00F81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6688">
      <w:bodyDiv w:val="1"/>
      <w:marLeft w:val="0"/>
      <w:marRight w:val="0"/>
      <w:marTop w:val="0"/>
      <w:marBottom w:val="0"/>
      <w:divBdr>
        <w:top w:val="none" w:sz="0" w:space="0" w:color="auto"/>
        <w:left w:val="none" w:sz="0" w:space="0" w:color="auto"/>
        <w:bottom w:val="none" w:sz="0" w:space="0" w:color="auto"/>
        <w:right w:val="none" w:sz="0" w:space="0" w:color="auto"/>
      </w:divBdr>
      <w:divsChild>
        <w:div w:id="1643847231">
          <w:marLeft w:val="0"/>
          <w:marRight w:val="0"/>
          <w:marTop w:val="0"/>
          <w:marBottom w:val="0"/>
          <w:divBdr>
            <w:top w:val="none" w:sz="0" w:space="0" w:color="auto"/>
            <w:left w:val="none" w:sz="0" w:space="0" w:color="auto"/>
            <w:bottom w:val="none" w:sz="0" w:space="0" w:color="auto"/>
            <w:right w:val="none" w:sz="0" w:space="0" w:color="auto"/>
          </w:divBdr>
        </w:div>
        <w:div w:id="1592854906">
          <w:marLeft w:val="0"/>
          <w:marRight w:val="0"/>
          <w:marTop w:val="0"/>
          <w:marBottom w:val="0"/>
          <w:divBdr>
            <w:top w:val="none" w:sz="0" w:space="0" w:color="auto"/>
            <w:left w:val="none" w:sz="0" w:space="0" w:color="auto"/>
            <w:bottom w:val="none" w:sz="0" w:space="0" w:color="auto"/>
            <w:right w:val="none" w:sz="0" w:space="0" w:color="auto"/>
          </w:divBdr>
        </w:div>
      </w:divsChild>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2438">
      <w:bodyDiv w:val="1"/>
      <w:marLeft w:val="0"/>
      <w:marRight w:val="0"/>
      <w:marTop w:val="0"/>
      <w:marBottom w:val="0"/>
      <w:divBdr>
        <w:top w:val="none" w:sz="0" w:space="0" w:color="auto"/>
        <w:left w:val="none" w:sz="0" w:space="0" w:color="auto"/>
        <w:bottom w:val="none" w:sz="0" w:space="0" w:color="auto"/>
        <w:right w:val="none" w:sz="0" w:space="0" w:color="auto"/>
      </w:divBdr>
      <w:divsChild>
        <w:div w:id="1381128504">
          <w:marLeft w:val="0"/>
          <w:marRight w:val="0"/>
          <w:marTop w:val="0"/>
          <w:marBottom w:val="0"/>
          <w:divBdr>
            <w:top w:val="none" w:sz="0" w:space="0" w:color="auto"/>
            <w:left w:val="none" w:sz="0" w:space="0" w:color="auto"/>
            <w:bottom w:val="none" w:sz="0" w:space="0" w:color="auto"/>
            <w:right w:val="none" w:sz="0" w:space="0" w:color="auto"/>
          </w:divBdr>
        </w:div>
        <w:div w:id="1502425153">
          <w:marLeft w:val="0"/>
          <w:marRight w:val="0"/>
          <w:marTop w:val="0"/>
          <w:marBottom w:val="0"/>
          <w:divBdr>
            <w:top w:val="none" w:sz="0" w:space="0" w:color="auto"/>
            <w:left w:val="none" w:sz="0" w:space="0" w:color="auto"/>
            <w:bottom w:val="none" w:sz="0" w:space="0" w:color="auto"/>
            <w:right w:val="none" w:sz="0" w:space="0" w:color="auto"/>
          </w:divBdr>
        </w:div>
        <w:div w:id="1399397214">
          <w:marLeft w:val="0"/>
          <w:marRight w:val="0"/>
          <w:marTop w:val="0"/>
          <w:marBottom w:val="0"/>
          <w:divBdr>
            <w:top w:val="none" w:sz="0" w:space="0" w:color="auto"/>
            <w:left w:val="none" w:sz="0" w:space="0" w:color="auto"/>
            <w:bottom w:val="none" w:sz="0" w:space="0" w:color="auto"/>
            <w:right w:val="none" w:sz="0" w:space="0" w:color="auto"/>
          </w:divBdr>
        </w:div>
        <w:div w:id="139930098">
          <w:marLeft w:val="0"/>
          <w:marRight w:val="0"/>
          <w:marTop w:val="0"/>
          <w:marBottom w:val="0"/>
          <w:divBdr>
            <w:top w:val="none" w:sz="0" w:space="0" w:color="auto"/>
            <w:left w:val="none" w:sz="0" w:space="0" w:color="auto"/>
            <w:bottom w:val="none" w:sz="0" w:space="0" w:color="auto"/>
            <w:right w:val="none" w:sz="0" w:space="0" w:color="auto"/>
          </w:divBdr>
        </w:div>
        <w:div w:id="1266302874">
          <w:marLeft w:val="0"/>
          <w:marRight w:val="0"/>
          <w:marTop w:val="0"/>
          <w:marBottom w:val="0"/>
          <w:divBdr>
            <w:top w:val="none" w:sz="0" w:space="0" w:color="auto"/>
            <w:left w:val="none" w:sz="0" w:space="0" w:color="auto"/>
            <w:bottom w:val="none" w:sz="0" w:space="0" w:color="auto"/>
            <w:right w:val="none" w:sz="0" w:space="0" w:color="auto"/>
          </w:divBdr>
        </w:div>
      </w:divsChild>
    </w:div>
    <w:div w:id="258755823">
      <w:bodyDiv w:val="1"/>
      <w:marLeft w:val="0"/>
      <w:marRight w:val="0"/>
      <w:marTop w:val="0"/>
      <w:marBottom w:val="0"/>
      <w:divBdr>
        <w:top w:val="none" w:sz="0" w:space="0" w:color="auto"/>
        <w:left w:val="none" w:sz="0" w:space="0" w:color="auto"/>
        <w:bottom w:val="none" w:sz="0" w:space="0" w:color="auto"/>
        <w:right w:val="none" w:sz="0" w:space="0" w:color="auto"/>
      </w:divBdr>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302470005">
      <w:bodyDiv w:val="1"/>
      <w:marLeft w:val="0"/>
      <w:marRight w:val="0"/>
      <w:marTop w:val="0"/>
      <w:marBottom w:val="0"/>
      <w:divBdr>
        <w:top w:val="none" w:sz="0" w:space="0" w:color="auto"/>
        <w:left w:val="none" w:sz="0" w:space="0" w:color="auto"/>
        <w:bottom w:val="none" w:sz="0" w:space="0" w:color="auto"/>
        <w:right w:val="none" w:sz="0" w:space="0" w:color="auto"/>
      </w:divBdr>
    </w:div>
    <w:div w:id="334766854">
      <w:bodyDiv w:val="1"/>
      <w:marLeft w:val="0"/>
      <w:marRight w:val="0"/>
      <w:marTop w:val="0"/>
      <w:marBottom w:val="0"/>
      <w:divBdr>
        <w:top w:val="none" w:sz="0" w:space="0" w:color="auto"/>
        <w:left w:val="none" w:sz="0" w:space="0" w:color="auto"/>
        <w:bottom w:val="none" w:sz="0" w:space="0" w:color="auto"/>
        <w:right w:val="none" w:sz="0" w:space="0" w:color="auto"/>
      </w:divBdr>
    </w:div>
    <w:div w:id="422339635">
      <w:bodyDiv w:val="1"/>
      <w:marLeft w:val="0"/>
      <w:marRight w:val="0"/>
      <w:marTop w:val="0"/>
      <w:marBottom w:val="0"/>
      <w:divBdr>
        <w:top w:val="none" w:sz="0" w:space="0" w:color="auto"/>
        <w:left w:val="none" w:sz="0" w:space="0" w:color="auto"/>
        <w:bottom w:val="none" w:sz="0" w:space="0" w:color="auto"/>
        <w:right w:val="none" w:sz="0" w:space="0" w:color="auto"/>
      </w:divBdr>
    </w:div>
    <w:div w:id="714964869">
      <w:bodyDiv w:val="1"/>
      <w:marLeft w:val="0"/>
      <w:marRight w:val="0"/>
      <w:marTop w:val="0"/>
      <w:marBottom w:val="0"/>
      <w:divBdr>
        <w:top w:val="none" w:sz="0" w:space="0" w:color="auto"/>
        <w:left w:val="none" w:sz="0" w:space="0" w:color="auto"/>
        <w:bottom w:val="none" w:sz="0" w:space="0" w:color="auto"/>
        <w:right w:val="none" w:sz="0" w:space="0" w:color="auto"/>
      </w:divBdr>
    </w:div>
    <w:div w:id="829558216">
      <w:bodyDiv w:val="1"/>
      <w:marLeft w:val="0"/>
      <w:marRight w:val="0"/>
      <w:marTop w:val="0"/>
      <w:marBottom w:val="0"/>
      <w:divBdr>
        <w:top w:val="none" w:sz="0" w:space="0" w:color="auto"/>
        <w:left w:val="none" w:sz="0" w:space="0" w:color="auto"/>
        <w:bottom w:val="none" w:sz="0" w:space="0" w:color="auto"/>
        <w:right w:val="none" w:sz="0" w:space="0" w:color="auto"/>
      </w:divBdr>
    </w:div>
    <w:div w:id="952174974">
      <w:bodyDiv w:val="1"/>
      <w:marLeft w:val="0"/>
      <w:marRight w:val="0"/>
      <w:marTop w:val="0"/>
      <w:marBottom w:val="0"/>
      <w:divBdr>
        <w:top w:val="none" w:sz="0" w:space="0" w:color="auto"/>
        <w:left w:val="none" w:sz="0" w:space="0" w:color="auto"/>
        <w:bottom w:val="none" w:sz="0" w:space="0" w:color="auto"/>
        <w:right w:val="none" w:sz="0" w:space="0" w:color="auto"/>
      </w:divBdr>
      <w:divsChild>
        <w:div w:id="1084063680">
          <w:marLeft w:val="0"/>
          <w:marRight w:val="0"/>
          <w:marTop w:val="0"/>
          <w:marBottom w:val="0"/>
          <w:divBdr>
            <w:top w:val="none" w:sz="0" w:space="0" w:color="auto"/>
            <w:left w:val="none" w:sz="0" w:space="0" w:color="auto"/>
            <w:bottom w:val="none" w:sz="0" w:space="0" w:color="auto"/>
            <w:right w:val="none" w:sz="0" w:space="0" w:color="auto"/>
          </w:divBdr>
        </w:div>
        <w:div w:id="64963693">
          <w:marLeft w:val="0"/>
          <w:marRight w:val="0"/>
          <w:marTop w:val="0"/>
          <w:marBottom w:val="0"/>
          <w:divBdr>
            <w:top w:val="none" w:sz="0" w:space="0" w:color="auto"/>
            <w:left w:val="none" w:sz="0" w:space="0" w:color="auto"/>
            <w:bottom w:val="none" w:sz="0" w:space="0" w:color="auto"/>
            <w:right w:val="none" w:sz="0" w:space="0" w:color="auto"/>
          </w:divBdr>
        </w:div>
      </w:divsChild>
    </w:div>
    <w:div w:id="986862739">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692460223">
          <w:marLeft w:val="0"/>
          <w:marRight w:val="0"/>
          <w:marTop w:val="0"/>
          <w:marBottom w:val="0"/>
          <w:divBdr>
            <w:top w:val="none" w:sz="0" w:space="0" w:color="auto"/>
            <w:left w:val="none" w:sz="0" w:space="0" w:color="auto"/>
            <w:bottom w:val="none" w:sz="0" w:space="0" w:color="auto"/>
            <w:right w:val="none" w:sz="0" w:space="0" w:color="auto"/>
          </w:divBdr>
        </w:div>
        <w:div w:id="444270044">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sChild>
    </w:div>
    <w:div w:id="1421290911">
      <w:bodyDiv w:val="1"/>
      <w:marLeft w:val="0"/>
      <w:marRight w:val="0"/>
      <w:marTop w:val="0"/>
      <w:marBottom w:val="0"/>
      <w:divBdr>
        <w:top w:val="none" w:sz="0" w:space="0" w:color="auto"/>
        <w:left w:val="none" w:sz="0" w:space="0" w:color="auto"/>
        <w:bottom w:val="none" w:sz="0" w:space="0" w:color="auto"/>
        <w:right w:val="none" w:sz="0" w:space="0" w:color="auto"/>
      </w:divBdr>
      <w:divsChild>
        <w:div w:id="1825466074">
          <w:marLeft w:val="720"/>
          <w:marRight w:val="0"/>
          <w:marTop w:val="0"/>
          <w:marBottom w:val="60"/>
          <w:divBdr>
            <w:top w:val="none" w:sz="0" w:space="0" w:color="auto"/>
            <w:left w:val="none" w:sz="0" w:space="0" w:color="auto"/>
            <w:bottom w:val="none" w:sz="0" w:space="0" w:color="auto"/>
            <w:right w:val="none" w:sz="0" w:space="0" w:color="auto"/>
          </w:divBdr>
        </w:div>
        <w:div w:id="1358391718">
          <w:marLeft w:val="720"/>
          <w:marRight w:val="0"/>
          <w:marTop w:val="0"/>
          <w:marBottom w:val="60"/>
          <w:divBdr>
            <w:top w:val="none" w:sz="0" w:space="0" w:color="auto"/>
            <w:left w:val="none" w:sz="0" w:space="0" w:color="auto"/>
            <w:bottom w:val="none" w:sz="0" w:space="0" w:color="auto"/>
            <w:right w:val="none" w:sz="0" w:space="0" w:color="auto"/>
          </w:divBdr>
        </w:div>
        <w:div w:id="1057898908">
          <w:marLeft w:val="720"/>
          <w:marRight w:val="0"/>
          <w:marTop w:val="0"/>
          <w:marBottom w:val="60"/>
          <w:divBdr>
            <w:top w:val="none" w:sz="0" w:space="0" w:color="auto"/>
            <w:left w:val="none" w:sz="0" w:space="0" w:color="auto"/>
            <w:bottom w:val="none" w:sz="0" w:space="0" w:color="auto"/>
            <w:right w:val="none" w:sz="0" w:space="0" w:color="auto"/>
          </w:divBdr>
        </w:div>
        <w:div w:id="321350929">
          <w:marLeft w:val="0"/>
          <w:marRight w:val="0"/>
          <w:marTop w:val="0"/>
          <w:marBottom w:val="60"/>
          <w:divBdr>
            <w:top w:val="none" w:sz="0" w:space="0" w:color="auto"/>
            <w:left w:val="none" w:sz="0" w:space="0" w:color="auto"/>
            <w:bottom w:val="none" w:sz="0" w:space="0" w:color="auto"/>
            <w:right w:val="none" w:sz="0" w:space="0" w:color="auto"/>
          </w:divBdr>
        </w:div>
      </w:divsChild>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12606300">
      <w:bodyDiv w:val="1"/>
      <w:marLeft w:val="0"/>
      <w:marRight w:val="0"/>
      <w:marTop w:val="0"/>
      <w:marBottom w:val="0"/>
      <w:divBdr>
        <w:top w:val="none" w:sz="0" w:space="0" w:color="auto"/>
        <w:left w:val="none" w:sz="0" w:space="0" w:color="auto"/>
        <w:bottom w:val="none" w:sz="0" w:space="0" w:color="auto"/>
        <w:right w:val="none" w:sz="0" w:space="0" w:color="auto"/>
      </w:divBdr>
    </w:div>
    <w:div w:id="1775243102">
      <w:bodyDiv w:val="1"/>
      <w:marLeft w:val="0"/>
      <w:marRight w:val="0"/>
      <w:marTop w:val="0"/>
      <w:marBottom w:val="0"/>
      <w:divBdr>
        <w:top w:val="none" w:sz="0" w:space="0" w:color="auto"/>
        <w:left w:val="none" w:sz="0" w:space="0" w:color="auto"/>
        <w:bottom w:val="none" w:sz="0" w:space="0" w:color="auto"/>
        <w:right w:val="none" w:sz="0" w:space="0" w:color="auto"/>
      </w:divBdr>
    </w:div>
    <w:div w:id="1891570989">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D430-005F-47D9-98A3-53D42E79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c:creator>
  <cp:lastModifiedBy>q</cp:lastModifiedBy>
  <cp:revision>2</cp:revision>
  <cp:lastPrinted>2018-08-02T03:17:00Z</cp:lastPrinted>
  <dcterms:created xsi:type="dcterms:W3CDTF">2018-10-04T07:55:00Z</dcterms:created>
  <dcterms:modified xsi:type="dcterms:W3CDTF">2018-10-04T07:55:00Z</dcterms:modified>
</cp:coreProperties>
</file>