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4" w:type="dxa"/>
        <w:tblCellSpacing w:w="0" w:type="dxa"/>
        <w:tblCellMar>
          <w:left w:w="0" w:type="dxa"/>
          <w:right w:w="0" w:type="dxa"/>
        </w:tblCellMar>
        <w:tblLook w:val="04A0" w:firstRow="1" w:lastRow="0" w:firstColumn="1" w:lastColumn="0" w:noHBand="0" w:noVBand="1"/>
      </w:tblPr>
      <w:tblGrid>
        <w:gridCol w:w="3402"/>
        <w:gridCol w:w="6022"/>
      </w:tblGrid>
      <w:tr w:rsidR="00DB5670" w:rsidRPr="00DB5670" w:rsidTr="00C679E3">
        <w:trPr>
          <w:trHeight w:val="877"/>
          <w:tblCellSpacing w:w="0" w:type="dxa"/>
        </w:trPr>
        <w:tc>
          <w:tcPr>
            <w:tcW w:w="3402" w:type="dxa"/>
            <w:hideMark/>
          </w:tcPr>
          <w:p w:rsidR="00DB5670" w:rsidRPr="00DB5670" w:rsidRDefault="00C679E3" w:rsidP="00DB5670">
            <w:pPr>
              <w:spacing w:before="100" w:beforeAutospacing="1" w:after="100" w:afterAutospacing="1" w:line="240" w:lineRule="auto"/>
              <w:jc w:val="center"/>
              <w:rPr>
                <w:rFonts w:eastAsia="Times New Roman" w:cs="Times New Roman"/>
                <w:sz w:val="24"/>
                <w:szCs w:val="24"/>
              </w:rPr>
            </w:pPr>
            <w:bookmarkStart w:id="0" w:name="_GoBack"/>
            <w:bookmarkEnd w:id="0"/>
            <w:r>
              <w:rPr>
                <w:rFonts w:eastAsia="Times New Roman" w:cs="Times New Roman"/>
                <w:b/>
                <w:bCs/>
                <w:sz w:val="24"/>
                <w:szCs w:val="24"/>
              </w:rPr>
              <w:t>NGÂN HÀNG NHÀ NƯỚC VIỆT NAM</w:t>
            </w:r>
            <w:r w:rsidR="00DB5670" w:rsidRPr="00DB5670">
              <w:rPr>
                <w:rFonts w:eastAsia="Times New Roman" w:cs="Times New Roman"/>
                <w:b/>
                <w:bCs/>
                <w:sz w:val="24"/>
                <w:szCs w:val="24"/>
              </w:rPr>
              <w:br/>
              <w:t>-------</w:t>
            </w:r>
          </w:p>
        </w:tc>
        <w:tc>
          <w:tcPr>
            <w:tcW w:w="6022" w:type="dxa"/>
            <w:hideMark/>
          </w:tcPr>
          <w:p w:rsidR="00DB5670" w:rsidRPr="00DB5670" w:rsidRDefault="00DB5670" w:rsidP="00DB5670">
            <w:pPr>
              <w:spacing w:before="100" w:beforeAutospacing="1" w:after="100" w:afterAutospacing="1" w:line="240" w:lineRule="auto"/>
              <w:jc w:val="center"/>
              <w:rPr>
                <w:rFonts w:eastAsia="Times New Roman" w:cs="Times New Roman"/>
                <w:sz w:val="24"/>
                <w:szCs w:val="24"/>
              </w:rPr>
            </w:pPr>
            <w:r w:rsidRPr="00DB5670">
              <w:rPr>
                <w:rFonts w:eastAsia="Times New Roman" w:cs="Times New Roman"/>
                <w:b/>
                <w:bCs/>
                <w:sz w:val="24"/>
                <w:szCs w:val="24"/>
              </w:rPr>
              <w:t>CỘNG HÒA XÃ HỘI CHỦ NGHĨA VIỆT NAM</w:t>
            </w:r>
            <w:r w:rsidRPr="00DB5670">
              <w:rPr>
                <w:rFonts w:eastAsia="Times New Roman" w:cs="Times New Roman"/>
                <w:b/>
                <w:bCs/>
                <w:sz w:val="24"/>
                <w:szCs w:val="24"/>
              </w:rPr>
              <w:br/>
            </w:r>
            <w:r w:rsidRPr="0050353E">
              <w:rPr>
                <w:rFonts w:eastAsia="Times New Roman" w:cs="Times New Roman"/>
                <w:b/>
                <w:bCs/>
                <w:sz w:val="26"/>
                <w:szCs w:val="24"/>
              </w:rPr>
              <w:t xml:space="preserve">Độc lập - Tự do - Hạnh phúc </w:t>
            </w:r>
            <w:r w:rsidRPr="00DB5670">
              <w:rPr>
                <w:rFonts w:eastAsia="Times New Roman" w:cs="Times New Roman"/>
                <w:b/>
                <w:bCs/>
                <w:sz w:val="24"/>
                <w:szCs w:val="24"/>
              </w:rPr>
              <w:br/>
              <w:t>-----</w:t>
            </w:r>
            <w:r w:rsidR="0050353E">
              <w:rPr>
                <w:rFonts w:eastAsia="Times New Roman" w:cs="Times New Roman"/>
                <w:b/>
                <w:bCs/>
                <w:sz w:val="24"/>
                <w:szCs w:val="24"/>
              </w:rPr>
              <w:t>-----------</w:t>
            </w:r>
            <w:r w:rsidRPr="00DB5670">
              <w:rPr>
                <w:rFonts w:eastAsia="Times New Roman" w:cs="Times New Roman"/>
                <w:b/>
                <w:bCs/>
                <w:sz w:val="24"/>
                <w:szCs w:val="24"/>
              </w:rPr>
              <w:t>----------</w:t>
            </w:r>
          </w:p>
        </w:tc>
      </w:tr>
      <w:tr w:rsidR="00DB5670" w:rsidRPr="00DB5670" w:rsidTr="0050353E">
        <w:trPr>
          <w:trHeight w:val="536"/>
          <w:tblCellSpacing w:w="0" w:type="dxa"/>
        </w:trPr>
        <w:tc>
          <w:tcPr>
            <w:tcW w:w="3402" w:type="dxa"/>
            <w:hideMark/>
          </w:tcPr>
          <w:p w:rsidR="00DB5670" w:rsidRPr="00DB5670" w:rsidRDefault="00DB5670" w:rsidP="0050353E">
            <w:pPr>
              <w:spacing w:before="120" w:after="120" w:line="240" w:lineRule="auto"/>
              <w:jc w:val="center"/>
              <w:rPr>
                <w:rFonts w:eastAsia="Times New Roman" w:cs="Times New Roman"/>
                <w:szCs w:val="24"/>
              </w:rPr>
            </w:pPr>
            <w:r w:rsidRPr="00DB5670">
              <w:rPr>
                <w:rFonts w:eastAsia="Times New Roman" w:cs="Times New Roman"/>
                <w:szCs w:val="24"/>
              </w:rPr>
              <w:t xml:space="preserve">Số: </w:t>
            </w:r>
            <w:r w:rsidR="00C679E3" w:rsidRPr="00BC0EF6">
              <w:rPr>
                <w:rFonts w:eastAsia="Times New Roman" w:cs="Times New Roman"/>
                <w:szCs w:val="24"/>
              </w:rPr>
              <w:t xml:space="preserve">       </w:t>
            </w:r>
            <w:r w:rsidRPr="00DB5670">
              <w:rPr>
                <w:rFonts w:eastAsia="Times New Roman" w:cs="Times New Roman"/>
                <w:szCs w:val="24"/>
              </w:rPr>
              <w:t>/2018/TT-</w:t>
            </w:r>
            <w:r w:rsidR="00C679E3" w:rsidRPr="00BC0EF6">
              <w:rPr>
                <w:rFonts w:eastAsia="Times New Roman" w:cs="Times New Roman"/>
                <w:szCs w:val="24"/>
              </w:rPr>
              <w:t>NHNN</w:t>
            </w:r>
          </w:p>
        </w:tc>
        <w:tc>
          <w:tcPr>
            <w:tcW w:w="6022" w:type="dxa"/>
            <w:hideMark/>
          </w:tcPr>
          <w:p w:rsidR="00DB5670" w:rsidRPr="00DB5670" w:rsidRDefault="00DB5670" w:rsidP="0050353E">
            <w:pPr>
              <w:spacing w:before="120" w:after="120" w:line="240" w:lineRule="auto"/>
              <w:jc w:val="right"/>
              <w:rPr>
                <w:rFonts w:eastAsia="Times New Roman" w:cs="Times New Roman"/>
                <w:szCs w:val="24"/>
              </w:rPr>
            </w:pPr>
            <w:r w:rsidRPr="00DB5670">
              <w:rPr>
                <w:rFonts w:eastAsia="Times New Roman" w:cs="Times New Roman"/>
                <w:i/>
                <w:iCs/>
                <w:szCs w:val="24"/>
              </w:rPr>
              <w:t xml:space="preserve">Hà Nội, ngày </w:t>
            </w:r>
            <w:r w:rsidR="00C679E3" w:rsidRPr="00BC0EF6">
              <w:rPr>
                <w:rFonts w:eastAsia="Times New Roman" w:cs="Times New Roman"/>
                <w:i/>
                <w:iCs/>
                <w:szCs w:val="24"/>
              </w:rPr>
              <w:t xml:space="preserve">   </w:t>
            </w:r>
            <w:r w:rsidRPr="00DB5670">
              <w:rPr>
                <w:rFonts w:eastAsia="Times New Roman" w:cs="Times New Roman"/>
                <w:i/>
                <w:iCs/>
                <w:szCs w:val="24"/>
              </w:rPr>
              <w:t xml:space="preserve"> tháng </w:t>
            </w:r>
            <w:r w:rsidR="00C679E3" w:rsidRPr="00BC0EF6">
              <w:rPr>
                <w:rFonts w:eastAsia="Times New Roman" w:cs="Times New Roman"/>
                <w:i/>
                <w:iCs/>
                <w:szCs w:val="24"/>
              </w:rPr>
              <w:t xml:space="preserve">    </w:t>
            </w:r>
            <w:r w:rsidRPr="00DB5670">
              <w:rPr>
                <w:rFonts w:eastAsia="Times New Roman" w:cs="Times New Roman"/>
                <w:i/>
                <w:iCs/>
                <w:szCs w:val="24"/>
              </w:rPr>
              <w:t xml:space="preserve"> năm 2018 </w:t>
            </w:r>
          </w:p>
        </w:tc>
      </w:tr>
    </w:tbl>
    <w:p w:rsidR="00DB5670" w:rsidRPr="00DB5670" w:rsidRDefault="00DB5670" w:rsidP="00DB5670">
      <w:pPr>
        <w:spacing w:before="100" w:beforeAutospacing="1" w:after="100" w:afterAutospacing="1" w:line="240" w:lineRule="auto"/>
        <w:jc w:val="center"/>
        <w:rPr>
          <w:rFonts w:eastAsia="Times New Roman" w:cs="Times New Roman"/>
          <w:b/>
          <w:szCs w:val="24"/>
        </w:rPr>
      </w:pPr>
      <w:bookmarkStart w:id="1" w:name="loai_1"/>
      <w:r w:rsidRPr="00BC0EF6">
        <w:rPr>
          <w:rFonts w:eastAsia="Times New Roman" w:cs="Times New Roman"/>
          <w:b/>
          <w:bCs/>
          <w:szCs w:val="24"/>
        </w:rPr>
        <w:t>THÔNG TƯ</w:t>
      </w:r>
      <w:bookmarkStart w:id="2" w:name="loai_1_name"/>
      <w:bookmarkEnd w:id="1"/>
      <w:r w:rsidR="00BC0EF6" w:rsidRPr="00BC0EF6">
        <w:rPr>
          <w:rFonts w:eastAsia="Times New Roman" w:cs="Times New Roman"/>
          <w:b/>
          <w:bCs/>
          <w:szCs w:val="24"/>
        </w:rPr>
        <w:br/>
      </w:r>
      <w:r w:rsidRPr="00DB5670">
        <w:rPr>
          <w:rFonts w:eastAsia="Times New Roman" w:cs="Times New Roman"/>
          <w:b/>
          <w:szCs w:val="24"/>
        </w:rPr>
        <w:t>H</w:t>
      </w:r>
      <w:r w:rsidR="00BC0EF6" w:rsidRPr="00BC0EF6">
        <w:rPr>
          <w:rFonts w:eastAsia="Times New Roman" w:cs="Times New Roman"/>
          <w:b/>
          <w:szCs w:val="24"/>
        </w:rPr>
        <w:t xml:space="preserve">ướng dẫn xác định vốn nhà nước của các tổ chức tín dụng nhà nước </w:t>
      </w:r>
      <w:r w:rsidR="00AF45B0">
        <w:rPr>
          <w:rFonts w:eastAsia="Times New Roman" w:cs="Times New Roman"/>
          <w:b/>
          <w:szCs w:val="24"/>
        </w:rPr>
        <w:br/>
      </w:r>
      <w:r w:rsidR="00BC0EF6" w:rsidRPr="00BC0EF6">
        <w:rPr>
          <w:rFonts w:eastAsia="Times New Roman" w:cs="Times New Roman"/>
          <w:b/>
          <w:szCs w:val="24"/>
        </w:rPr>
        <w:t xml:space="preserve">khi chuyển doanh nghiệp nhà nước thành công ty cổ phần </w:t>
      </w:r>
      <w:bookmarkEnd w:id="2"/>
    </w:p>
    <w:p w:rsidR="00DB5670" w:rsidRPr="00DB5670" w:rsidRDefault="00DB5670" w:rsidP="00C679E3">
      <w:pPr>
        <w:spacing w:before="120" w:after="120" w:line="240" w:lineRule="auto"/>
        <w:ind w:firstLine="720"/>
        <w:jc w:val="both"/>
        <w:rPr>
          <w:rFonts w:eastAsia="Times New Roman" w:cs="Times New Roman"/>
          <w:szCs w:val="28"/>
        </w:rPr>
      </w:pPr>
      <w:r w:rsidRPr="00DB5670">
        <w:rPr>
          <w:rFonts w:eastAsia="Times New Roman" w:cs="Times New Roman"/>
          <w:iCs/>
          <w:szCs w:val="24"/>
        </w:rPr>
        <w:t xml:space="preserve">Căn cứ </w:t>
      </w:r>
      <w:r w:rsidRPr="00DB5670">
        <w:rPr>
          <w:rFonts w:eastAsia="Times New Roman" w:cs="Times New Roman"/>
          <w:iCs/>
          <w:szCs w:val="28"/>
        </w:rPr>
        <w:t>Luật Doanh nghiệp số 68/2014/QH13 ngày 26/11/2014;</w:t>
      </w:r>
    </w:p>
    <w:p w:rsidR="00DB5670" w:rsidRPr="00DB5670" w:rsidRDefault="00DB5670" w:rsidP="00C679E3">
      <w:pPr>
        <w:spacing w:before="120" w:after="120" w:line="240" w:lineRule="auto"/>
        <w:ind w:firstLine="720"/>
        <w:jc w:val="both"/>
        <w:rPr>
          <w:rFonts w:eastAsia="Times New Roman" w:cs="Times New Roman"/>
          <w:szCs w:val="28"/>
        </w:rPr>
      </w:pPr>
      <w:r w:rsidRPr="00DB5670">
        <w:rPr>
          <w:rFonts w:eastAsia="Times New Roman" w:cs="Times New Roman"/>
          <w:iCs/>
          <w:szCs w:val="28"/>
        </w:rPr>
        <w:t xml:space="preserve">Căn cứ Luật </w:t>
      </w:r>
      <w:r w:rsidR="00C679E3">
        <w:rPr>
          <w:rFonts w:eastAsia="Times New Roman" w:cs="Times New Roman"/>
          <w:iCs/>
          <w:szCs w:val="28"/>
        </w:rPr>
        <w:t>Q</w:t>
      </w:r>
      <w:r w:rsidRPr="00DB5670">
        <w:rPr>
          <w:rFonts w:eastAsia="Times New Roman" w:cs="Times New Roman"/>
          <w:iCs/>
          <w:szCs w:val="28"/>
        </w:rPr>
        <w:t>uản lý, sử dụng vốn nhà nước đầu tư vào sản xuất, kinh doanh tại doanh nghiệp số 69/2014/QH13 ngày 26/11/2014;</w:t>
      </w:r>
    </w:p>
    <w:p w:rsidR="00DB5670" w:rsidRPr="00DB5670" w:rsidRDefault="00DB5670" w:rsidP="00BC0EF6">
      <w:pPr>
        <w:spacing w:before="120" w:line="340" w:lineRule="atLeast"/>
        <w:ind w:firstLine="720"/>
        <w:jc w:val="both"/>
        <w:rPr>
          <w:rFonts w:eastAsia="Times New Roman" w:cs="Times New Roman"/>
          <w:szCs w:val="28"/>
        </w:rPr>
      </w:pPr>
      <w:r w:rsidRPr="00DB5670">
        <w:rPr>
          <w:rFonts w:eastAsia="Times New Roman" w:cs="Times New Roman"/>
          <w:iCs/>
          <w:szCs w:val="28"/>
        </w:rPr>
        <w:t xml:space="preserve">Căn cứ Nghị định số </w:t>
      </w:r>
      <w:r w:rsidR="00C679E3">
        <w:rPr>
          <w:rFonts w:eastAsia="Times New Roman" w:cs="Times New Roman"/>
          <w:iCs/>
          <w:szCs w:val="28"/>
        </w:rPr>
        <w:t xml:space="preserve">16/2017/NĐ-CP </w:t>
      </w:r>
      <w:r w:rsidRPr="00DB5670">
        <w:rPr>
          <w:rFonts w:eastAsia="Times New Roman" w:cs="Times New Roman"/>
          <w:iCs/>
          <w:szCs w:val="28"/>
        </w:rPr>
        <w:t xml:space="preserve">ngày </w:t>
      </w:r>
      <w:r w:rsidR="00C679E3">
        <w:rPr>
          <w:rFonts w:eastAsia="Times New Roman" w:cs="Times New Roman"/>
          <w:iCs/>
          <w:szCs w:val="28"/>
        </w:rPr>
        <w:t>17</w:t>
      </w:r>
      <w:r w:rsidRPr="00DB5670">
        <w:rPr>
          <w:rFonts w:eastAsia="Times New Roman" w:cs="Times New Roman"/>
          <w:iCs/>
          <w:szCs w:val="28"/>
        </w:rPr>
        <w:t>/</w:t>
      </w:r>
      <w:r w:rsidR="00C679E3">
        <w:rPr>
          <w:rFonts w:eastAsia="Times New Roman" w:cs="Times New Roman"/>
          <w:iCs/>
          <w:szCs w:val="28"/>
        </w:rPr>
        <w:t>02</w:t>
      </w:r>
      <w:r w:rsidRPr="00DB5670">
        <w:rPr>
          <w:rFonts w:eastAsia="Times New Roman" w:cs="Times New Roman"/>
          <w:iCs/>
          <w:szCs w:val="28"/>
        </w:rPr>
        <w:t>/2017 của Chính phủ quy định chức năng, nhiệm vụ, quyền hạn và</w:t>
      </w:r>
      <w:r w:rsidR="00C679E3">
        <w:rPr>
          <w:rFonts w:eastAsia="Times New Roman" w:cs="Times New Roman"/>
          <w:iCs/>
          <w:szCs w:val="28"/>
        </w:rPr>
        <w:t xml:space="preserve"> cơ cấu tổ chức của Ngân hàng Nhà nước Việt Nam</w:t>
      </w:r>
      <w:r w:rsidRPr="00DB5670">
        <w:rPr>
          <w:rFonts w:eastAsia="Times New Roman" w:cs="Times New Roman"/>
          <w:iCs/>
          <w:szCs w:val="28"/>
        </w:rPr>
        <w:t>;</w:t>
      </w:r>
      <w:r w:rsidR="00BC0EF6" w:rsidRPr="00BC0EF6">
        <w:rPr>
          <w:i/>
          <w:iCs/>
        </w:rPr>
        <w:t xml:space="preserve"> </w:t>
      </w:r>
    </w:p>
    <w:p w:rsidR="00DB5670" w:rsidRPr="00DB5670" w:rsidRDefault="00DB5670" w:rsidP="00C679E3">
      <w:pPr>
        <w:spacing w:before="120" w:after="120" w:line="240" w:lineRule="auto"/>
        <w:ind w:firstLine="720"/>
        <w:jc w:val="both"/>
        <w:rPr>
          <w:rFonts w:eastAsia="Times New Roman" w:cs="Times New Roman"/>
          <w:szCs w:val="28"/>
        </w:rPr>
      </w:pPr>
      <w:r w:rsidRPr="00DB5670">
        <w:rPr>
          <w:rFonts w:eastAsia="Times New Roman" w:cs="Times New Roman"/>
          <w:iCs/>
          <w:szCs w:val="28"/>
        </w:rPr>
        <w:t xml:space="preserve">Căn cứ Nghị định số </w:t>
      </w:r>
      <w:r w:rsidRPr="00C679E3">
        <w:rPr>
          <w:rFonts w:eastAsia="Times New Roman" w:cs="Times New Roman"/>
          <w:iCs/>
          <w:szCs w:val="28"/>
        </w:rPr>
        <w:t>126/2017/NĐ-CP</w:t>
      </w:r>
      <w:r w:rsidRPr="00DB5670">
        <w:rPr>
          <w:rFonts w:eastAsia="Times New Roman" w:cs="Times New Roman"/>
          <w:iCs/>
          <w:szCs w:val="28"/>
        </w:rPr>
        <w:t xml:space="preserve"> ngày 16/11/2017 của Chính phủ về chuyển doanh nghiệp nhà nước và công ty trách nhiệm hữu hạn một thành viên do doanh nghiệp nhà nước đầu tư 100% vốn điều lệ thành công ty cổ phần;</w:t>
      </w:r>
    </w:p>
    <w:p w:rsidR="00DB5670" w:rsidRPr="00DB5670" w:rsidRDefault="00DB5670" w:rsidP="00C679E3">
      <w:pPr>
        <w:spacing w:before="120" w:after="120" w:line="240" w:lineRule="auto"/>
        <w:ind w:firstLine="720"/>
        <w:jc w:val="both"/>
        <w:rPr>
          <w:rFonts w:eastAsia="Times New Roman" w:cs="Times New Roman"/>
          <w:szCs w:val="28"/>
        </w:rPr>
      </w:pPr>
      <w:r w:rsidRPr="00DB5670">
        <w:rPr>
          <w:rFonts w:eastAsia="Times New Roman" w:cs="Times New Roman"/>
          <w:iCs/>
          <w:szCs w:val="28"/>
        </w:rPr>
        <w:t xml:space="preserve">Theo đề nghị của </w:t>
      </w:r>
      <w:r w:rsidR="00C679E3">
        <w:rPr>
          <w:rFonts w:eastAsia="Times New Roman" w:cs="Times New Roman"/>
          <w:iCs/>
          <w:szCs w:val="28"/>
        </w:rPr>
        <w:t xml:space="preserve">Vụ </w:t>
      </w:r>
      <w:r w:rsidRPr="00DB5670">
        <w:rPr>
          <w:rFonts w:eastAsia="Times New Roman" w:cs="Times New Roman"/>
          <w:iCs/>
          <w:szCs w:val="28"/>
        </w:rPr>
        <w:t xml:space="preserve">trưởng </w:t>
      </w:r>
      <w:r w:rsidR="00C679E3">
        <w:rPr>
          <w:rFonts w:eastAsia="Times New Roman" w:cs="Times New Roman"/>
          <w:iCs/>
          <w:szCs w:val="28"/>
        </w:rPr>
        <w:t>Vụ Tài chính – Kế toán</w:t>
      </w:r>
      <w:r w:rsidRPr="00DB5670">
        <w:rPr>
          <w:rFonts w:eastAsia="Times New Roman" w:cs="Times New Roman"/>
          <w:iCs/>
          <w:szCs w:val="28"/>
        </w:rPr>
        <w:t>;</w:t>
      </w:r>
    </w:p>
    <w:p w:rsidR="00DB5670" w:rsidRPr="00DB5670" w:rsidRDefault="00C679E3" w:rsidP="00C679E3">
      <w:pPr>
        <w:spacing w:before="120" w:after="120" w:line="240" w:lineRule="auto"/>
        <w:ind w:firstLine="720"/>
        <w:jc w:val="both"/>
        <w:rPr>
          <w:rFonts w:eastAsia="Times New Roman" w:cs="Times New Roman"/>
          <w:szCs w:val="28"/>
        </w:rPr>
      </w:pPr>
      <w:r>
        <w:rPr>
          <w:rFonts w:eastAsia="Times New Roman" w:cs="Times New Roman"/>
          <w:iCs/>
          <w:szCs w:val="28"/>
        </w:rPr>
        <w:t>Thống đốc Ngân hàng Nhà nước Việt Nam</w:t>
      </w:r>
      <w:r w:rsidR="00DB5670" w:rsidRPr="00DB5670">
        <w:rPr>
          <w:rFonts w:eastAsia="Times New Roman" w:cs="Times New Roman"/>
          <w:iCs/>
          <w:szCs w:val="28"/>
        </w:rPr>
        <w:t xml:space="preserve"> ban hành Thông tư hướng dẫn </w:t>
      </w:r>
      <w:r>
        <w:rPr>
          <w:rFonts w:eastAsia="Times New Roman" w:cs="Times New Roman"/>
          <w:iCs/>
          <w:szCs w:val="28"/>
        </w:rPr>
        <w:t>việc xác định vốn nhà nước của các tổ chức tín dụng nhà nước khi chuyển doanh nghiệp nhà nước thành công ty cổ phần</w:t>
      </w:r>
      <w:r w:rsidR="00683F48">
        <w:rPr>
          <w:rFonts w:eastAsia="Times New Roman" w:cs="Times New Roman"/>
          <w:iCs/>
          <w:szCs w:val="28"/>
        </w:rPr>
        <w:t xml:space="preserve"> như sau:</w:t>
      </w:r>
    </w:p>
    <w:p w:rsidR="00DB5670" w:rsidRPr="00DB5670" w:rsidRDefault="00DB5670" w:rsidP="00C679E3">
      <w:pPr>
        <w:spacing w:before="120" w:after="120" w:line="240" w:lineRule="auto"/>
        <w:ind w:firstLine="720"/>
        <w:rPr>
          <w:rFonts w:eastAsia="Times New Roman" w:cs="Times New Roman"/>
          <w:szCs w:val="28"/>
        </w:rPr>
      </w:pPr>
      <w:bookmarkStart w:id="3" w:name="dieu_1"/>
      <w:r w:rsidRPr="00DB5670">
        <w:rPr>
          <w:rFonts w:eastAsia="Times New Roman" w:cs="Times New Roman"/>
          <w:b/>
          <w:bCs/>
          <w:szCs w:val="28"/>
        </w:rPr>
        <w:t>Điều 1. Phạm vi điều chỉnh và đối tượng áp dụng</w:t>
      </w:r>
      <w:bookmarkEnd w:id="3"/>
    </w:p>
    <w:p w:rsidR="00DB5670" w:rsidRPr="00DB5670" w:rsidRDefault="00DB5670" w:rsidP="00C679E3">
      <w:pPr>
        <w:spacing w:before="120" w:after="120" w:line="240" w:lineRule="auto"/>
        <w:ind w:firstLine="720"/>
        <w:jc w:val="both"/>
        <w:rPr>
          <w:rFonts w:eastAsia="Times New Roman" w:cs="Times New Roman"/>
          <w:szCs w:val="28"/>
        </w:rPr>
      </w:pPr>
      <w:r w:rsidRPr="00DB5670">
        <w:rPr>
          <w:rFonts w:eastAsia="Times New Roman" w:cs="Times New Roman"/>
          <w:szCs w:val="28"/>
        </w:rPr>
        <w:t xml:space="preserve">1. Phạm vi điều chỉnh: </w:t>
      </w:r>
    </w:p>
    <w:p w:rsidR="00DB5670" w:rsidRPr="00DB5670" w:rsidRDefault="00DB5670" w:rsidP="00C679E3">
      <w:pPr>
        <w:spacing w:before="120" w:after="120" w:line="240" w:lineRule="auto"/>
        <w:ind w:firstLine="720"/>
        <w:jc w:val="both"/>
        <w:rPr>
          <w:rFonts w:eastAsia="Times New Roman" w:cs="Times New Roman"/>
          <w:szCs w:val="28"/>
        </w:rPr>
      </w:pPr>
      <w:r w:rsidRPr="00DB5670">
        <w:rPr>
          <w:rFonts w:eastAsia="Times New Roman" w:cs="Times New Roman"/>
          <w:szCs w:val="28"/>
        </w:rPr>
        <w:t xml:space="preserve">Thông tư này hướng dẫn </w:t>
      </w:r>
      <w:r w:rsidR="00C679E3">
        <w:rPr>
          <w:rFonts w:eastAsia="Times New Roman" w:cs="Times New Roman"/>
          <w:iCs/>
          <w:szCs w:val="28"/>
        </w:rPr>
        <w:t xml:space="preserve">việc xác định vốn nhà nước của các tổ chức tín dụng nhà nước khi </w:t>
      </w:r>
      <w:r w:rsidRPr="00DB5670">
        <w:rPr>
          <w:rFonts w:eastAsia="Times New Roman" w:cs="Times New Roman"/>
          <w:szCs w:val="28"/>
        </w:rPr>
        <w:t xml:space="preserve">thực hiện chuyển doanh nghiệp nhà nước thành công ty cổ phần theo quy định tại </w:t>
      </w:r>
      <w:r w:rsidR="00F31D60">
        <w:rPr>
          <w:rFonts w:eastAsia="Times New Roman" w:cs="Times New Roman"/>
          <w:szCs w:val="28"/>
        </w:rPr>
        <w:t>Điều 3</w:t>
      </w:r>
      <w:r w:rsidR="009F14A8">
        <w:rPr>
          <w:rFonts w:eastAsia="Times New Roman" w:cs="Times New Roman"/>
          <w:szCs w:val="28"/>
        </w:rPr>
        <w:t>1</w:t>
      </w:r>
      <w:r w:rsidR="00F31D60">
        <w:rPr>
          <w:rFonts w:eastAsia="Times New Roman" w:cs="Times New Roman"/>
          <w:szCs w:val="28"/>
        </w:rPr>
        <w:t xml:space="preserve">, </w:t>
      </w:r>
      <w:r w:rsidRPr="00DB5670">
        <w:rPr>
          <w:rFonts w:eastAsia="Times New Roman" w:cs="Times New Roman"/>
          <w:szCs w:val="28"/>
        </w:rPr>
        <w:t xml:space="preserve">Nghị định số </w:t>
      </w:r>
      <w:r w:rsidRPr="003E7736">
        <w:rPr>
          <w:rFonts w:eastAsia="Times New Roman" w:cs="Times New Roman"/>
          <w:szCs w:val="28"/>
        </w:rPr>
        <w:t>126/2017/NĐ-CP</w:t>
      </w:r>
      <w:r w:rsidRPr="00DB5670">
        <w:rPr>
          <w:rFonts w:eastAsia="Times New Roman" w:cs="Times New Roman"/>
          <w:szCs w:val="28"/>
        </w:rPr>
        <w:t xml:space="preserve"> ngày 16/11/2017 của Chính phủ về chuyển doanh nghiệp nhà nước và công ty trách nhiệm hữu hạn một thành viên do doanh nghiệp nhà nước đầu tư 100% vốn điều lệ thành công ty cổ phần (sau đây gọi tắt là Nghị định số 126/2017/NĐ-CP).</w:t>
      </w:r>
      <w:r w:rsidR="006563BA">
        <w:rPr>
          <w:rFonts w:eastAsia="Times New Roman" w:cs="Times New Roman"/>
          <w:szCs w:val="28"/>
        </w:rPr>
        <w:t xml:space="preserve"> </w:t>
      </w:r>
    </w:p>
    <w:p w:rsidR="00DB5670" w:rsidRPr="00DB5670" w:rsidRDefault="00DB5670" w:rsidP="00C679E3">
      <w:pPr>
        <w:spacing w:before="120" w:after="120" w:line="240" w:lineRule="auto"/>
        <w:ind w:firstLine="720"/>
        <w:jc w:val="both"/>
        <w:rPr>
          <w:rFonts w:eastAsia="Times New Roman" w:cs="Times New Roman"/>
          <w:szCs w:val="28"/>
        </w:rPr>
      </w:pPr>
      <w:r w:rsidRPr="00DB5670">
        <w:rPr>
          <w:rFonts w:eastAsia="Times New Roman" w:cs="Times New Roman"/>
          <w:szCs w:val="28"/>
        </w:rPr>
        <w:t xml:space="preserve">2. Đối tượng áp dụng: </w:t>
      </w:r>
    </w:p>
    <w:p w:rsidR="00DB5670" w:rsidRPr="00DB5670" w:rsidRDefault="00DB5670" w:rsidP="00C679E3">
      <w:pPr>
        <w:spacing w:before="120" w:after="120" w:line="240" w:lineRule="auto"/>
        <w:ind w:firstLine="720"/>
        <w:jc w:val="both"/>
        <w:rPr>
          <w:rFonts w:eastAsia="Times New Roman" w:cs="Times New Roman"/>
          <w:szCs w:val="28"/>
        </w:rPr>
      </w:pPr>
      <w:r w:rsidRPr="00DB5670">
        <w:rPr>
          <w:rFonts w:eastAsia="Times New Roman" w:cs="Times New Roman"/>
          <w:szCs w:val="28"/>
        </w:rPr>
        <w:t xml:space="preserve">a) Các </w:t>
      </w:r>
      <w:r w:rsidR="00DF5EE6">
        <w:rPr>
          <w:rFonts w:eastAsia="Times New Roman" w:cs="Times New Roman"/>
          <w:szCs w:val="28"/>
        </w:rPr>
        <w:t xml:space="preserve">doanh nghiệp là </w:t>
      </w:r>
      <w:r w:rsidR="00F31D60">
        <w:rPr>
          <w:rFonts w:eastAsia="Times New Roman" w:cs="Times New Roman"/>
          <w:szCs w:val="28"/>
        </w:rPr>
        <w:t xml:space="preserve">tổ chức tín dụng nhà nước </w:t>
      </w:r>
      <w:r w:rsidRPr="00DB5670">
        <w:rPr>
          <w:rFonts w:eastAsia="Times New Roman" w:cs="Times New Roman"/>
          <w:szCs w:val="28"/>
        </w:rPr>
        <w:t xml:space="preserve">quy định tại </w:t>
      </w:r>
      <w:bookmarkStart w:id="4" w:name="dc_1"/>
      <w:r w:rsidRPr="00DB5670">
        <w:rPr>
          <w:rFonts w:eastAsia="Times New Roman" w:cs="Times New Roman"/>
          <w:szCs w:val="28"/>
        </w:rPr>
        <w:t>Khoản 2 và Khoản 3 Điều 2 Nghị định số 126/2017/NĐ-CP</w:t>
      </w:r>
      <w:bookmarkEnd w:id="4"/>
      <w:r w:rsidRPr="00DB5670">
        <w:rPr>
          <w:rFonts w:eastAsia="Times New Roman" w:cs="Times New Roman"/>
          <w:szCs w:val="28"/>
        </w:rPr>
        <w:t xml:space="preserve"> (sau đây gọi tắt là </w:t>
      </w:r>
      <w:r w:rsidR="00DF5EE6">
        <w:rPr>
          <w:rFonts w:eastAsia="Times New Roman" w:cs="Times New Roman"/>
          <w:szCs w:val="28"/>
        </w:rPr>
        <w:t xml:space="preserve">tổ chức tín dụng </w:t>
      </w:r>
      <w:r w:rsidRPr="00DB5670">
        <w:rPr>
          <w:rFonts w:eastAsia="Times New Roman" w:cs="Times New Roman"/>
          <w:szCs w:val="28"/>
        </w:rPr>
        <w:t>cổ phần hóa).</w:t>
      </w:r>
    </w:p>
    <w:p w:rsidR="00DB5670" w:rsidRDefault="00DB5670" w:rsidP="00C679E3">
      <w:pPr>
        <w:spacing w:before="120" w:after="120" w:line="240" w:lineRule="auto"/>
        <w:ind w:firstLine="720"/>
        <w:jc w:val="both"/>
        <w:rPr>
          <w:rFonts w:eastAsia="Times New Roman" w:cs="Times New Roman"/>
          <w:szCs w:val="28"/>
        </w:rPr>
      </w:pPr>
      <w:r w:rsidRPr="00DB5670">
        <w:rPr>
          <w:rFonts w:eastAsia="Times New Roman" w:cs="Times New Roman"/>
          <w:szCs w:val="28"/>
        </w:rPr>
        <w:t xml:space="preserve">b) Cơ quan đại diện chủ sở hữu và các cơ quan, tổ chức, cá nhân có liên quan quy định tại </w:t>
      </w:r>
      <w:bookmarkStart w:id="5" w:name="dc_2"/>
      <w:r w:rsidRPr="00DB5670">
        <w:rPr>
          <w:rFonts w:eastAsia="Times New Roman" w:cs="Times New Roman"/>
          <w:szCs w:val="28"/>
        </w:rPr>
        <w:t>Khoản 1 và Khoản 4 Điều 2 Nghị định số 126/2017/NĐ-CP</w:t>
      </w:r>
      <w:bookmarkEnd w:id="5"/>
      <w:r w:rsidRPr="00DB5670">
        <w:rPr>
          <w:rFonts w:eastAsia="Times New Roman" w:cs="Times New Roman"/>
          <w:szCs w:val="28"/>
        </w:rPr>
        <w:t>.</w:t>
      </w:r>
    </w:p>
    <w:p w:rsidR="00DB5670" w:rsidRPr="00DB5670" w:rsidRDefault="00DB5670" w:rsidP="00C679E3">
      <w:pPr>
        <w:spacing w:before="120" w:after="120" w:line="240" w:lineRule="auto"/>
        <w:ind w:firstLine="720"/>
        <w:jc w:val="both"/>
        <w:rPr>
          <w:rFonts w:eastAsia="Times New Roman" w:cs="Times New Roman"/>
          <w:szCs w:val="28"/>
        </w:rPr>
      </w:pPr>
      <w:bookmarkStart w:id="6" w:name="dieu_2"/>
      <w:r w:rsidRPr="00DB5670">
        <w:rPr>
          <w:rFonts w:eastAsia="Times New Roman" w:cs="Times New Roman"/>
          <w:b/>
          <w:bCs/>
          <w:szCs w:val="28"/>
        </w:rPr>
        <w:lastRenderedPageBreak/>
        <w:t xml:space="preserve">Điều 2. </w:t>
      </w:r>
      <w:r w:rsidR="00C679E3">
        <w:rPr>
          <w:rFonts w:eastAsia="Times New Roman" w:cs="Times New Roman"/>
          <w:b/>
          <w:bCs/>
          <w:szCs w:val="28"/>
        </w:rPr>
        <w:t>Vốn nhà nước</w:t>
      </w:r>
      <w:bookmarkEnd w:id="6"/>
    </w:p>
    <w:p w:rsidR="00C679E3" w:rsidRDefault="00DB5670" w:rsidP="00C679E3">
      <w:pPr>
        <w:spacing w:before="120" w:after="120" w:line="240" w:lineRule="auto"/>
        <w:ind w:firstLine="720"/>
        <w:jc w:val="both"/>
        <w:rPr>
          <w:rFonts w:eastAsia="Times New Roman" w:cs="Times New Roman"/>
          <w:szCs w:val="28"/>
        </w:rPr>
      </w:pPr>
      <w:r w:rsidRPr="00DB5670">
        <w:rPr>
          <w:rFonts w:eastAsia="Times New Roman" w:cs="Times New Roman"/>
          <w:szCs w:val="28"/>
        </w:rPr>
        <w:t xml:space="preserve">Vốn nhà nước </w:t>
      </w:r>
      <w:r w:rsidR="00C679E3">
        <w:rPr>
          <w:rFonts w:eastAsia="Times New Roman" w:cs="Times New Roman"/>
          <w:szCs w:val="28"/>
        </w:rPr>
        <w:t xml:space="preserve">tại các tổ chức tín dụng nhà nước </w:t>
      </w:r>
      <w:r w:rsidRPr="00DB5670">
        <w:rPr>
          <w:rFonts w:eastAsia="Times New Roman" w:cs="Times New Roman"/>
          <w:szCs w:val="28"/>
        </w:rPr>
        <w:t>được xác định bao gồm số dư</w:t>
      </w:r>
      <w:r w:rsidR="00C679E3">
        <w:rPr>
          <w:rFonts w:eastAsia="Times New Roman" w:cs="Times New Roman"/>
          <w:szCs w:val="28"/>
        </w:rPr>
        <w:t xml:space="preserve"> các tài khoản sau đây</w:t>
      </w:r>
      <w:r w:rsidRPr="00DB5670">
        <w:rPr>
          <w:rFonts w:eastAsia="Times New Roman" w:cs="Times New Roman"/>
          <w:szCs w:val="28"/>
        </w:rPr>
        <w:t xml:space="preserve">: </w:t>
      </w:r>
    </w:p>
    <w:tbl>
      <w:tblPr>
        <w:tblStyle w:val="TableGrid"/>
        <w:tblW w:w="0" w:type="auto"/>
        <w:tblInd w:w="817" w:type="dxa"/>
        <w:tblLook w:val="04A0" w:firstRow="1" w:lastRow="0" w:firstColumn="1" w:lastColumn="0" w:noHBand="0" w:noVBand="1"/>
      </w:tblPr>
      <w:tblGrid>
        <w:gridCol w:w="746"/>
        <w:gridCol w:w="6342"/>
        <w:gridCol w:w="1559"/>
      </w:tblGrid>
      <w:tr w:rsidR="004503CD" w:rsidRPr="004503CD" w:rsidTr="00683F48">
        <w:tc>
          <w:tcPr>
            <w:tcW w:w="746" w:type="dxa"/>
            <w:tcBorders>
              <w:top w:val="double" w:sz="4" w:space="0" w:color="auto"/>
            </w:tcBorders>
            <w:vAlign w:val="center"/>
          </w:tcPr>
          <w:p w:rsidR="004503CD" w:rsidRPr="004503CD" w:rsidRDefault="004503CD" w:rsidP="00F31D60">
            <w:pPr>
              <w:rPr>
                <w:rFonts w:eastAsia="Times New Roman" w:cs="Times New Roman"/>
                <w:b/>
                <w:szCs w:val="28"/>
              </w:rPr>
            </w:pPr>
            <w:r w:rsidRPr="004503CD">
              <w:rPr>
                <w:rFonts w:eastAsia="Times New Roman" w:cs="Times New Roman"/>
                <w:b/>
                <w:szCs w:val="28"/>
              </w:rPr>
              <w:t>STT</w:t>
            </w:r>
          </w:p>
        </w:tc>
        <w:tc>
          <w:tcPr>
            <w:tcW w:w="6342" w:type="dxa"/>
            <w:tcBorders>
              <w:top w:val="double" w:sz="4" w:space="0" w:color="auto"/>
            </w:tcBorders>
            <w:vAlign w:val="center"/>
          </w:tcPr>
          <w:p w:rsidR="004503CD" w:rsidRPr="004503CD" w:rsidRDefault="004503CD" w:rsidP="00F31D60">
            <w:pPr>
              <w:rPr>
                <w:rFonts w:eastAsia="Times New Roman" w:cs="Times New Roman"/>
                <w:b/>
                <w:szCs w:val="28"/>
              </w:rPr>
            </w:pPr>
            <w:r w:rsidRPr="004503CD">
              <w:rPr>
                <w:rFonts w:eastAsia="Times New Roman" w:cs="Times New Roman"/>
                <w:b/>
                <w:szCs w:val="28"/>
              </w:rPr>
              <w:t>Tên khoản mục</w:t>
            </w:r>
          </w:p>
        </w:tc>
        <w:tc>
          <w:tcPr>
            <w:tcW w:w="1559" w:type="dxa"/>
            <w:tcBorders>
              <w:top w:val="double" w:sz="4" w:space="0" w:color="auto"/>
            </w:tcBorders>
            <w:vAlign w:val="center"/>
          </w:tcPr>
          <w:p w:rsidR="00F31D60" w:rsidRDefault="004503CD" w:rsidP="00F31D60">
            <w:pPr>
              <w:rPr>
                <w:rFonts w:eastAsia="Times New Roman" w:cs="Times New Roman"/>
                <w:b/>
                <w:szCs w:val="28"/>
              </w:rPr>
            </w:pPr>
            <w:r w:rsidRPr="004503CD">
              <w:rPr>
                <w:rFonts w:eastAsia="Times New Roman" w:cs="Times New Roman"/>
                <w:b/>
                <w:szCs w:val="28"/>
              </w:rPr>
              <w:t>Số hiệu</w:t>
            </w:r>
          </w:p>
          <w:p w:rsidR="004503CD" w:rsidRPr="004503CD" w:rsidRDefault="004503CD" w:rsidP="00F31D60">
            <w:pPr>
              <w:rPr>
                <w:rFonts w:eastAsia="Times New Roman" w:cs="Times New Roman"/>
                <w:b/>
                <w:szCs w:val="28"/>
              </w:rPr>
            </w:pPr>
            <w:r w:rsidRPr="004503CD">
              <w:rPr>
                <w:rFonts w:eastAsia="Times New Roman" w:cs="Times New Roman"/>
                <w:b/>
                <w:szCs w:val="28"/>
              </w:rPr>
              <w:t>tài khoản</w:t>
            </w:r>
            <w:r w:rsidR="00F31D60">
              <w:rPr>
                <w:rFonts w:eastAsia="Times New Roman" w:cs="Times New Roman"/>
                <w:b/>
                <w:szCs w:val="28"/>
                <w:vertAlign w:val="superscript"/>
              </w:rPr>
              <w:t>(*)</w:t>
            </w:r>
            <w:r w:rsidR="00F31D60">
              <w:rPr>
                <w:rFonts w:eastAsia="Times New Roman" w:cs="Times New Roman"/>
                <w:b/>
                <w:szCs w:val="28"/>
              </w:rPr>
              <w:t xml:space="preserve"> </w:t>
            </w:r>
          </w:p>
        </w:tc>
      </w:tr>
      <w:tr w:rsidR="004503CD" w:rsidRPr="004503CD" w:rsidTr="00683F48">
        <w:tc>
          <w:tcPr>
            <w:tcW w:w="746" w:type="dxa"/>
          </w:tcPr>
          <w:p w:rsidR="004503CD" w:rsidRPr="004503CD" w:rsidRDefault="004503CD" w:rsidP="00F31D60">
            <w:pPr>
              <w:jc w:val="right"/>
              <w:rPr>
                <w:rFonts w:eastAsia="Times New Roman" w:cs="Times New Roman"/>
                <w:szCs w:val="28"/>
              </w:rPr>
            </w:pPr>
            <w:r w:rsidRPr="004503CD">
              <w:rPr>
                <w:rFonts w:eastAsia="Times New Roman" w:cs="Times New Roman"/>
                <w:szCs w:val="28"/>
              </w:rPr>
              <w:t>1</w:t>
            </w:r>
          </w:p>
        </w:tc>
        <w:tc>
          <w:tcPr>
            <w:tcW w:w="6342" w:type="dxa"/>
          </w:tcPr>
          <w:p w:rsidR="004503CD" w:rsidRPr="004503CD" w:rsidRDefault="004503CD" w:rsidP="004503CD">
            <w:pPr>
              <w:jc w:val="both"/>
              <w:rPr>
                <w:rFonts w:eastAsia="Times New Roman" w:cs="Times New Roman"/>
                <w:szCs w:val="28"/>
              </w:rPr>
            </w:pPr>
            <w:r w:rsidRPr="004503CD">
              <w:rPr>
                <w:rFonts w:eastAsia="Times New Roman" w:cs="Times New Roman"/>
                <w:szCs w:val="28"/>
              </w:rPr>
              <w:t>Vốn điều lệ</w:t>
            </w:r>
          </w:p>
        </w:tc>
        <w:tc>
          <w:tcPr>
            <w:tcW w:w="1559" w:type="dxa"/>
          </w:tcPr>
          <w:p w:rsidR="004503CD" w:rsidRPr="004503CD" w:rsidRDefault="004503CD" w:rsidP="00F31D60">
            <w:pPr>
              <w:jc w:val="center"/>
              <w:rPr>
                <w:rFonts w:eastAsia="Times New Roman" w:cs="Times New Roman"/>
                <w:szCs w:val="28"/>
              </w:rPr>
            </w:pPr>
            <w:r w:rsidRPr="004503CD">
              <w:rPr>
                <w:rFonts w:eastAsia="Times New Roman" w:cs="Times New Roman"/>
                <w:szCs w:val="28"/>
              </w:rPr>
              <w:t>601</w:t>
            </w:r>
          </w:p>
        </w:tc>
      </w:tr>
      <w:tr w:rsidR="004503CD" w:rsidRPr="004503CD" w:rsidTr="00683F48">
        <w:tc>
          <w:tcPr>
            <w:tcW w:w="746" w:type="dxa"/>
          </w:tcPr>
          <w:p w:rsidR="004503CD" w:rsidRPr="004503CD" w:rsidRDefault="00F31D60" w:rsidP="00F31D60">
            <w:pPr>
              <w:jc w:val="right"/>
              <w:rPr>
                <w:rFonts w:eastAsia="Times New Roman" w:cs="Times New Roman"/>
                <w:szCs w:val="28"/>
              </w:rPr>
            </w:pPr>
            <w:r>
              <w:rPr>
                <w:rFonts w:eastAsia="Times New Roman" w:cs="Times New Roman"/>
                <w:szCs w:val="28"/>
              </w:rPr>
              <w:t>2</w:t>
            </w:r>
          </w:p>
        </w:tc>
        <w:tc>
          <w:tcPr>
            <w:tcW w:w="6342" w:type="dxa"/>
          </w:tcPr>
          <w:p w:rsidR="004503CD" w:rsidRPr="004503CD" w:rsidRDefault="004503CD" w:rsidP="004503CD">
            <w:pPr>
              <w:jc w:val="both"/>
              <w:rPr>
                <w:rFonts w:eastAsia="Times New Roman" w:cs="Times New Roman"/>
                <w:szCs w:val="28"/>
              </w:rPr>
            </w:pPr>
            <w:r w:rsidRPr="004503CD">
              <w:rPr>
                <w:rFonts w:eastAsia="Times New Roman" w:cs="Times New Roman"/>
                <w:szCs w:val="28"/>
              </w:rPr>
              <w:t>Vốn đầu tư xây dựng cơ bản, mua sắm tài sản cố định</w:t>
            </w:r>
          </w:p>
        </w:tc>
        <w:tc>
          <w:tcPr>
            <w:tcW w:w="1559" w:type="dxa"/>
          </w:tcPr>
          <w:p w:rsidR="004503CD" w:rsidRPr="004503CD" w:rsidRDefault="004503CD" w:rsidP="00F31D60">
            <w:pPr>
              <w:jc w:val="center"/>
              <w:rPr>
                <w:rFonts w:eastAsia="Times New Roman" w:cs="Times New Roman"/>
                <w:szCs w:val="28"/>
              </w:rPr>
            </w:pPr>
            <w:r w:rsidRPr="004503CD">
              <w:rPr>
                <w:rFonts w:eastAsia="Times New Roman" w:cs="Times New Roman"/>
                <w:szCs w:val="28"/>
              </w:rPr>
              <w:t>602</w:t>
            </w:r>
          </w:p>
        </w:tc>
      </w:tr>
      <w:tr w:rsidR="004503CD" w:rsidRPr="004503CD" w:rsidTr="00683F48">
        <w:tc>
          <w:tcPr>
            <w:tcW w:w="746" w:type="dxa"/>
          </w:tcPr>
          <w:p w:rsidR="004503CD" w:rsidRPr="004503CD" w:rsidRDefault="00F31D60" w:rsidP="00F31D60">
            <w:pPr>
              <w:jc w:val="right"/>
              <w:rPr>
                <w:rFonts w:eastAsia="Times New Roman" w:cs="Times New Roman"/>
                <w:szCs w:val="28"/>
              </w:rPr>
            </w:pPr>
            <w:r>
              <w:rPr>
                <w:rFonts w:eastAsia="Times New Roman" w:cs="Times New Roman"/>
                <w:szCs w:val="28"/>
              </w:rPr>
              <w:t>3</w:t>
            </w:r>
          </w:p>
        </w:tc>
        <w:tc>
          <w:tcPr>
            <w:tcW w:w="6342" w:type="dxa"/>
          </w:tcPr>
          <w:p w:rsidR="004503CD" w:rsidRPr="004503CD" w:rsidRDefault="004503CD" w:rsidP="004503CD">
            <w:pPr>
              <w:jc w:val="both"/>
              <w:rPr>
                <w:rFonts w:eastAsia="Times New Roman" w:cs="Times New Roman"/>
                <w:szCs w:val="28"/>
              </w:rPr>
            </w:pPr>
            <w:r w:rsidRPr="004503CD">
              <w:rPr>
                <w:rFonts w:eastAsia="Times New Roman" w:cs="Times New Roman"/>
                <w:szCs w:val="28"/>
              </w:rPr>
              <w:t>Vốn khác</w:t>
            </w:r>
          </w:p>
        </w:tc>
        <w:tc>
          <w:tcPr>
            <w:tcW w:w="1559" w:type="dxa"/>
          </w:tcPr>
          <w:p w:rsidR="004503CD" w:rsidRPr="004503CD" w:rsidRDefault="004503CD" w:rsidP="00F31D60">
            <w:pPr>
              <w:jc w:val="center"/>
              <w:rPr>
                <w:rFonts w:eastAsia="Times New Roman" w:cs="Times New Roman"/>
                <w:szCs w:val="28"/>
              </w:rPr>
            </w:pPr>
            <w:r w:rsidRPr="004503CD">
              <w:rPr>
                <w:rFonts w:eastAsia="Times New Roman" w:cs="Times New Roman"/>
                <w:szCs w:val="28"/>
              </w:rPr>
              <w:t>609</w:t>
            </w:r>
          </w:p>
        </w:tc>
      </w:tr>
      <w:tr w:rsidR="004503CD" w:rsidRPr="004503CD" w:rsidTr="00683F48">
        <w:tc>
          <w:tcPr>
            <w:tcW w:w="746" w:type="dxa"/>
          </w:tcPr>
          <w:p w:rsidR="004503CD" w:rsidRPr="004503CD" w:rsidRDefault="00F31D60" w:rsidP="00F31D60">
            <w:pPr>
              <w:jc w:val="right"/>
              <w:rPr>
                <w:rFonts w:eastAsia="Times New Roman" w:cs="Times New Roman"/>
                <w:szCs w:val="28"/>
              </w:rPr>
            </w:pPr>
            <w:r>
              <w:rPr>
                <w:rFonts w:eastAsia="Times New Roman" w:cs="Times New Roman"/>
                <w:szCs w:val="28"/>
              </w:rPr>
              <w:t>4</w:t>
            </w:r>
          </w:p>
        </w:tc>
        <w:tc>
          <w:tcPr>
            <w:tcW w:w="6342" w:type="dxa"/>
          </w:tcPr>
          <w:p w:rsidR="004503CD" w:rsidRPr="004503CD" w:rsidRDefault="004503CD" w:rsidP="004503CD">
            <w:pPr>
              <w:jc w:val="both"/>
              <w:rPr>
                <w:rFonts w:eastAsia="Times New Roman" w:cs="Times New Roman"/>
                <w:szCs w:val="28"/>
              </w:rPr>
            </w:pPr>
            <w:r w:rsidRPr="004503CD">
              <w:rPr>
                <w:rFonts w:eastAsia="Times New Roman" w:cs="Times New Roman"/>
                <w:szCs w:val="28"/>
              </w:rPr>
              <w:t>Quỹ dự trữ bổ sung vốn điều lệ</w:t>
            </w:r>
          </w:p>
        </w:tc>
        <w:tc>
          <w:tcPr>
            <w:tcW w:w="1559" w:type="dxa"/>
          </w:tcPr>
          <w:p w:rsidR="004503CD" w:rsidRPr="004503CD" w:rsidRDefault="004503CD" w:rsidP="00F31D60">
            <w:pPr>
              <w:jc w:val="center"/>
              <w:rPr>
                <w:rFonts w:eastAsia="Times New Roman" w:cs="Times New Roman"/>
                <w:szCs w:val="28"/>
              </w:rPr>
            </w:pPr>
            <w:r w:rsidRPr="004503CD">
              <w:rPr>
                <w:rFonts w:eastAsia="Times New Roman" w:cs="Times New Roman"/>
                <w:szCs w:val="28"/>
              </w:rPr>
              <w:t>611</w:t>
            </w:r>
          </w:p>
        </w:tc>
      </w:tr>
      <w:tr w:rsidR="004503CD" w:rsidRPr="004503CD" w:rsidTr="00683F48">
        <w:tc>
          <w:tcPr>
            <w:tcW w:w="746" w:type="dxa"/>
          </w:tcPr>
          <w:p w:rsidR="004503CD" w:rsidRPr="004503CD" w:rsidRDefault="00F31D60" w:rsidP="00F31D60">
            <w:pPr>
              <w:jc w:val="right"/>
              <w:rPr>
                <w:rFonts w:eastAsia="Times New Roman" w:cs="Times New Roman"/>
                <w:szCs w:val="28"/>
              </w:rPr>
            </w:pPr>
            <w:r>
              <w:rPr>
                <w:rFonts w:eastAsia="Times New Roman" w:cs="Times New Roman"/>
                <w:szCs w:val="28"/>
              </w:rPr>
              <w:t>5</w:t>
            </w:r>
          </w:p>
        </w:tc>
        <w:tc>
          <w:tcPr>
            <w:tcW w:w="6342" w:type="dxa"/>
          </w:tcPr>
          <w:p w:rsidR="004503CD" w:rsidRPr="004503CD" w:rsidRDefault="004503CD" w:rsidP="004503CD">
            <w:pPr>
              <w:jc w:val="both"/>
              <w:rPr>
                <w:rFonts w:eastAsia="Times New Roman" w:cs="Times New Roman"/>
                <w:szCs w:val="28"/>
              </w:rPr>
            </w:pPr>
            <w:r w:rsidRPr="004503CD">
              <w:rPr>
                <w:rFonts w:eastAsia="Times New Roman" w:cs="Times New Roman"/>
                <w:szCs w:val="28"/>
              </w:rPr>
              <w:t>Quỹ đầu tư phát triển</w:t>
            </w:r>
          </w:p>
        </w:tc>
        <w:tc>
          <w:tcPr>
            <w:tcW w:w="1559" w:type="dxa"/>
          </w:tcPr>
          <w:p w:rsidR="004503CD" w:rsidRPr="004503CD" w:rsidRDefault="004503CD" w:rsidP="00F31D60">
            <w:pPr>
              <w:jc w:val="center"/>
              <w:rPr>
                <w:rFonts w:eastAsia="Times New Roman" w:cs="Times New Roman"/>
                <w:szCs w:val="28"/>
              </w:rPr>
            </w:pPr>
            <w:r w:rsidRPr="004503CD">
              <w:rPr>
                <w:rFonts w:eastAsia="Times New Roman" w:cs="Times New Roman"/>
                <w:szCs w:val="28"/>
              </w:rPr>
              <w:t>612</w:t>
            </w:r>
          </w:p>
        </w:tc>
      </w:tr>
      <w:tr w:rsidR="004503CD" w:rsidRPr="004503CD" w:rsidTr="00683F48">
        <w:tc>
          <w:tcPr>
            <w:tcW w:w="746" w:type="dxa"/>
            <w:tcBorders>
              <w:bottom w:val="double" w:sz="4" w:space="0" w:color="auto"/>
            </w:tcBorders>
          </w:tcPr>
          <w:p w:rsidR="004503CD" w:rsidRPr="004503CD" w:rsidRDefault="00F31D60" w:rsidP="00F31D60">
            <w:pPr>
              <w:jc w:val="right"/>
              <w:rPr>
                <w:rFonts w:eastAsia="Times New Roman" w:cs="Times New Roman"/>
                <w:szCs w:val="28"/>
              </w:rPr>
            </w:pPr>
            <w:r>
              <w:rPr>
                <w:rFonts w:eastAsia="Times New Roman" w:cs="Times New Roman"/>
                <w:szCs w:val="28"/>
              </w:rPr>
              <w:t>6</w:t>
            </w:r>
          </w:p>
        </w:tc>
        <w:tc>
          <w:tcPr>
            <w:tcW w:w="6342" w:type="dxa"/>
            <w:tcBorders>
              <w:bottom w:val="double" w:sz="4" w:space="0" w:color="auto"/>
            </w:tcBorders>
          </w:tcPr>
          <w:p w:rsidR="004503CD" w:rsidRPr="004503CD" w:rsidRDefault="004503CD" w:rsidP="004503CD">
            <w:pPr>
              <w:jc w:val="both"/>
              <w:rPr>
                <w:rFonts w:eastAsia="Times New Roman" w:cs="Times New Roman"/>
                <w:szCs w:val="28"/>
              </w:rPr>
            </w:pPr>
            <w:r w:rsidRPr="004503CD">
              <w:rPr>
                <w:rFonts w:eastAsia="Times New Roman" w:cs="Times New Roman"/>
                <w:szCs w:val="28"/>
              </w:rPr>
              <w:t>Quỹ dự phòng tài chính</w:t>
            </w:r>
          </w:p>
        </w:tc>
        <w:tc>
          <w:tcPr>
            <w:tcW w:w="1559" w:type="dxa"/>
            <w:tcBorders>
              <w:bottom w:val="double" w:sz="4" w:space="0" w:color="auto"/>
            </w:tcBorders>
          </w:tcPr>
          <w:p w:rsidR="004503CD" w:rsidRPr="004503CD" w:rsidRDefault="004503CD" w:rsidP="00F31D60">
            <w:pPr>
              <w:jc w:val="center"/>
              <w:rPr>
                <w:rFonts w:eastAsia="Times New Roman" w:cs="Times New Roman"/>
                <w:szCs w:val="28"/>
              </w:rPr>
            </w:pPr>
            <w:r w:rsidRPr="004503CD">
              <w:rPr>
                <w:rFonts w:eastAsia="Times New Roman" w:cs="Times New Roman"/>
                <w:szCs w:val="28"/>
              </w:rPr>
              <w:t>613</w:t>
            </w:r>
          </w:p>
        </w:tc>
      </w:tr>
    </w:tbl>
    <w:p w:rsidR="004503CD" w:rsidRDefault="00F31D60" w:rsidP="00C679E3">
      <w:pPr>
        <w:spacing w:before="120" w:after="120" w:line="240" w:lineRule="auto"/>
        <w:ind w:firstLine="720"/>
        <w:jc w:val="both"/>
      </w:pPr>
      <w:r w:rsidRPr="00F31D60">
        <w:rPr>
          <w:rFonts w:eastAsia="Times New Roman" w:cs="Times New Roman"/>
          <w:szCs w:val="28"/>
          <w:vertAlign w:val="superscript"/>
        </w:rPr>
        <w:t>(*)</w:t>
      </w:r>
      <w:r>
        <w:rPr>
          <w:rFonts w:eastAsia="Times New Roman" w:cs="Times New Roman"/>
          <w:szCs w:val="28"/>
          <w:vertAlign w:val="superscript"/>
        </w:rPr>
        <w:t xml:space="preserve"> </w:t>
      </w:r>
      <w:r w:rsidR="004503CD">
        <w:rPr>
          <w:rFonts w:eastAsia="Times New Roman" w:cs="Times New Roman"/>
          <w:szCs w:val="28"/>
        </w:rPr>
        <w:t xml:space="preserve">Số hiệu các tài khoản quy định tại Điều này được lấy theo </w:t>
      </w:r>
      <w:r w:rsidR="004503CD">
        <w:t xml:space="preserve">Hệ thống tài khoản kế toán các Tổ chức tín dụng </w:t>
      </w:r>
      <w:r w:rsidR="004503CD" w:rsidRPr="004503CD">
        <w:rPr>
          <w:i/>
        </w:rPr>
        <w:t xml:space="preserve">(ban hành theo Quyết định số </w:t>
      </w:r>
      <w:r w:rsidR="004503CD" w:rsidRPr="00683F48">
        <w:rPr>
          <w:i/>
        </w:rPr>
        <w:t>479/2004/QĐ-NHNN</w:t>
      </w:r>
      <w:r w:rsidR="004503CD" w:rsidRPr="004503CD">
        <w:rPr>
          <w:i/>
        </w:rPr>
        <w:t xml:space="preserve"> ngày 29 tháng 4 năm 2004 của Thống đốc Ngân hàng Nhà nước Việt Nam và được sửa đổi, bổ sung bởi các văn bản sau: Quyết định số </w:t>
      </w:r>
      <w:r w:rsidR="004503CD" w:rsidRPr="00683F48">
        <w:rPr>
          <w:i/>
        </w:rPr>
        <w:t>1146/2004/QĐ-NHNN</w:t>
      </w:r>
      <w:r w:rsidR="004503CD" w:rsidRPr="004503CD">
        <w:rPr>
          <w:i/>
        </w:rPr>
        <w:t xml:space="preserve"> ngày 10 tháng 9 năm 2004 của Thống đốc Ngân hàng Nhà nước Việt Nam về việc sửa đổi Điều 2 Quyết định số </w:t>
      </w:r>
      <w:r w:rsidR="004503CD" w:rsidRPr="00683F48">
        <w:rPr>
          <w:i/>
        </w:rPr>
        <w:t>479/2004/QĐ-NHNN</w:t>
      </w:r>
      <w:r w:rsidR="004503CD" w:rsidRPr="004503CD">
        <w:rPr>
          <w:i/>
        </w:rPr>
        <w:t xml:space="preserve"> ngày 29/4/2004 của Thống đốc Ngân hàng Nhà nước ban hành Hệ thống tài khoản kế toán các Tổ chức tín dụng, có hiệu lực kể từ ngày 04 tháng 10 năm 2004; Thông tư số </w:t>
      </w:r>
      <w:r w:rsidR="004503CD" w:rsidRPr="00683F48">
        <w:rPr>
          <w:i/>
        </w:rPr>
        <w:t>10/2014/TT-NHNN</w:t>
      </w:r>
      <w:r w:rsidR="004503CD" w:rsidRPr="004503CD">
        <w:rPr>
          <w:i/>
        </w:rPr>
        <w:t xml:space="preserve"> ngày 20 tháng 3 năm 2014 của Thống đốc Ngân hàng Nhà nước Việt Nam sửa đổi, bổ sung một số tài khoản trong Hệ thống tài khoản kế toán các Tổ chức tín dụng ban hành theo Quyết định số 479/2004/QĐ- NHNN ngày 29/4/2004 của Thống đốc Ngân hàng Nhà nước, có hiệu lực kể từ ngày 01 tháng 6 năm 2014; Thông tư số </w:t>
      </w:r>
      <w:r w:rsidR="004503CD" w:rsidRPr="00683F48">
        <w:rPr>
          <w:i/>
        </w:rPr>
        <w:t>49/2014/TT-NHNN</w:t>
      </w:r>
      <w:r w:rsidR="004503CD" w:rsidRPr="004503CD">
        <w:rPr>
          <w:i/>
        </w:rPr>
        <w:t xml:space="preserve"> ngày 31 tháng 12 năm 2014 của Thống đốc Ngân hàng Nhà nước sửa đổi, bổ sung một số điều khoản của Chế độ báo cáo tài chính đối với các tổ chức tín dụng ban hành kèm theo Quyết định số 16/2007/QĐ- NHNN ngày 18/4/2007 và Hệ thống tài khoản kế toán các tổ chức tín dụng ban hành kèm theo Quyết định số </w:t>
      </w:r>
      <w:r w:rsidR="004503CD" w:rsidRPr="00683F48">
        <w:rPr>
          <w:i/>
        </w:rPr>
        <w:t>479/2004/QĐ-NHNN</w:t>
      </w:r>
      <w:r w:rsidR="004503CD" w:rsidRPr="004503CD">
        <w:rPr>
          <w:i/>
        </w:rPr>
        <w:t xml:space="preserve"> ngày 29/4/2004 của Thống đốc Ngân hàng Nhà nước, có hiệu lực kể từ ngày 15 tháng 02 năm 2015;  Thông tư số </w:t>
      </w:r>
      <w:r w:rsidR="004503CD" w:rsidRPr="00683F48">
        <w:rPr>
          <w:i/>
        </w:rPr>
        <w:t>22/2017/TT-NHNN</w:t>
      </w:r>
      <w:r w:rsidR="004503CD" w:rsidRPr="004503CD">
        <w:rPr>
          <w:i/>
        </w:rPr>
        <w:t xml:space="preserve"> ngày 29 tháng 12 năm 2017 của Thống đốc Ngân hàng Nhà nước Việt Nam sửa đổi, bổ sung một số điều của Hệ thống tài khoản kế toán các tổ chức tín dụng ban hành kèm theo Quyết định số </w:t>
      </w:r>
      <w:r w:rsidR="004503CD" w:rsidRPr="00683F48">
        <w:rPr>
          <w:i/>
        </w:rPr>
        <w:t>479/2004/QĐ-NHNN</w:t>
      </w:r>
      <w:r w:rsidR="004503CD" w:rsidRPr="004503CD">
        <w:rPr>
          <w:i/>
        </w:rPr>
        <w:t xml:space="preserve"> ngày 29/4/2004 và Chế độ báo cáo tài chính đối với các tổ chức tín dụng ban hành kèm theo Quyết định số </w:t>
      </w:r>
      <w:r w:rsidR="004503CD" w:rsidRPr="00683F48">
        <w:rPr>
          <w:i/>
        </w:rPr>
        <w:t>16/2007/QĐ-NHNN</w:t>
      </w:r>
      <w:r w:rsidR="004503CD" w:rsidRPr="004503CD">
        <w:rPr>
          <w:i/>
        </w:rPr>
        <w:t xml:space="preserve"> ngày 18/4/2007 của Thống đốc Ngân hàng Nhà nước, có hiệu lực kể từ ngày 01 tháng 4 năm 2018)</w:t>
      </w:r>
      <w:r w:rsidR="004503CD">
        <w:t>.</w:t>
      </w:r>
    </w:p>
    <w:p w:rsidR="00BC0EF6" w:rsidRDefault="00BC0EF6" w:rsidP="00BC0EF6">
      <w:pPr>
        <w:spacing w:before="120" w:line="320" w:lineRule="exact"/>
        <w:ind w:firstLine="720"/>
        <w:jc w:val="both"/>
        <w:rPr>
          <w:b/>
          <w:bCs/>
          <w:szCs w:val="28"/>
          <w:lang w:val="da-DK"/>
        </w:rPr>
      </w:pPr>
      <w:r>
        <w:rPr>
          <w:b/>
          <w:bCs/>
          <w:szCs w:val="28"/>
          <w:lang w:val="da-DK"/>
        </w:rPr>
        <w:t>Điều 3. Trách nhiệm tổ chức thực hiện</w:t>
      </w:r>
    </w:p>
    <w:p w:rsidR="00F31D60" w:rsidRDefault="00BC0EF6" w:rsidP="00BC0EF6">
      <w:pPr>
        <w:spacing w:before="120" w:line="320" w:lineRule="exact"/>
        <w:ind w:firstLine="720"/>
        <w:jc w:val="both"/>
      </w:pPr>
      <w:r>
        <w:rPr>
          <w:szCs w:val="28"/>
          <w:lang w:val="da-DK"/>
        </w:rPr>
        <w:t xml:space="preserve">Chánh Văn phòng, Vụ trưởng </w:t>
      </w:r>
      <w:r w:rsidR="00683F48">
        <w:rPr>
          <w:szCs w:val="28"/>
          <w:lang w:val="da-DK"/>
        </w:rPr>
        <w:t xml:space="preserve">Vụ </w:t>
      </w:r>
      <w:r w:rsidR="00DF5EE6">
        <w:rPr>
          <w:szCs w:val="28"/>
          <w:lang w:val="da-DK"/>
        </w:rPr>
        <w:t>Tài chính – Kế toán, Chánh Thanh tra Cơ quan Thanh tra Giám sát Ngân hàng,</w:t>
      </w:r>
      <w:r>
        <w:rPr>
          <w:szCs w:val="28"/>
          <w:lang w:val="da-DK"/>
        </w:rPr>
        <w:t xml:space="preserve"> và Thủ trưởng các đơn vị thuộc Ngân hàng </w:t>
      </w:r>
      <w:r>
        <w:rPr>
          <w:szCs w:val="28"/>
          <w:lang w:val="da-DK"/>
        </w:rPr>
        <w:lastRenderedPageBreak/>
        <w:t>Nhà nước Việt Nam, Chủ tịch Hội đồng thành viên, Tổng giám đốc tổ chức tín dụng nhà nước chịu trách nhiệm tổ chức thực hiện Thông tư này.</w:t>
      </w:r>
    </w:p>
    <w:p w:rsidR="00F31D60" w:rsidRPr="00F31D60" w:rsidRDefault="00F31D60" w:rsidP="00F31D60">
      <w:pPr>
        <w:spacing w:before="120" w:after="120" w:line="240" w:lineRule="auto"/>
        <w:ind w:firstLine="720"/>
        <w:jc w:val="both"/>
        <w:rPr>
          <w:b/>
        </w:rPr>
      </w:pPr>
      <w:r w:rsidRPr="00F31D60">
        <w:rPr>
          <w:b/>
        </w:rPr>
        <w:t xml:space="preserve">Điều </w:t>
      </w:r>
      <w:r w:rsidR="00BC0EF6">
        <w:rPr>
          <w:b/>
        </w:rPr>
        <w:t>4</w:t>
      </w:r>
      <w:r w:rsidRPr="00F31D60">
        <w:rPr>
          <w:b/>
        </w:rPr>
        <w:t xml:space="preserve">. </w:t>
      </w:r>
      <w:bookmarkStart w:id="7" w:name="dieu_14"/>
      <w:r w:rsidRPr="00F31D60">
        <w:rPr>
          <w:b/>
        </w:rPr>
        <w:t>Điều khoản thi hành</w:t>
      </w:r>
      <w:bookmarkEnd w:id="7"/>
    </w:p>
    <w:p w:rsidR="00F31D60" w:rsidRPr="00F31D60" w:rsidRDefault="00F31D60" w:rsidP="00F31D60">
      <w:pPr>
        <w:spacing w:before="120" w:after="120" w:line="240" w:lineRule="auto"/>
        <w:ind w:firstLine="720"/>
        <w:jc w:val="both"/>
      </w:pPr>
      <w:r w:rsidRPr="00F31D60">
        <w:t xml:space="preserve">1. Thông tư này có hiệu lực từ ngày </w:t>
      </w:r>
      <w:r>
        <w:t xml:space="preserve">….. </w:t>
      </w:r>
      <w:r w:rsidRPr="00F31D60">
        <w:t xml:space="preserve">tháng </w:t>
      </w:r>
      <w:r>
        <w:t>…..</w:t>
      </w:r>
      <w:r w:rsidRPr="00F31D60">
        <w:t>năm 2018.</w:t>
      </w:r>
    </w:p>
    <w:p w:rsidR="00F31D60" w:rsidRPr="00F31D60" w:rsidRDefault="00F31D60" w:rsidP="00F31D60">
      <w:pPr>
        <w:spacing w:before="120" w:after="120" w:line="240" w:lineRule="auto"/>
        <w:ind w:firstLine="720"/>
        <w:jc w:val="both"/>
      </w:pPr>
      <w:r>
        <w:t>2</w:t>
      </w:r>
      <w:r w:rsidRPr="00F31D60">
        <w:t xml:space="preserve">. Trong quá trình thực hiện nếu có vướng mắc, đề nghị cơ quan, doanh nghiệp kịp thời phản ánh về </w:t>
      </w:r>
      <w:r>
        <w:t>Ngân hàng Nhà nước Việt Nam</w:t>
      </w:r>
      <w:r w:rsidRPr="00F31D60">
        <w:t xml:space="preserve"> để nghiên cứu sửa đổi, bổ sung./.</w:t>
      </w:r>
    </w:p>
    <w:p w:rsidR="00F31D60" w:rsidRPr="00F31D60" w:rsidRDefault="00F31D60" w:rsidP="00F31D60">
      <w:pPr>
        <w:spacing w:before="120" w:after="120" w:line="240" w:lineRule="auto"/>
        <w:ind w:left="6480" w:firstLine="720"/>
        <w:jc w:val="both"/>
        <w:rPr>
          <w:b/>
          <w:sz w:val="24"/>
        </w:rPr>
      </w:pPr>
      <w:r w:rsidRPr="00F31D60">
        <w:rPr>
          <w:b/>
          <w:sz w:val="24"/>
        </w:rPr>
        <w:t>THỐNG ĐỐC</w:t>
      </w:r>
    </w:p>
    <w:p w:rsidR="00F31D60" w:rsidRPr="00C679E3" w:rsidRDefault="00F31D60" w:rsidP="00F31D60">
      <w:pPr>
        <w:spacing w:before="120" w:after="120" w:line="240" w:lineRule="auto"/>
        <w:rPr>
          <w:rFonts w:eastAsia="Times New Roman" w:cs="Times New Roman"/>
          <w:szCs w:val="28"/>
        </w:rPr>
      </w:pPr>
      <w:r w:rsidRPr="00F31D60">
        <w:rPr>
          <w:rFonts w:eastAsia="Times New Roman" w:cs="Times New Roman"/>
          <w:b/>
          <w:bCs/>
          <w:i/>
          <w:iCs/>
          <w:sz w:val="24"/>
          <w:szCs w:val="24"/>
        </w:rPr>
        <w:t>Nơi nhận:</w:t>
      </w:r>
      <w:r w:rsidRPr="00F31D60">
        <w:rPr>
          <w:rFonts w:eastAsia="Times New Roman" w:cs="Times New Roman"/>
          <w:b/>
          <w:bCs/>
          <w:i/>
          <w:iCs/>
          <w:sz w:val="24"/>
          <w:szCs w:val="24"/>
        </w:rPr>
        <w:br/>
      </w:r>
      <w:r w:rsidRPr="00F31D60">
        <w:rPr>
          <w:rFonts w:eastAsia="Times New Roman" w:cs="Times New Roman"/>
          <w:sz w:val="24"/>
          <w:szCs w:val="24"/>
        </w:rPr>
        <w:t xml:space="preserve">- </w:t>
      </w:r>
      <w:r w:rsidR="00BC0EF6">
        <w:rPr>
          <w:rFonts w:eastAsia="Times New Roman" w:cs="Times New Roman"/>
          <w:sz w:val="24"/>
          <w:szCs w:val="24"/>
        </w:rPr>
        <w:t>Như Điều 3;</w:t>
      </w:r>
      <w:r w:rsidR="00BC0EF6" w:rsidRPr="00F31D60">
        <w:rPr>
          <w:rFonts w:eastAsia="Times New Roman" w:cs="Times New Roman"/>
          <w:sz w:val="24"/>
          <w:szCs w:val="24"/>
        </w:rPr>
        <w:t xml:space="preserve"> </w:t>
      </w:r>
      <w:r w:rsidRPr="00F31D60">
        <w:rPr>
          <w:rFonts w:eastAsia="Times New Roman" w:cs="Times New Roman"/>
          <w:sz w:val="24"/>
          <w:szCs w:val="24"/>
        </w:rPr>
        <w:br/>
        <w:t>- Văn phòng Chính phủ;</w:t>
      </w:r>
      <w:r w:rsidRPr="00F31D60">
        <w:rPr>
          <w:rFonts w:eastAsia="Times New Roman" w:cs="Times New Roman"/>
          <w:sz w:val="24"/>
          <w:szCs w:val="24"/>
        </w:rPr>
        <w:br/>
        <w:t>- </w:t>
      </w:r>
      <w:r w:rsidR="00BC0EF6">
        <w:rPr>
          <w:rFonts w:eastAsia="Times New Roman" w:cs="Times New Roman"/>
          <w:sz w:val="24"/>
          <w:szCs w:val="24"/>
        </w:rPr>
        <w:t>Bộ Tài chính;</w:t>
      </w:r>
      <w:r w:rsidRPr="00F31D60">
        <w:rPr>
          <w:rFonts w:eastAsia="Times New Roman" w:cs="Times New Roman"/>
          <w:sz w:val="24"/>
          <w:szCs w:val="24"/>
        </w:rPr>
        <w:br/>
        <w:t>- Công báo;</w:t>
      </w:r>
      <w:r w:rsidRPr="00F31D60">
        <w:rPr>
          <w:rFonts w:eastAsia="Times New Roman" w:cs="Times New Roman"/>
          <w:sz w:val="24"/>
          <w:szCs w:val="24"/>
        </w:rPr>
        <w:br/>
        <w:t>- Cục Kiểm tra văn bản (Bộ Tư pháp);</w:t>
      </w:r>
      <w:r w:rsidRPr="00F31D60">
        <w:rPr>
          <w:rFonts w:eastAsia="Times New Roman" w:cs="Times New Roman"/>
          <w:sz w:val="24"/>
          <w:szCs w:val="24"/>
        </w:rPr>
        <w:br/>
        <w:t>- Website Chính phủ;</w:t>
      </w:r>
      <w:r w:rsidRPr="00F31D60">
        <w:rPr>
          <w:rFonts w:eastAsia="Times New Roman" w:cs="Times New Roman"/>
          <w:sz w:val="24"/>
          <w:szCs w:val="24"/>
        </w:rPr>
        <w:br/>
        <w:t xml:space="preserve">- Website </w:t>
      </w:r>
      <w:r>
        <w:rPr>
          <w:rFonts w:eastAsia="Times New Roman" w:cs="Times New Roman"/>
          <w:sz w:val="24"/>
          <w:szCs w:val="24"/>
        </w:rPr>
        <w:t>NHNN</w:t>
      </w:r>
      <w:r w:rsidRPr="00F31D60">
        <w:rPr>
          <w:rFonts w:eastAsia="Times New Roman" w:cs="Times New Roman"/>
          <w:sz w:val="24"/>
          <w:szCs w:val="24"/>
        </w:rPr>
        <w:t>;</w:t>
      </w:r>
      <w:r w:rsidRPr="00F31D60">
        <w:rPr>
          <w:rFonts w:eastAsia="Times New Roman" w:cs="Times New Roman"/>
          <w:sz w:val="24"/>
          <w:szCs w:val="24"/>
        </w:rPr>
        <w:br/>
        <w:t>- Lưu V</w:t>
      </w:r>
      <w:r w:rsidR="00BC0EF6">
        <w:rPr>
          <w:rFonts w:eastAsia="Times New Roman" w:cs="Times New Roman"/>
          <w:sz w:val="24"/>
          <w:szCs w:val="24"/>
        </w:rPr>
        <w:t>P</w:t>
      </w:r>
      <w:r w:rsidRPr="00F31D60">
        <w:rPr>
          <w:rFonts w:eastAsia="Times New Roman" w:cs="Times New Roman"/>
          <w:sz w:val="24"/>
          <w:szCs w:val="24"/>
        </w:rPr>
        <w:t xml:space="preserve">, </w:t>
      </w:r>
      <w:r w:rsidR="00BC0EF6">
        <w:rPr>
          <w:rFonts w:eastAsia="Times New Roman" w:cs="Times New Roman"/>
          <w:sz w:val="24"/>
          <w:szCs w:val="24"/>
        </w:rPr>
        <w:t>TCKT05.01 (5b)</w:t>
      </w:r>
      <w:r w:rsidRPr="00F31D60">
        <w:rPr>
          <w:rFonts w:eastAsia="Times New Roman" w:cs="Times New Roman"/>
          <w:sz w:val="24"/>
          <w:szCs w:val="24"/>
        </w:rPr>
        <w:t>.</w:t>
      </w:r>
    </w:p>
    <w:p w:rsidR="00DB5670" w:rsidRPr="00C679E3" w:rsidRDefault="00DB5670" w:rsidP="00C679E3">
      <w:pPr>
        <w:spacing w:before="120" w:after="120" w:line="240" w:lineRule="auto"/>
        <w:ind w:firstLine="720"/>
        <w:jc w:val="both"/>
        <w:rPr>
          <w:rFonts w:eastAsia="Times New Roman" w:cs="Times New Roman"/>
          <w:szCs w:val="28"/>
        </w:rPr>
      </w:pPr>
    </w:p>
    <w:sectPr w:rsidR="00DB5670" w:rsidRPr="00C679E3" w:rsidSect="00683F48">
      <w:footerReference w:type="default" r:id="rId9"/>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0B3" w:rsidRDefault="00C830B3" w:rsidP="00BC0EF6">
      <w:pPr>
        <w:spacing w:after="0" w:line="240" w:lineRule="auto"/>
      </w:pPr>
      <w:r>
        <w:separator/>
      </w:r>
    </w:p>
  </w:endnote>
  <w:endnote w:type="continuationSeparator" w:id="0">
    <w:p w:rsidR="00C830B3" w:rsidRDefault="00C830B3" w:rsidP="00BC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921817"/>
      <w:docPartObj>
        <w:docPartGallery w:val="Page Numbers (Bottom of Page)"/>
        <w:docPartUnique/>
      </w:docPartObj>
    </w:sdtPr>
    <w:sdtEndPr>
      <w:rPr>
        <w:noProof/>
      </w:rPr>
    </w:sdtEndPr>
    <w:sdtContent>
      <w:p w:rsidR="00BC0EF6" w:rsidRDefault="00BC0EF6">
        <w:pPr>
          <w:pStyle w:val="Footer"/>
          <w:jc w:val="center"/>
        </w:pPr>
        <w:r>
          <w:fldChar w:fldCharType="begin"/>
        </w:r>
        <w:r>
          <w:instrText xml:space="preserve"> PAGE   \* MERGEFORMAT </w:instrText>
        </w:r>
        <w:r>
          <w:fldChar w:fldCharType="separate"/>
        </w:r>
        <w:r w:rsidR="0046622C">
          <w:rPr>
            <w:noProof/>
          </w:rPr>
          <w:t>1</w:t>
        </w:r>
        <w:r>
          <w:rPr>
            <w:noProof/>
          </w:rPr>
          <w:fldChar w:fldCharType="end"/>
        </w:r>
      </w:p>
    </w:sdtContent>
  </w:sdt>
  <w:p w:rsidR="00BC0EF6" w:rsidRDefault="00BC0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0B3" w:rsidRDefault="00C830B3" w:rsidP="00BC0EF6">
      <w:pPr>
        <w:spacing w:after="0" w:line="240" w:lineRule="auto"/>
      </w:pPr>
      <w:r>
        <w:separator/>
      </w:r>
    </w:p>
  </w:footnote>
  <w:footnote w:type="continuationSeparator" w:id="0">
    <w:p w:rsidR="00C830B3" w:rsidRDefault="00C830B3" w:rsidP="00BC0E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7032"/>
    <w:multiLevelType w:val="hybridMultilevel"/>
    <w:tmpl w:val="DD98C9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336A71"/>
    <w:multiLevelType w:val="hybridMultilevel"/>
    <w:tmpl w:val="2A4AE5E2"/>
    <w:lvl w:ilvl="0" w:tplc="B808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925E8D"/>
    <w:multiLevelType w:val="hybridMultilevel"/>
    <w:tmpl w:val="46F0D6D0"/>
    <w:lvl w:ilvl="0" w:tplc="B808A6E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B575AAA"/>
    <w:multiLevelType w:val="hybridMultilevel"/>
    <w:tmpl w:val="E0549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70"/>
    <w:rsid w:val="0027540E"/>
    <w:rsid w:val="002C66B4"/>
    <w:rsid w:val="003024E8"/>
    <w:rsid w:val="00370ABF"/>
    <w:rsid w:val="003E7736"/>
    <w:rsid w:val="00410C23"/>
    <w:rsid w:val="004503CD"/>
    <w:rsid w:val="0046622C"/>
    <w:rsid w:val="0050353E"/>
    <w:rsid w:val="0061228D"/>
    <w:rsid w:val="006563BA"/>
    <w:rsid w:val="00683F48"/>
    <w:rsid w:val="00756B1B"/>
    <w:rsid w:val="0082656D"/>
    <w:rsid w:val="00962E9A"/>
    <w:rsid w:val="009F06EC"/>
    <w:rsid w:val="009F14A8"/>
    <w:rsid w:val="00AA6305"/>
    <w:rsid w:val="00AF45B0"/>
    <w:rsid w:val="00BC0EF6"/>
    <w:rsid w:val="00C679E3"/>
    <w:rsid w:val="00C830B3"/>
    <w:rsid w:val="00D86BE7"/>
    <w:rsid w:val="00DB5670"/>
    <w:rsid w:val="00DF5EE6"/>
    <w:rsid w:val="00F3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muc4">
    <w:name w:val="demuc4"/>
    <w:basedOn w:val="DefaultParagraphFont"/>
    <w:rsid w:val="00DB5670"/>
  </w:style>
  <w:style w:type="paragraph" w:styleId="NormalWeb">
    <w:name w:val="Normal (Web)"/>
    <w:basedOn w:val="Normal"/>
    <w:uiPriority w:val="99"/>
    <w:unhideWhenUsed/>
    <w:rsid w:val="00DB567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DB5670"/>
    <w:rPr>
      <w:color w:val="0000FF"/>
      <w:u w:val="single"/>
    </w:rPr>
  </w:style>
  <w:style w:type="paragraph" w:customStyle="1" w:styleId="vn3">
    <w:name w:val="vn_3"/>
    <w:basedOn w:val="Normal"/>
    <w:rsid w:val="00DB5670"/>
    <w:pPr>
      <w:spacing w:before="100" w:beforeAutospacing="1" w:after="100" w:afterAutospacing="1" w:line="240" w:lineRule="auto"/>
    </w:pPr>
    <w:rPr>
      <w:rFonts w:eastAsia="Times New Roman" w:cs="Times New Roman"/>
      <w:sz w:val="24"/>
      <w:szCs w:val="24"/>
    </w:rPr>
  </w:style>
  <w:style w:type="character" w:customStyle="1" w:styleId="vn4">
    <w:name w:val="vn_4"/>
    <w:basedOn w:val="DefaultParagraphFont"/>
    <w:rsid w:val="00DB5670"/>
  </w:style>
  <w:style w:type="paragraph" w:styleId="ListParagraph">
    <w:name w:val="List Paragraph"/>
    <w:basedOn w:val="Normal"/>
    <w:uiPriority w:val="34"/>
    <w:qFormat/>
    <w:rsid w:val="00C679E3"/>
    <w:pPr>
      <w:ind w:left="720"/>
      <w:contextualSpacing/>
    </w:pPr>
  </w:style>
  <w:style w:type="table" w:styleId="TableGrid">
    <w:name w:val="Table Grid"/>
    <w:basedOn w:val="TableNormal"/>
    <w:uiPriority w:val="59"/>
    <w:rsid w:val="0045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9">
    <w:name w:val="vn_9"/>
    <w:basedOn w:val="DefaultParagraphFont"/>
    <w:rsid w:val="00F31D60"/>
  </w:style>
  <w:style w:type="paragraph" w:styleId="Header">
    <w:name w:val="header"/>
    <w:basedOn w:val="Normal"/>
    <w:link w:val="HeaderChar"/>
    <w:uiPriority w:val="99"/>
    <w:unhideWhenUsed/>
    <w:rsid w:val="00BC0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EF6"/>
  </w:style>
  <w:style w:type="paragraph" w:styleId="Footer">
    <w:name w:val="footer"/>
    <w:basedOn w:val="Normal"/>
    <w:link w:val="FooterChar"/>
    <w:uiPriority w:val="99"/>
    <w:unhideWhenUsed/>
    <w:rsid w:val="00BC0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E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muc4">
    <w:name w:val="demuc4"/>
    <w:basedOn w:val="DefaultParagraphFont"/>
    <w:rsid w:val="00DB5670"/>
  </w:style>
  <w:style w:type="paragraph" w:styleId="NormalWeb">
    <w:name w:val="Normal (Web)"/>
    <w:basedOn w:val="Normal"/>
    <w:uiPriority w:val="99"/>
    <w:unhideWhenUsed/>
    <w:rsid w:val="00DB567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DB5670"/>
    <w:rPr>
      <w:color w:val="0000FF"/>
      <w:u w:val="single"/>
    </w:rPr>
  </w:style>
  <w:style w:type="paragraph" w:customStyle="1" w:styleId="vn3">
    <w:name w:val="vn_3"/>
    <w:basedOn w:val="Normal"/>
    <w:rsid w:val="00DB5670"/>
    <w:pPr>
      <w:spacing w:before="100" w:beforeAutospacing="1" w:after="100" w:afterAutospacing="1" w:line="240" w:lineRule="auto"/>
    </w:pPr>
    <w:rPr>
      <w:rFonts w:eastAsia="Times New Roman" w:cs="Times New Roman"/>
      <w:sz w:val="24"/>
      <w:szCs w:val="24"/>
    </w:rPr>
  </w:style>
  <w:style w:type="character" w:customStyle="1" w:styleId="vn4">
    <w:name w:val="vn_4"/>
    <w:basedOn w:val="DefaultParagraphFont"/>
    <w:rsid w:val="00DB5670"/>
  </w:style>
  <w:style w:type="paragraph" w:styleId="ListParagraph">
    <w:name w:val="List Paragraph"/>
    <w:basedOn w:val="Normal"/>
    <w:uiPriority w:val="34"/>
    <w:qFormat/>
    <w:rsid w:val="00C679E3"/>
    <w:pPr>
      <w:ind w:left="720"/>
      <w:contextualSpacing/>
    </w:pPr>
  </w:style>
  <w:style w:type="table" w:styleId="TableGrid">
    <w:name w:val="Table Grid"/>
    <w:basedOn w:val="TableNormal"/>
    <w:uiPriority w:val="59"/>
    <w:rsid w:val="0045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9">
    <w:name w:val="vn_9"/>
    <w:basedOn w:val="DefaultParagraphFont"/>
    <w:rsid w:val="00F31D60"/>
  </w:style>
  <w:style w:type="paragraph" w:styleId="Header">
    <w:name w:val="header"/>
    <w:basedOn w:val="Normal"/>
    <w:link w:val="HeaderChar"/>
    <w:uiPriority w:val="99"/>
    <w:unhideWhenUsed/>
    <w:rsid w:val="00BC0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EF6"/>
  </w:style>
  <w:style w:type="paragraph" w:styleId="Footer">
    <w:name w:val="footer"/>
    <w:basedOn w:val="Normal"/>
    <w:link w:val="FooterChar"/>
    <w:uiPriority w:val="99"/>
    <w:unhideWhenUsed/>
    <w:rsid w:val="00BC0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3318">
      <w:bodyDiv w:val="1"/>
      <w:marLeft w:val="0"/>
      <w:marRight w:val="0"/>
      <w:marTop w:val="0"/>
      <w:marBottom w:val="0"/>
      <w:divBdr>
        <w:top w:val="none" w:sz="0" w:space="0" w:color="auto"/>
        <w:left w:val="none" w:sz="0" w:space="0" w:color="auto"/>
        <w:bottom w:val="none" w:sz="0" w:space="0" w:color="auto"/>
        <w:right w:val="none" w:sz="0" w:space="0" w:color="auto"/>
      </w:divBdr>
      <w:divsChild>
        <w:div w:id="1928340020">
          <w:marLeft w:val="0"/>
          <w:marRight w:val="0"/>
          <w:marTop w:val="0"/>
          <w:marBottom w:val="120"/>
          <w:divBdr>
            <w:top w:val="none" w:sz="0" w:space="0" w:color="auto"/>
            <w:left w:val="none" w:sz="0" w:space="0" w:color="auto"/>
            <w:bottom w:val="none" w:sz="0" w:space="0" w:color="auto"/>
            <w:right w:val="none" w:sz="0" w:space="0" w:color="auto"/>
          </w:divBdr>
        </w:div>
        <w:div w:id="725110087">
          <w:marLeft w:val="0"/>
          <w:marRight w:val="0"/>
          <w:marTop w:val="0"/>
          <w:marBottom w:val="120"/>
          <w:divBdr>
            <w:top w:val="none" w:sz="0" w:space="0" w:color="auto"/>
            <w:left w:val="none" w:sz="0" w:space="0" w:color="auto"/>
            <w:bottom w:val="none" w:sz="0" w:space="0" w:color="auto"/>
            <w:right w:val="none" w:sz="0" w:space="0" w:color="auto"/>
          </w:divBdr>
        </w:div>
        <w:div w:id="1199926475">
          <w:marLeft w:val="0"/>
          <w:marRight w:val="0"/>
          <w:marTop w:val="0"/>
          <w:marBottom w:val="120"/>
          <w:divBdr>
            <w:top w:val="none" w:sz="0" w:space="0" w:color="auto"/>
            <w:left w:val="none" w:sz="0" w:space="0" w:color="auto"/>
            <w:bottom w:val="none" w:sz="0" w:space="0" w:color="auto"/>
            <w:right w:val="none" w:sz="0" w:space="0" w:color="auto"/>
          </w:divBdr>
        </w:div>
        <w:div w:id="1342469180">
          <w:marLeft w:val="0"/>
          <w:marRight w:val="0"/>
          <w:marTop w:val="0"/>
          <w:marBottom w:val="120"/>
          <w:divBdr>
            <w:top w:val="none" w:sz="0" w:space="0" w:color="auto"/>
            <w:left w:val="none" w:sz="0" w:space="0" w:color="auto"/>
            <w:bottom w:val="none" w:sz="0" w:space="0" w:color="auto"/>
            <w:right w:val="none" w:sz="0" w:space="0" w:color="auto"/>
          </w:divBdr>
        </w:div>
        <w:div w:id="1469738827">
          <w:marLeft w:val="0"/>
          <w:marRight w:val="0"/>
          <w:marTop w:val="0"/>
          <w:marBottom w:val="120"/>
          <w:divBdr>
            <w:top w:val="none" w:sz="0" w:space="0" w:color="auto"/>
            <w:left w:val="none" w:sz="0" w:space="0" w:color="auto"/>
            <w:bottom w:val="none" w:sz="0" w:space="0" w:color="auto"/>
            <w:right w:val="none" w:sz="0" w:space="0" w:color="auto"/>
          </w:divBdr>
        </w:div>
        <w:div w:id="1188786294">
          <w:marLeft w:val="0"/>
          <w:marRight w:val="0"/>
          <w:marTop w:val="0"/>
          <w:marBottom w:val="120"/>
          <w:divBdr>
            <w:top w:val="none" w:sz="0" w:space="0" w:color="auto"/>
            <w:left w:val="none" w:sz="0" w:space="0" w:color="auto"/>
            <w:bottom w:val="none" w:sz="0" w:space="0" w:color="auto"/>
            <w:right w:val="none" w:sz="0" w:space="0" w:color="auto"/>
          </w:divBdr>
        </w:div>
        <w:div w:id="128592492">
          <w:marLeft w:val="0"/>
          <w:marRight w:val="0"/>
          <w:marTop w:val="0"/>
          <w:marBottom w:val="0"/>
          <w:divBdr>
            <w:top w:val="none" w:sz="0" w:space="0" w:color="auto"/>
            <w:left w:val="none" w:sz="0" w:space="0" w:color="auto"/>
            <w:bottom w:val="none" w:sz="0" w:space="0" w:color="auto"/>
            <w:right w:val="none" w:sz="0" w:space="0" w:color="auto"/>
          </w:divBdr>
        </w:div>
        <w:div w:id="2021151756">
          <w:marLeft w:val="0"/>
          <w:marRight w:val="0"/>
          <w:marTop w:val="0"/>
          <w:marBottom w:val="0"/>
          <w:divBdr>
            <w:top w:val="none" w:sz="0" w:space="0" w:color="auto"/>
            <w:left w:val="none" w:sz="0" w:space="0" w:color="auto"/>
            <w:bottom w:val="none" w:sz="0" w:space="0" w:color="auto"/>
            <w:right w:val="none" w:sz="0" w:space="0" w:color="auto"/>
          </w:divBdr>
        </w:div>
        <w:div w:id="2142645309">
          <w:marLeft w:val="0"/>
          <w:marRight w:val="0"/>
          <w:marTop w:val="0"/>
          <w:marBottom w:val="0"/>
          <w:divBdr>
            <w:top w:val="none" w:sz="0" w:space="0" w:color="auto"/>
            <w:left w:val="none" w:sz="0" w:space="0" w:color="auto"/>
            <w:bottom w:val="none" w:sz="0" w:space="0" w:color="auto"/>
            <w:right w:val="none" w:sz="0" w:space="0" w:color="auto"/>
          </w:divBdr>
        </w:div>
        <w:div w:id="1033503481">
          <w:marLeft w:val="0"/>
          <w:marRight w:val="0"/>
          <w:marTop w:val="0"/>
          <w:marBottom w:val="0"/>
          <w:divBdr>
            <w:top w:val="none" w:sz="0" w:space="0" w:color="auto"/>
            <w:left w:val="none" w:sz="0" w:space="0" w:color="auto"/>
            <w:bottom w:val="none" w:sz="0" w:space="0" w:color="auto"/>
            <w:right w:val="none" w:sz="0" w:space="0" w:color="auto"/>
          </w:divBdr>
        </w:div>
        <w:div w:id="1305890310">
          <w:marLeft w:val="0"/>
          <w:marRight w:val="0"/>
          <w:marTop w:val="0"/>
          <w:marBottom w:val="120"/>
          <w:divBdr>
            <w:top w:val="none" w:sz="0" w:space="0" w:color="auto"/>
            <w:left w:val="none" w:sz="0" w:space="0" w:color="auto"/>
            <w:bottom w:val="none" w:sz="0" w:space="0" w:color="auto"/>
            <w:right w:val="none" w:sz="0" w:space="0" w:color="auto"/>
          </w:divBdr>
        </w:div>
        <w:div w:id="1549804216">
          <w:marLeft w:val="0"/>
          <w:marRight w:val="0"/>
          <w:marTop w:val="0"/>
          <w:marBottom w:val="120"/>
          <w:divBdr>
            <w:top w:val="none" w:sz="0" w:space="0" w:color="auto"/>
            <w:left w:val="none" w:sz="0" w:space="0" w:color="auto"/>
            <w:bottom w:val="none" w:sz="0" w:space="0" w:color="auto"/>
            <w:right w:val="none" w:sz="0" w:space="0" w:color="auto"/>
          </w:divBdr>
        </w:div>
        <w:div w:id="243034717">
          <w:marLeft w:val="0"/>
          <w:marRight w:val="0"/>
          <w:marTop w:val="0"/>
          <w:marBottom w:val="120"/>
          <w:divBdr>
            <w:top w:val="none" w:sz="0" w:space="0" w:color="auto"/>
            <w:left w:val="none" w:sz="0" w:space="0" w:color="auto"/>
            <w:bottom w:val="none" w:sz="0" w:space="0" w:color="auto"/>
            <w:right w:val="none" w:sz="0" w:space="0" w:color="auto"/>
          </w:divBdr>
        </w:div>
        <w:div w:id="361517560">
          <w:marLeft w:val="0"/>
          <w:marRight w:val="0"/>
          <w:marTop w:val="0"/>
          <w:marBottom w:val="120"/>
          <w:divBdr>
            <w:top w:val="none" w:sz="0" w:space="0" w:color="auto"/>
            <w:left w:val="none" w:sz="0" w:space="0" w:color="auto"/>
            <w:bottom w:val="none" w:sz="0" w:space="0" w:color="auto"/>
            <w:right w:val="none" w:sz="0" w:space="0" w:color="auto"/>
          </w:divBdr>
        </w:div>
        <w:div w:id="954480972">
          <w:marLeft w:val="0"/>
          <w:marRight w:val="0"/>
          <w:marTop w:val="0"/>
          <w:marBottom w:val="0"/>
          <w:divBdr>
            <w:top w:val="none" w:sz="0" w:space="0" w:color="auto"/>
            <w:left w:val="none" w:sz="0" w:space="0" w:color="auto"/>
            <w:bottom w:val="none" w:sz="0" w:space="0" w:color="auto"/>
            <w:right w:val="none" w:sz="0" w:space="0" w:color="auto"/>
          </w:divBdr>
        </w:div>
        <w:div w:id="921643441">
          <w:marLeft w:val="0"/>
          <w:marRight w:val="0"/>
          <w:marTop w:val="0"/>
          <w:marBottom w:val="0"/>
          <w:divBdr>
            <w:top w:val="none" w:sz="0" w:space="0" w:color="auto"/>
            <w:left w:val="none" w:sz="0" w:space="0" w:color="auto"/>
            <w:bottom w:val="none" w:sz="0" w:space="0" w:color="auto"/>
            <w:right w:val="none" w:sz="0" w:space="0" w:color="auto"/>
          </w:divBdr>
        </w:div>
        <w:div w:id="1290933583">
          <w:marLeft w:val="0"/>
          <w:marRight w:val="0"/>
          <w:marTop w:val="0"/>
          <w:marBottom w:val="120"/>
          <w:divBdr>
            <w:top w:val="none" w:sz="0" w:space="0" w:color="auto"/>
            <w:left w:val="none" w:sz="0" w:space="0" w:color="auto"/>
            <w:bottom w:val="none" w:sz="0" w:space="0" w:color="auto"/>
            <w:right w:val="none" w:sz="0" w:space="0" w:color="auto"/>
          </w:divBdr>
        </w:div>
      </w:divsChild>
    </w:div>
    <w:div w:id="1210992384">
      <w:bodyDiv w:val="1"/>
      <w:marLeft w:val="0"/>
      <w:marRight w:val="0"/>
      <w:marTop w:val="0"/>
      <w:marBottom w:val="0"/>
      <w:divBdr>
        <w:top w:val="none" w:sz="0" w:space="0" w:color="auto"/>
        <w:left w:val="none" w:sz="0" w:space="0" w:color="auto"/>
        <w:bottom w:val="none" w:sz="0" w:space="0" w:color="auto"/>
        <w:right w:val="none" w:sz="0" w:space="0" w:color="auto"/>
      </w:divBdr>
    </w:div>
    <w:div w:id="1392265159">
      <w:bodyDiv w:val="1"/>
      <w:marLeft w:val="0"/>
      <w:marRight w:val="0"/>
      <w:marTop w:val="0"/>
      <w:marBottom w:val="0"/>
      <w:divBdr>
        <w:top w:val="none" w:sz="0" w:space="0" w:color="auto"/>
        <w:left w:val="none" w:sz="0" w:space="0" w:color="auto"/>
        <w:bottom w:val="none" w:sz="0" w:space="0" w:color="auto"/>
        <w:right w:val="none" w:sz="0" w:space="0" w:color="auto"/>
      </w:divBdr>
    </w:div>
    <w:div w:id="1526942321">
      <w:bodyDiv w:val="1"/>
      <w:marLeft w:val="0"/>
      <w:marRight w:val="0"/>
      <w:marTop w:val="0"/>
      <w:marBottom w:val="0"/>
      <w:divBdr>
        <w:top w:val="none" w:sz="0" w:space="0" w:color="auto"/>
        <w:left w:val="none" w:sz="0" w:space="0" w:color="auto"/>
        <w:bottom w:val="none" w:sz="0" w:space="0" w:color="auto"/>
        <w:right w:val="none" w:sz="0" w:space="0" w:color="auto"/>
      </w:divBdr>
    </w:div>
    <w:div w:id="17352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EF37-EB43-4F07-8C79-A22B30BD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Le Anh</dc:creator>
  <cp:lastModifiedBy>Hewlett-Packard Company</cp:lastModifiedBy>
  <cp:revision>2</cp:revision>
  <cp:lastPrinted>2018-08-23T02:52:00Z</cp:lastPrinted>
  <dcterms:created xsi:type="dcterms:W3CDTF">2018-10-15T03:19:00Z</dcterms:created>
  <dcterms:modified xsi:type="dcterms:W3CDTF">2018-10-15T03:19:00Z</dcterms:modified>
</cp:coreProperties>
</file>