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90" w:rsidRPr="00E22C7F" w:rsidRDefault="00C51F5F" w:rsidP="00C51F5F">
      <w:pPr>
        <w:jc w:val="center"/>
        <w:rPr>
          <w:rFonts w:ascii="Times New Roman" w:hAnsi="Times New Roman" w:cs="Times New Roman"/>
          <w:b/>
          <w:sz w:val="28"/>
          <w:szCs w:val="28"/>
        </w:rPr>
      </w:pPr>
      <w:bookmarkStart w:id="0" w:name="_GoBack"/>
      <w:bookmarkEnd w:id="0"/>
      <w:r w:rsidRPr="00E22C7F">
        <w:rPr>
          <w:rFonts w:ascii="Times New Roman" w:hAnsi="Times New Roman" w:cs="Times New Roman"/>
          <w:b/>
          <w:sz w:val="28"/>
          <w:szCs w:val="28"/>
        </w:rPr>
        <w:t>THUYẾT MINH</w:t>
      </w:r>
      <w:r w:rsidR="00794C2F">
        <w:rPr>
          <w:rFonts w:ascii="Times New Roman" w:hAnsi="Times New Roman" w:cs="Times New Roman"/>
          <w:b/>
          <w:sz w:val="28"/>
          <w:szCs w:val="28"/>
        </w:rPr>
        <w:t xml:space="preserve"> MỘT SỐ</w:t>
      </w:r>
      <w:r w:rsidRPr="00E22C7F">
        <w:rPr>
          <w:rFonts w:ascii="Times New Roman" w:hAnsi="Times New Roman" w:cs="Times New Roman"/>
          <w:b/>
          <w:sz w:val="28"/>
          <w:szCs w:val="28"/>
        </w:rPr>
        <w:t xml:space="preserve"> NỘI DUNG SỬA ĐỔI, BỔ SUNG THÔNG TƯ 35/2015/TT-NHNN</w:t>
      </w:r>
    </w:p>
    <w:tbl>
      <w:tblPr>
        <w:tblStyle w:val="TableGrid"/>
        <w:tblW w:w="14879" w:type="dxa"/>
        <w:tblLook w:val="04A0" w:firstRow="1" w:lastRow="0" w:firstColumn="1" w:lastColumn="0" w:noHBand="0" w:noVBand="1"/>
      </w:tblPr>
      <w:tblGrid>
        <w:gridCol w:w="708"/>
        <w:gridCol w:w="1133"/>
        <w:gridCol w:w="2857"/>
        <w:gridCol w:w="3870"/>
        <w:gridCol w:w="6311"/>
      </w:tblGrid>
      <w:tr w:rsidR="00080FBF" w:rsidRPr="00C51F5F" w:rsidTr="00903AD1">
        <w:trPr>
          <w:trHeight w:val="467"/>
          <w:tblHeader/>
        </w:trPr>
        <w:tc>
          <w:tcPr>
            <w:tcW w:w="708" w:type="dxa"/>
            <w:vAlign w:val="center"/>
          </w:tcPr>
          <w:p w:rsidR="00080FBF" w:rsidRPr="00E22C7F" w:rsidRDefault="00080FBF" w:rsidP="00DA0A94">
            <w:pPr>
              <w:jc w:val="center"/>
              <w:rPr>
                <w:rFonts w:ascii="Times New Roman" w:hAnsi="Times New Roman" w:cs="Times New Roman"/>
                <w:b/>
                <w:sz w:val="26"/>
                <w:szCs w:val="26"/>
              </w:rPr>
            </w:pPr>
            <w:r w:rsidRPr="00E22C7F">
              <w:rPr>
                <w:rFonts w:ascii="Times New Roman" w:hAnsi="Times New Roman" w:cs="Times New Roman"/>
                <w:b/>
                <w:sz w:val="26"/>
                <w:szCs w:val="26"/>
              </w:rPr>
              <w:t>STT</w:t>
            </w:r>
          </w:p>
        </w:tc>
        <w:tc>
          <w:tcPr>
            <w:tcW w:w="1133" w:type="dxa"/>
            <w:vAlign w:val="center"/>
          </w:tcPr>
          <w:p w:rsidR="00080FBF" w:rsidRPr="00E22C7F" w:rsidRDefault="00080FBF" w:rsidP="00DA0A94">
            <w:pPr>
              <w:jc w:val="center"/>
              <w:rPr>
                <w:rFonts w:ascii="Times New Roman" w:hAnsi="Times New Roman" w:cs="Times New Roman"/>
                <w:b/>
                <w:sz w:val="26"/>
                <w:szCs w:val="26"/>
              </w:rPr>
            </w:pPr>
          </w:p>
        </w:tc>
        <w:tc>
          <w:tcPr>
            <w:tcW w:w="2857" w:type="dxa"/>
            <w:vAlign w:val="center"/>
          </w:tcPr>
          <w:p w:rsidR="00080FBF" w:rsidRPr="00E22C7F" w:rsidRDefault="00080FBF" w:rsidP="00DA0A94">
            <w:pPr>
              <w:jc w:val="center"/>
              <w:rPr>
                <w:rFonts w:ascii="Times New Roman" w:hAnsi="Times New Roman" w:cs="Times New Roman"/>
                <w:b/>
                <w:sz w:val="26"/>
                <w:szCs w:val="26"/>
              </w:rPr>
            </w:pPr>
            <w:r w:rsidRPr="00E22C7F">
              <w:rPr>
                <w:rFonts w:ascii="Times New Roman" w:hAnsi="Times New Roman" w:cs="Times New Roman"/>
                <w:b/>
                <w:sz w:val="26"/>
                <w:szCs w:val="26"/>
              </w:rPr>
              <w:t>QUY ĐỊNH TẠI TT35</w:t>
            </w:r>
          </w:p>
        </w:tc>
        <w:tc>
          <w:tcPr>
            <w:tcW w:w="3870" w:type="dxa"/>
            <w:vAlign w:val="center"/>
          </w:tcPr>
          <w:p w:rsidR="00080FBF" w:rsidRPr="00E22C7F" w:rsidRDefault="00080FBF" w:rsidP="00DA0A94">
            <w:pPr>
              <w:jc w:val="center"/>
              <w:rPr>
                <w:rFonts w:ascii="Times New Roman" w:hAnsi="Times New Roman" w:cs="Times New Roman"/>
                <w:b/>
                <w:sz w:val="26"/>
                <w:szCs w:val="26"/>
              </w:rPr>
            </w:pPr>
            <w:r w:rsidRPr="00E22C7F">
              <w:rPr>
                <w:rFonts w:ascii="Times New Roman" w:hAnsi="Times New Roman" w:cs="Times New Roman"/>
                <w:b/>
                <w:sz w:val="26"/>
                <w:szCs w:val="26"/>
              </w:rPr>
              <w:t>DỰ THẢO THÔNG TƯ</w:t>
            </w:r>
          </w:p>
        </w:tc>
        <w:tc>
          <w:tcPr>
            <w:tcW w:w="6311" w:type="dxa"/>
            <w:vAlign w:val="center"/>
          </w:tcPr>
          <w:p w:rsidR="00080FBF" w:rsidRPr="00E22C7F" w:rsidRDefault="00080FBF" w:rsidP="00DA0A94">
            <w:pPr>
              <w:jc w:val="center"/>
              <w:rPr>
                <w:rFonts w:ascii="Times New Roman" w:hAnsi="Times New Roman" w:cs="Times New Roman"/>
                <w:b/>
                <w:sz w:val="26"/>
                <w:szCs w:val="26"/>
              </w:rPr>
            </w:pPr>
            <w:r w:rsidRPr="00E22C7F">
              <w:rPr>
                <w:rFonts w:ascii="Times New Roman" w:hAnsi="Times New Roman" w:cs="Times New Roman"/>
                <w:b/>
                <w:sz w:val="26"/>
                <w:szCs w:val="26"/>
              </w:rPr>
              <w:t>LÝ DO</w:t>
            </w:r>
          </w:p>
        </w:tc>
      </w:tr>
      <w:tr w:rsidR="00362526" w:rsidRPr="00C51F5F" w:rsidTr="000353CA">
        <w:trPr>
          <w:trHeight w:val="1859"/>
        </w:trPr>
        <w:tc>
          <w:tcPr>
            <w:tcW w:w="708" w:type="dxa"/>
          </w:tcPr>
          <w:p w:rsidR="00362526" w:rsidRPr="00BF2B27" w:rsidRDefault="00362526" w:rsidP="00C51F5F">
            <w:pPr>
              <w:jc w:val="center"/>
              <w:rPr>
                <w:rFonts w:ascii="Times New Roman" w:hAnsi="Times New Roman" w:cs="Times New Roman"/>
                <w:sz w:val="26"/>
                <w:szCs w:val="26"/>
              </w:rPr>
            </w:pPr>
            <w:r w:rsidRPr="00BF2B27">
              <w:rPr>
                <w:rFonts w:ascii="Times New Roman" w:hAnsi="Times New Roman" w:cs="Times New Roman"/>
                <w:sz w:val="26"/>
                <w:szCs w:val="26"/>
              </w:rPr>
              <w:t>1</w:t>
            </w:r>
          </w:p>
        </w:tc>
        <w:tc>
          <w:tcPr>
            <w:tcW w:w="1133" w:type="dxa"/>
          </w:tcPr>
          <w:p w:rsidR="00362526" w:rsidRPr="00E22C7F" w:rsidRDefault="00362526" w:rsidP="00C51F5F">
            <w:pPr>
              <w:jc w:val="center"/>
              <w:rPr>
                <w:rFonts w:ascii="Times New Roman" w:hAnsi="Times New Roman"/>
                <w:sz w:val="26"/>
                <w:szCs w:val="26"/>
              </w:rPr>
            </w:pPr>
            <w:r w:rsidRPr="00E22C7F">
              <w:rPr>
                <w:rFonts w:ascii="Times New Roman" w:hAnsi="Times New Roman"/>
                <w:sz w:val="26"/>
                <w:szCs w:val="26"/>
              </w:rPr>
              <w:t>Điều 12 Khoản 2 tiết d</w:t>
            </w:r>
          </w:p>
        </w:tc>
        <w:tc>
          <w:tcPr>
            <w:tcW w:w="2857" w:type="dxa"/>
          </w:tcPr>
          <w:p w:rsidR="00362526" w:rsidRPr="00E22C7F" w:rsidRDefault="00362526" w:rsidP="00BF2B27">
            <w:pPr>
              <w:jc w:val="both"/>
              <w:rPr>
                <w:rFonts w:ascii="Times New Roman" w:hAnsi="Times New Roman" w:cs="Times New Roman"/>
                <w:sz w:val="26"/>
                <w:szCs w:val="26"/>
              </w:rPr>
            </w:pPr>
            <w:r w:rsidRPr="00E22C7F">
              <w:rPr>
                <w:rFonts w:ascii="Times New Roman" w:hAnsi="Times New Roman"/>
                <w:sz w:val="26"/>
                <w:szCs w:val="26"/>
              </w:rPr>
              <w:t>d) Trường hợp thời hạn tra soát, kiểm duyệt khác với quy định nêu trên thì các đơn vị thực hiện theo quy định cụ thể trên mẫu biểu báo cáo tại Phần 3 Phụ lục 1 đính kèm Thông tư này</w:t>
            </w:r>
          </w:p>
        </w:tc>
        <w:tc>
          <w:tcPr>
            <w:tcW w:w="3870" w:type="dxa"/>
          </w:tcPr>
          <w:p w:rsidR="00362526" w:rsidRPr="00E22C7F" w:rsidRDefault="00362526" w:rsidP="00CD7727">
            <w:pPr>
              <w:ind w:firstLine="32"/>
              <w:jc w:val="both"/>
              <w:rPr>
                <w:rFonts w:ascii="Times New Roman" w:hAnsi="Times New Roman" w:cs="Times New Roman"/>
                <w:i/>
                <w:sz w:val="26"/>
                <w:szCs w:val="26"/>
              </w:rPr>
            </w:pPr>
            <w:r w:rsidRPr="00E22C7F">
              <w:rPr>
                <w:rFonts w:ascii="Times New Roman" w:hAnsi="Times New Roman" w:cs="Times New Roman"/>
                <w:sz w:val="26"/>
                <w:szCs w:val="26"/>
              </w:rPr>
              <w:t>Hủy bỏ</w:t>
            </w:r>
          </w:p>
          <w:p w:rsidR="00362526" w:rsidRPr="00E22C7F" w:rsidRDefault="00362526" w:rsidP="00C51F5F">
            <w:pPr>
              <w:jc w:val="center"/>
              <w:rPr>
                <w:rFonts w:ascii="Times New Roman" w:hAnsi="Times New Roman" w:cs="Times New Roman"/>
                <w:sz w:val="26"/>
                <w:szCs w:val="26"/>
              </w:rPr>
            </w:pPr>
          </w:p>
        </w:tc>
        <w:tc>
          <w:tcPr>
            <w:tcW w:w="6311" w:type="dxa"/>
            <w:vMerge w:val="restart"/>
          </w:tcPr>
          <w:p w:rsidR="00362526" w:rsidRPr="00E22C7F" w:rsidRDefault="00362526" w:rsidP="00BF2B27">
            <w:pPr>
              <w:jc w:val="both"/>
              <w:rPr>
                <w:rFonts w:ascii="Times New Roman" w:hAnsi="Times New Roman" w:cs="Times New Roman"/>
                <w:sz w:val="26"/>
                <w:szCs w:val="26"/>
              </w:rPr>
            </w:pPr>
            <w:r w:rsidRPr="00E22C7F">
              <w:rPr>
                <w:rFonts w:ascii="Times New Roman" w:hAnsi="Times New Roman" w:cs="Times New Roman"/>
                <w:sz w:val="26"/>
                <w:szCs w:val="26"/>
              </w:rPr>
              <w:t xml:space="preserve">Do tại các mẫu biểu áp dụng với QTDND bổ sung vào Thông tư 35/2015/TT-NHNN có quy định thời gian kiểm duyệt cụ thể của các NHNN chi nhánh tỉnh, thành phố khác với thời gian tra soát, kiểm duyệt chung quy định tại Điều 12. Quy trình tra soát, xử lý, kiểm duyệt đối với mẫu biểu báo cáo điện tử. Do đó, để đảm bảo tính đầy đủ, kịp thời của báo cáo, dự thảo bổ sung quy định </w:t>
            </w:r>
            <w:r w:rsidRPr="00E22C7F">
              <w:rPr>
                <w:rFonts w:ascii="Times New Roman" w:hAnsi="Times New Roman" w:cs="Times New Roman"/>
                <w:sz w:val="26"/>
                <w:szCs w:val="26"/>
                <w:lang w:val="vi-VN"/>
              </w:rPr>
              <w:t>Trường hợp thời hạn tra soát,</w:t>
            </w:r>
            <w:r w:rsidRPr="00E22C7F">
              <w:rPr>
                <w:rFonts w:ascii="Times New Roman" w:hAnsi="Times New Roman" w:cs="Times New Roman"/>
                <w:sz w:val="26"/>
                <w:szCs w:val="26"/>
              </w:rPr>
              <w:t xml:space="preserve"> xử lý,</w:t>
            </w:r>
            <w:r w:rsidRPr="00E22C7F">
              <w:rPr>
                <w:rFonts w:ascii="Times New Roman" w:hAnsi="Times New Roman" w:cs="Times New Roman"/>
                <w:sz w:val="26"/>
                <w:szCs w:val="26"/>
                <w:lang w:val="vi-VN"/>
              </w:rPr>
              <w:t xml:space="preserve"> kiểm duyệt khác với quy định nêu trên thì các đơn vị thực hiện theo quy định cụ thể trên mẫu biểu báo cáo tại Phần 3 Phụ lục 1 đính kèm Thông tư này</w:t>
            </w:r>
            <w:r w:rsidRPr="00E22C7F">
              <w:rPr>
                <w:rFonts w:ascii="Times New Roman" w:hAnsi="Times New Roman" w:cs="Times New Roman"/>
                <w:sz w:val="26"/>
                <w:szCs w:val="26"/>
              </w:rPr>
              <w:t>.</w:t>
            </w:r>
          </w:p>
        </w:tc>
      </w:tr>
      <w:tr w:rsidR="00362526" w:rsidRPr="00C51F5F" w:rsidTr="00903AD1">
        <w:trPr>
          <w:trHeight w:val="2693"/>
        </w:trPr>
        <w:tc>
          <w:tcPr>
            <w:tcW w:w="708" w:type="dxa"/>
          </w:tcPr>
          <w:p w:rsidR="00362526" w:rsidRPr="00BF2B27" w:rsidRDefault="00362526" w:rsidP="00C51F5F">
            <w:pPr>
              <w:jc w:val="center"/>
              <w:rPr>
                <w:rFonts w:ascii="Times New Roman" w:hAnsi="Times New Roman" w:cs="Times New Roman"/>
                <w:sz w:val="26"/>
                <w:szCs w:val="26"/>
              </w:rPr>
            </w:pPr>
            <w:r>
              <w:rPr>
                <w:rFonts w:ascii="Times New Roman" w:hAnsi="Times New Roman" w:cs="Times New Roman"/>
                <w:sz w:val="26"/>
                <w:szCs w:val="26"/>
              </w:rPr>
              <w:t>2</w:t>
            </w:r>
          </w:p>
        </w:tc>
        <w:tc>
          <w:tcPr>
            <w:tcW w:w="1133" w:type="dxa"/>
          </w:tcPr>
          <w:p w:rsidR="00362526" w:rsidRPr="00E22C7F" w:rsidRDefault="00362526" w:rsidP="00C51F5F">
            <w:pPr>
              <w:jc w:val="center"/>
              <w:rPr>
                <w:rFonts w:ascii="Times New Roman" w:hAnsi="Times New Roman"/>
                <w:sz w:val="26"/>
                <w:szCs w:val="26"/>
              </w:rPr>
            </w:pPr>
            <w:r w:rsidRPr="00E22C7F">
              <w:rPr>
                <w:rFonts w:ascii="Times New Roman" w:hAnsi="Times New Roman"/>
                <w:sz w:val="26"/>
                <w:szCs w:val="26"/>
              </w:rPr>
              <w:t>Điều 12 Khoản 4</w:t>
            </w:r>
          </w:p>
        </w:tc>
        <w:tc>
          <w:tcPr>
            <w:tcW w:w="2857" w:type="dxa"/>
          </w:tcPr>
          <w:p w:rsidR="00362526" w:rsidRPr="00E22C7F" w:rsidRDefault="00362526" w:rsidP="00BF2B27">
            <w:pPr>
              <w:jc w:val="both"/>
              <w:rPr>
                <w:rFonts w:ascii="Times New Roman" w:hAnsi="Times New Roman"/>
                <w:sz w:val="26"/>
                <w:szCs w:val="26"/>
              </w:rPr>
            </w:pPr>
            <w:r w:rsidRPr="00E22C7F">
              <w:rPr>
                <w:rFonts w:ascii="Times New Roman" w:hAnsi="Times New Roman"/>
                <w:sz w:val="26"/>
                <w:szCs w:val="26"/>
              </w:rPr>
              <w:t>Không quy định</w:t>
            </w:r>
          </w:p>
        </w:tc>
        <w:tc>
          <w:tcPr>
            <w:tcW w:w="3870" w:type="dxa"/>
            <w:shd w:val="clear" w:color="auto" w:fill="auto"/>
          </w:tcPr>
          <w:p w:rsidR="00362526" w:rsidRPr="00E22C7F" w:rsidRDefault="00362526" w:rsidP="00CD7727">
            <w:pPr>
              <w:ind w:firstLine="32"/>
              <w:jc w:val="both"/>
              <w:rPr>
                <w:rFonts w:ascii="Times New Roman" w:hAnsi="Times New Roman" w:cs="Times New Roman"/>
                <w:sz w:val="26"/>
                <w:szCs w:val="26"/>
              </w:rPr>
            </w:pPr>
            <w:r w:rsidRPr="00E22C7F">
              <w:rPr>
                <w:rFonts w:ascii="Times New Roman" w:hAnsi="Times New Roman" w:cs="Times New Roman"/>
                <w:sz w:val="26"/>
                <w:szCs w:val="26"/>
              </w:rPr>
              <w:t>Bổ sung Khoản 4 như sau: “4.</w:t>
            </w:r>
            <w:r w:rsidRPr="00E22C7F">
              <w:rPr>
                <w:rFonts w:ascii="Times New Roman" w:hAnsi="Times New Roman"/>
                <w:sz w:val="26"/>
                <w:szCs w:val="26"/>
              </w:rPr>
              <w:t xml:space="preserve"> </w:t>
            </w:r>
            <w:r w:rsidRPr="00E22C7F">
              <w:rPr>
                <w:rFonts w:ascii="Times New Roman" w:hAnsi="Times New Roman" w:cs="Times New Roman"/>
                <w:sz w:val="26"/>
                <w:szCs w:val="26"/>
                <w:lang w:val="vi-VN"/>
              </w:rPr>
              <w:t xml:space="preserve">Trường hợp thời hạn tra soát, </w:t>
            </w:r>
            <w:r w:rsidRPr="00E22C7F">
              <w:rPr>
                <w:rFonts w:ascii="Times New Roman" w:hAnsi="Times New Roman" w:cs="Times New Roman"/>
                <w:sz w:val="26"/>
                <w:szCs w:val="26"/>
              </w:rPr>
              <w:t xml:space="preserve">xử lý, </w:t>
            </w:r>
            <w:r w:rsidRPr="00E22C7F">
              <w:rPr>
                <w:rFonts w:ascii="Times New Roman" w:hAnsi="Times New Roman" w:cs="Times New Roman"/>
                <w:sz w:val="26"/>
                <w:szCs w:val="26"/>
                <w:lang w:val="vi-VN"/>
              </w:rPr>
              <w:t xml:space="preserve">kiểm duyệt khác với </w:t>
            </w:r>
            <w:r w:rsidRPr="00E22C7F">
              <w:rPr>
                <w:rFonts w:ascii="Times New Roman" w:hAnsi="Times New Roman" w:cs="Times New Roman"/>
                <w:sz w:val="26"/>
                <w:szCs w:val="26"/>
              </w:rPr>
              <w:t xml:space="preserve">các </w:t>
            </w:r>
            <w:r w:rsidRPr="00E22C7F">
              <w:rPr>
                <w:rFonts w:ascii="Times New Roman" w:hAnsi="Times New Roman" w:cs="Times New Roman"/>
                <w:sz w:val="26"/>
                <w:szCs w:val="26"/>
                <w:lang w:val="vi-VN"/>
              </w:rPr>
              <w:t xml:space="preserve">quy định nêu </w:t>
            </w:r>
            <w:r w:rsidRPr="00E22C7F">
              <w:rPr>
                <w:rFonts w:ascii="Times New Roman" w:hAnsi="Times New Roman" w:cs="Times New Roman"/>
                <w:sz w:val="26"/>
                <w:szCs w:val="26"/>
              </w:rPr>
              <w:t>tại Khoản 1, Khoản 2 và Khoản 3 Điều này</w:t>
            </w:r>
            <w:r w:rsidRPr="00E22C7F">
              <w:rPr>
                <w:rFonts w:ascii="Times New Roman" w:hAnsi="Times New Roman" w:cs="Times New Roman"/>
                <w:sz w:val="26"/>
                <w:szCs w:val="26"/>
                <w:lang w:val="vi-VN"/>
              </w:rPr>
              <w:t xml:space="preserve"> thì các đơn vị thực hiện theo quy định cụ thể trên mẫu biểu báo cáo tại Phần 3 Phụ lục 1 đính kèm Thông tư này</w:t>
            </w:r>
            <w:r w:rsidRPr="00E22C7F">
              <w:rPr>
                <w:rFonts w:ascii="Times New Roman" w:hAnsi="Times New Roman" w:cs="Times New Roman"/>
                <w:sz w:val="26"/>
                <w:szCs w:val="26"/>
              </w:rPr>
              <w:t>”</w:t>
            </w:r>
          </w:p>
          <w:p w:rsidR="00362526" w:rsidRPr="00E22C7F" w:rsidRDefault="00362526" w:rsidP="00BF2B27">
            <w:pPr>
              <w:ind w:firstLine="709"/>
              <w:jc w:val="both"/>
              <w:rPr>
                <w:rFonts w:ascii="Times New Roman" w:hAnsi="Times New Roman" w:cs="Times New Roman"/>
                <w:sz w:val="26"/>
                <w:szCs w:val="26"/>
              </w:rPr>
            </w:pPr>
          </w:p>
        </w:tc>
        <w:tc>
          <w:tcPr>
            <w:tcW w:w="6311" w:type="dxa"/>
            <w:vMerge/>
          </w:tcPr>
          <w:p w:rsidR="00362526" w:rsidRPr="00E22C7F" w:rsidRDefault="00362526" w:rsidP="00BF2B27">
            <w:pPr>
              <w:jc w:val="both"/>
              <w:rPr>
                <w:rFonts w:ascii="Times New Roman" w:hAnsi="Times New Roman" w:cs="Times New Roman"/>
                <w:sz w:val="26"/>
                <w:szCs w:val="26"/>
              </w:rPr>
            </w:pPr>
          </w:p>
        </w:tc>
      </w:tr>
      <w:tr w:rsidR="00080FBF" w:rsidRPr="00C51F5F" w:rsidTr="000353CA">
        <w:tc>
          <w:tcPr>
            <w:tcW w:w="708" w:type="dxa"/>
          </w:tcPr>
          <w:p w:rsidR="00080FBF" w:rsidRPr="00BF2B27" w:rsidRDefault="00794C2F" w:rsidP="00C51F5F">
            <w:pPr>
              <w:jc w:val="center"/>
              <w:rPr>
                <w:rFonts w:ascii="Times New Roman" w:hAnsi="Times New Roman" w:cs="Times New Roman"/>
                <w:sz w:val="26"/>
                <w:szCs w:val="26"/>
              </w:rPr>
            </w:pPr>
            <w:r>
              <w:rPr>
                <w:rFonts w:ascii="Times New Roman" w:hAnsi="Times New Roman" w:cs="Times New Roman"/>
                <w:sz w:val="26"/>
                <w:szCs w:val="26"/>
              </w:rPr>
              <w:t>3</w:t>
            </w:r>
          </w:p>
        </w:tc>
        <w:tc>
          <w:tcPr>
            <w:tcW w:w="1133" w:type="dxa"/>
          </w:tcPr>
          <w:p w:rsidR="00080FBF" w:rsidRPr="00E22C7F" w:rsidRDefault="00123EA6" w:rsidP="00362526">
            <w:pPr>
              <w:jc w:val="center"/>
              <w:rPr>
                <w:rFonts w:ascii="Times New Roman" w:hAnsi="Times New Roman" w:cs="Times New Roman"/>
                <w:sz w:val="26"/>
                <w:szCs w:val="26"/>
              </w:rPr>
            </w:pPr>
            <w:r w:rsidRPr="00E22C7F">
              <w:rPr>
                <w:rFonts w:ascii="Times New Roman" w:hAnsi="Times New Roman" w:cs="Times New Roman"/>
                <w:sz w:val="26"/>
                <w:szCs w:val="26"/>
              </w:rPr>
              <w:t>Phầ</w:t>
            </w:r>
            <w:r w:rsidR="00362526" w:rsidRPr="00E22C7F">
              <w:rPr>
                <w:rFonts w:ascii="Times New Roman" w:hAnsi="Times New Roman" w:cs="Times New Roman"/>
                <w:sz w:val="26"/>
                <w:szCs w:val="26"/>
              </w:rPr>
              <w:t xml:space="preserve">n 1, Phần 2 và Phần 3 </w:t>
            </w:r>
            <w:r w:rsidRPr="00E22C7F">
              <w:rPr>
                <w:rFonts w:ascii="Times New Roman" w:hAnsi="Times New Roman" w:cs="Times New Roman"/>
                <w:sz w:val="26"/>
                <w:szCs w:val="26"/>
              </w:rPr>
              <w:t>Phụ lục 1</w:t>
            </w:r>
          </w:p>
        </w:tc>
        <w:tc>
          <w:tcPr>
            <w:tcW w:w="2857" w:type="dxa"/>
          </w:tcPr>
          <w:p w:rsidR="00080FBF" w:rsidRPr="00E22C7F" w:rsidRDefault="00362526" w:rsidP="00CD7727">
            <w:pPr>
              <w:jc w:val="both"/>
              <w:rPr>
                <w:rFonts w:ascii="Times New Roman" w:hAnsi="Times New Roman" w:cs="Times New Roman"/>
                <w:sz w:val="26"/>
                <w:szCs w:val="26"/>
              </w:rPr>
            </w:pPr>
            <w:r w:rsidRPr="00E22C7F">
              <w:rPr>
                <w:rFonts w:ascii="Times New Roman" w:hAnsi="Times New Roman" w:cs="Times New Roman"/>
                <w:sz w:val="26"/>
                <w:szCs w:val="26"/>
              </w:rPr>
              <w:t>Đã có quy định về danh sách và đối tượng báo cáo đối với các mẫu biểu đến Biểu số 183-TTGS</w:t>
            </w:r>
          </w:p>
        </w:tc>
        <w:tc>
          <w:tcPr>
            <w:tcW w:w="3870" w:type="dxa"/>
          </w:tcPr>
          <w:p w:rsidR="00080FBF" w:rsidRPr="00E22C7F" w:rsidRDefault="00123EA6" w:rsidP="00DA0A94">
            <w:pPr>
              <w:jc w:val="both"/>
              <w:rPr>
                <w:rFonts w:ascii="Times New Roman" w:hAnsi="Times New Roman" w:cs="Times New Roman"/>
                <w:sz w:val="26"/>
                <w:szCs w:val="26"/>
              </w:rPr>
            </w:pPr>
            <w:r w:rsidRPr="00E22C7F">
              <w:rPr>
                <w:rFonts w:ascii="Times New Roman" w:hAnsi="Times New Roman" w:cs="Times New Roman"/>
                <w:sz w:val="26"/>
                <w:szCs w:val="26"/>
              </w:rPr>
              <w:t xml:space="preserve">Bổ sung các mẫu biểu từ 184 – TTGS đến 207-TTGS </w:t>
            </w:r>
            <w:r w:rsidR="00DA0A94">
              <w:rPr>
                <w:rFonts w:ascii="Times New Roman" w:hAnsi="Times New Roman" w:cs="Times New Roman"/>
                <w:sz w:val="26"/>
                <w:szCs w:val="26"/>
              </w:rPr>
              <w:t xml:space="preserve">và 208-QLNH </w:t>
            </w:r>
            <w:r w:rsidRPr="00E22C7F">
              <w:rPr>
                <w:rFonts w:ascii="Times New Roman" w:hAnsi="Times New Roman" w:cs="Times New Roman"/>
                <w:sz w:val="26"/>
                <w:szCs w:val="26"/>
              </w:rPr>
              <w:t>tại Phần 1, Phần 2 và Phần 3 Phụ lục 1</w:t>
            </w:r>
          </w:p>
        </w:tc>
        <w:tc>
          <w:tcPr>
            <w:tcW w:w="6311" w:type="dxa"/>
          </w:tcPr>
          <w:p w:rsidR="00080FBF" w:rsidRPr="00DA0A94" w:rsidRDefault="00123EA6" w:rsidP="00DA0A94">
            <w:pPr>
              <w:pStyle w:val="ListParagraph"/>
              <w:numPr>
                <w:ilvl w:val="0"/>
                <w:numId w:val="1"/>
              </w:numPr>
              <w:tabs>
                <w:tab w:val="left" w:pos="162"/>
              </w:tabs>
              <w:ind w:left="0" w:hanging="18"/>
              <w:jc w:val="both"/>
              <w:rPr>
                <w:rFonts w:ascii="Times New Roman" w:hAnsi="Times New Roman" w:cs="Times New Roman"/>
                <w:sz w:val="26"/>
                <w:szCs w:val="26"/>
              </w:rPr>
            </w:pPr>
            <w:r w:rsidRPr="00DA0A94">
              <w:rPr>
                <w:rFonts w:ascii="Times New Roman" w:hAnsi="Times New Roman" w:cs="Times New Roman"/>
                <w:sz w:val="26"/>
                <w:szCs w:val="26"/>
              </w:rPr>
              <w:t xml:space="preserve">Hiện tại, 24 mẫu biểu báo cáo áp dụng với Quỹ tín dụng nhân dân đang được NHNN yêu cầu QTDND báo cáo tại công văn số 2947/NHNN-DBTK ngày 2/5/2018. Sau một thời gian triển khai thực hiện, các mẫu biểu nêu trên </w:t>
            </w:r>
            <w:r w:rsidR="00BF2B27" w:rsidRPr="00DA0A94">
              <w:rPr>
                <w:rFonts w:ascii="Times New Roman" w:hAnsi="Times New Roman" w:cs="Times New Roman"/>
                <w:sz w:val="26"/>
                <w:szCs w:val="26"/>
              </w:rPr>
              <w:t>đã dần đi vào ổn đị</w:t>
            </w:r>
            <w:r w:rsidR="00CD7727" w:rsidRPr="00DA0A94">
              <w:rPr>
                <w:rFonts w:ascii="Times New Roman" w:hAnsi="Times New Roman" w:cs="Times New Roman"/>
                <w:sz w:val="26"/>
                <w:szCs w:val="26"/>
              </w:rPr>
              <w:t>nh và chưa phát sinh vướng mắc trong việc thực hiện</w:t>
            </w:r>
            <w:r w:rsidR="00BF2B27" w:rsidRPr="00DA0A94">
              <w:rPr>
                <w:rFonts w:ascii="Times New Roman" w:hAnsi="Times New Roman" w:cs="Times New Roman"/>
                <w:sz w:val="26"/>
                <w:szCs w:val="26"/>
              </w:rPr>
              <w:t xml:space="preserve">. Do đó, để </w:t>
            </w:r>
            <w:r w:rsidR="00362526" w:rsidRPr="00DA0A94">
              <w:rPr>
                <w:rFonts w:ascii="Times New Roman" w:hAnsi="Times New Roman" w:cs="Times New Roman"/>
                <w:sz w:val="26"/>
                <w:szCs w:val="26"/>
              </w:rPr>
              <w:t xml:space="preserve">hoàn thiện các yêu cầu báo cáo áp dụng với QTDND, </w:t>
            </w:r>
            <w:r w:rsidR="00BF2B27" w:rsidRPr="00DA0A94">
              <w:rPr>
                <w:rFonts w:ascii="Times New Roman" w:hAnsi="Times New Roman" w:cs="Times New Roman"/>
                <w:sz w:val="26"/>
                <w:szCs w:val="26"/>
              </w:rPr>
              <w:t>đảm bảo tính pháp quy và tính tập trung thống nhất của chế độ báo cáo thống kê, các mẫu biểu nêu trên được</w:t>
            </w:r>
            <w:r w:rsidR="00362526" w:rsidRPr="00DA0A94">
              <w:rPr>
                <w:rFonts w:ascii="Times New Roman" w:hAnsi="Times New Roman" w:cs="Times New Roman"/>
                <w:sz w:val="26"/>
                <w:szCs w:val="26"/>
              </w:rPr>
              <w:t xml:space="preserve"> NHNN rà soát, hoàn thiện và</w:t>
            </w:r>
            <w:r w:rsidR="00BF2B27" w:rsidRPr="00DA0A94">
              <w:rPr>
                <w:rFonts w:ascii="Times New Roman" w:hAnsi="Times New Roman" w:cs="Times New Roman"/>
                <w:sz w:val="26"/>
                <w:szCs w:val="26"/>
              </w:rPr>
              <w:t xml:space="preserve"> bổ sung </w:t>
            </w:r>
            <w:r w:rsidR="00BF2B27" w:rsidRPr="00DA0A94">
              <w:rPr>
                <w:rFonts w:ascii="Times New Roman" w:hAnsi="Times New Roman" w:cs="Times New Roman"/>
                <w:sz w:val="26"/>
                <w:szCs w:val="26"/>
              </w:rPr>
              <w:lastRenderedPageBreak/>
              <w:t>vào Thông tư 35/2015/TT-NHNN.</w:t>
            </w:r>
          </w:p>
          <w:p w:rsidR="00DA0A94" w:rsidRPr="00DA0A94" w:rsidRDefault="00DA0A94" w:rsidP="00DA0A94">
            <w:pPr>
              <w:pStyle w:val="NormalWeb"/>
              <w:tabs>
                <w:tab w:val="left" w:pos="-18"/>
              </w:tabs>
              <w:spacing w:before="120" w:beforeAutospacing="0" w:after="120" w:afterAutospacing="0"/>
              <w:jc w:val="both"/>
              <w:rPr>
                <w:sz w:val="26"/>
                <w:szCs w:val="26"/>
              </w:rPr>
            </w:pPr>
            <w:r>
              <w:rPr>
                <w:sz w:val="26"/>
                <w:szCs w:val="26"/>
              </w:rPr>
              <w:t>-</w:t>
            </w:r>
            <w:r w:rsidRPr="00DA0A94">
              <w:rPr>
                <w:sz w:val="26"/>
                <w:szCs w:val="26"/>
              </w:rPr>
              <w:t xml:space="preserve"> Vụ DBTK nhận được đề nghị của Vụ Quản lý ngoại hối về việc yêu cầu bổ sung 01 mẫu biểu báo cáo vào Dự thảo </w:t>
            </w:r>
            <w:r>
              <w:rPr>
                <w:sz w:val="26"/>
                <w:szCs w:val="26"/>
              </w:rPr>
              <w:t>sửa đổi, bổ sung Thông tư 35/2015/TT-NHNN</w:t>
            </w:r>
            <w:r w:rsidRPr="00DA0A94">
              <w:rPr>
                <w:sz w:val="26"/>
                <w:szCs w:val="26"/>
              </w:rPr>
              <w:t xml:space="preserve"> để không bị điều chỉnh bởi Nghị định 09/2019/NĐ-CP ngày 24/1/2019 quy định về chế độ báo cáo của cơ quan hành chính nhà nước.</w:t>
            </w:r>
          </w:p>
          <w:p w:rsidR="00DA0A94" w:rsidRPr="00E22C7F" w:rsidRDefault="00DA0A94" w:rsidP="00DA0A94">
            <w:pPr>
              <w:ind w:firstLine="360"/>
              <w:jc w:val="both"/>
              <w:rPr>
                <w:rFonts w:ascii="Times New Roman" w:hAnsi="Times New Roman" w:cs="Times New Roman"/>
                <w:sz w:val="26"/>
                <w:szCs w:val="26"/>
              </w:rPr>
            </w:pPr>
          </w:p>
        </w:tc>
      </w:tr>
    </w:tbl>
    <w:p w:rsidR="00C51F5F" w:rsidRPr="00C51F5F" w:rsidRDefault="00C51F5F" w:rsidP="00C51F5F">
      <w:pPr>
        <w:jc w:val="center"/>
        <w:rPr>
          <w:rFonts w:ascii="Times New Roman" w:hAnsi="Times New Roman" w:cs="Times New Roman"/>
        </w:rPr>
      </w:pPr>
    </w:p>
    <w:sectPr w:rsidR="00C51F5F" w:rsidRPr="00C51F5F" w:rsidSect="00C51F5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177F9"/>
    <w:multiLevelType w:val="hybridMultilevel"/>
    <w:tmpl w:val="D25A6F92"/>
    <w:lvl w:ilvl="0" w:tplc="357415F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7C"/>
    <w:rsid w:val="000353CA"/>
    <w:rsid w:val="00080FBF"/>
    <w:rsid w:val="00123EA6"/>
    <w:rsid w:val="00362526"/>
    <w:rsid w:val="005B3990"/>
    <w:rsid w:val="006533D8"/>
    <w:rsid w:val="0078407C"/>
    <w:rsid w:val="00794C2F"/>
    <w:rsid w:val="00903AD1"/>
    <w:rsid w:val="00BF2B27"/>
    <w:rsid w:val="00C51F5F"/>
    <w:rsid w:val="00CD7727"/>
    <w:rsid w:val="00DA0A94"/>
    <w:rsid w:val="00E22C7F"/>
    <w:rsid w:val="00F15415"/>
    <w:rsid w:val="00FD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7F"/>
    <w:rPr>
      <w:rFonts w:ascii="Segoe UI" w:hAnsi="Segoe UI" w:cs="Segoe UI"/>
      <w:sz w:val="18"/>
      <w:szCs w:val="18"/>
    </w:rPr>
  </w:style>
  <w:style w:type="paragraph" w:styleId="NormalWeb">
    <w:name w:val="Normal (Web)"/>
    <w:basedOn w:val="Normal"/>
    <w:uiPriority w:val="99"/>
    <w:rsid w:val="00DA0A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A0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7F"/>
    <w:rPr>
      <w:rFonts w:ascii="Segoe UI" w:hAnsi="Segoe UI" w:cs="Segoe UI"/>
      <w:sz w:val="18"/>
      <w:szCs w:val="18"/>
    </w:rPr>
  </w:style>
  <w:style w:type="paragraph" w:styleId="NormalWeb">
    <w:name w:val="Normal (Web)"/>
    <w:basedOn w:val="Normal"/>
    <w:uiPriority w:val="99"/>
    <w:rsid w:val="00DA0A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A0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56D0-4AB4-4EF8-9F01-668C93EBFE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88DD99-9BC7-4F3E-BF3D-075D9EE20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3C31DF-ADA1-4ED6-8A17-02648A64144E}">
  <ds:schemaRefs>
    <ds:schemaRef ds:uri="http://schemas.microsoft.com/sharepoint/v3/contenttype/forms"/>
  </ds:schemaRefs>
</ds:datastoreItem>
</file>

<file path=customXml/itemProps4.xml><?xml version="1.0" encoding="utf-8"?>
<ds:datastoreItem xmlns:ds="http://schemas.openxmlformats.org/officeDocument/2006/customXml" ds:itemID="{87FB4643-39DA-46CE-B988-D8362E56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Diu (DBTK)</dc:creator>
  <cp:lastModifiedBy>Hewlett-Packard Company</cp:lastModifiedBy>
  <cp:revision>2</cp:revision>
  <cp:lastPrinted>2019-07-12T07:12:00Z</cp:lastPrinted>
  <dcterms:created xsi:type="dcterms:W3CDTF">2019-07-23T03:09:00Z</dcterms:created>
  <dcterms:modified xsi:type="dcterms:W3CDTF">2019-07-23T03:09:00Z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