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0C" w:rsidRPr="00AE6D0C" w:rsidRDefault="00AE6D0C" w:rsidP="000141E9">
      <w:pPr>
        <w:spacing w:after="0" w:line="240" w:lineRule="auto"/>
        <w:jc w:val="center"/>
        <w:rPr>
          <w:rFonts w:asciiTheme="majorHAnsi" w:hAnsiTheme="majorHAnsi" w:cstheme="majorHAnsi"/>
          <w:b/>
          <w:sz w:val="27"/>
          <w:szCs w:val="27"/>
          <w:lang w:val="en-US"/>
        </w:rPr>
      </w:pPr>
      <w:r>
        <w:rPr>
          <w:rFonts w:asciiTheme="majorHAnsi" w:hAnsiTheme="majorHAnsi" w:cstheme="majorHAnsi"/>
          <w:b/>
          <w:sz w:val="27"/>
          <w:szCs w:val="27"/>
          <w:lang w:val="en-US"/>
        </w:rPr>
        <w:t>Phụ lụ</w:t>
      </w:r>
      <w:r w:rsidR="000141E9">
        <w:rPr>
          <w:rFonts w:asciiTheme="majorHAnsi" w:hAnsiTheme="majorHAnsi" w:cstheme="majorHAnsi"/>
          <w:b/>
          <w:sz w:val="27"/>
          <w:szCs w:val="27"/>
          <w:lang w:val="en-US"/>
        </w:rPr>
        <w:t>c 03</w:t>
      </w:r>
    </w:p>
    <w:p w:rsidR="00C17693" w:rsidRPr="00702094" w:rsidRDefault="00C17693" w:rsidP="000141E9">
      <w:pPr>
        <w:spacing w:after="0" w:line="240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702094">
        <w:rPr>
          <w:rFonts w:asciiTheme="majorHAnsi" w:hAnsiTheme="majorHAnsi" w:cstheme="majorHAnsi"/>
          <w:b/>
          <w:sz w:val="27"/>
          <w:szCs w:val="27"/>
        </w:rPr>
        <w:t>DANH MỤC TÀI LIỆU ÔN TẬP</w:t>
      </w:r>
    </w:p>
    <w:p w:rsidR="00702094" w:rsidRPr="00702094" w:rsidRDefault="00C17693" w:rsidP="000141E9">
      <w:pPr>
        <w:spacing w:after="0" w:line="240" w:lineRule="auto"/>
        <w:jc w:val="center"/>
        <w:rPr>
          <w:rFonts w:asciiTheme="majorHAnsi" w:hAnsiTheme="majorHAnsi" w:cstheme="majorHAnsi"/>
          <w:b/>
          <w:sz w:val="27"/>
          <w:szCs w:val="27"/>
          <w:lang w:val="en-US"/>
        </w:rPr>
      </w:pPr>
      <w:r w:rsidRPr="00702094">
        <w:rPr>
          <w:rFonts w:asciiTheme="majorHAnsi" w:hAnsiTheme="majorHAnsi" w:cstheme="majorHAnsi"/>
          <w:b/>
          <w:sz w:val="27"/>
          <w:szCs w:val="27"/>
        </w:rPr>
        <w:t>TUYỂN DỤNG NHÂN VIÊN VĂN THƯ</w:t>
      </w:r>
      <w:r w:rsidR="00702094" w:rsidRPr="00702094">
        <w:rPr>
          <w:rFonts w:asciiTheme="majorHAnsi" w:hAnsiTheme="majorHAnsi" w:cstheme="majorHAnsi"/>
          <w:b/>
          <w:sz w:val="27"/>
          <w:szCs w:val="27"/>
          <w:lang w:val="en-US"/>
        </w:rPr>
        <w:t xml:space="preserve"> VÀO LÀM VIỆC </w:t>
      </w:r>
    </w:p>
    <w:p w:rsidR="001C4704" w:rsidRPr="00702094" w:rsidRDefault="00702094" w:rsidP="000141E9">
      <w:pPr>
        <w:spacing w:after="0" w:line="240" w:lineRule="auto"/>
        <w:jc w:val="center"/>
        <w:rPr>
          <w:rFonts w:asciiTheme="majorHAnsi" w:hAnsiTheme="majorHAnsi" w:cstheme="majorHAnsi"/>
          <w:sz w:val="27"/>
          <w:szCs w:val="27"/>
          <w:lang w:val="en-US"/>
        </w:rPr>
      </w:pPr>
      <w:r w:rsidRPr="00702094">
        <w:rPr>
          <w:rFonts w:asciiTheme="majorHAnsi" w:hAnsiTheme="majorHAnsi" w:cstheme="majorHAnsi"/>
          <w:b/>
          <w:sz w:val="27"/>
          <w:szCs w:val="27"/>
          <w:lang w:val="en-US"/>
        </w:rPr>
        <w:t xml:space="preserve">TẠI </w:t>
      </w:r>
      <w:r w:rsidR="000141E9">
        <w:rPr>
          <w:rFonts w:asciiTheme="majorHAnsi" w:hAnsiTheme="majorHAnsi" w:cstheme="majorHAnsi"/>
          <w:b/>
          <w:sz w:val="27"/>
          <w:szCs w:val="27"/>
          <w:lang w:val="en-US"/>
        </w:rPr>
        <w:t>CHI CỤC QUẢN TRỊ TẠI TP. HỒ CHÍ MINH</w:t>
      </w:r>
    </w:p>
    <w:p w:rsidR="001C4704" w:rsidRPr="00702094" w:rsidRDefault="001C4704" w:rsidP="00DE4AEE">
      <w:pPr>
        <w:spacing w:before="120" w:after="120"/>
        <w:jc w:val="both"/>
        <w:rPr>
          <w:rFonts w:asciiTheme="majorHAnsi" w:hAnsiTheme="majorHAnsi" w:cstheme="majorHAnsi"/>
          <w:sz w:val="27"/>
          <w:szCs w:val="27"/>
        </w:rPr>
      </w:pPr>
    </w:p>
    <w:p w:rsidR="00D806D4" w:rsidRPr="008E70A3" w:rsidRDefault="00D806D4" w:rsidP="00DE4AEE">
      <w:pPr>
        <w:spacing w:before="120" w:after="120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702094">
        <w:rPr>
          <w:rFonts w:asciiTheme="majorHAnsi" w:hAnsiTheme="majorHAnsi" w:cstheme="majorHAnsi"/>
          <w:b/>
          <w:sz w:val="27"/>
          <w:szCs w:val="27"/>
          <w:lang w:val="en-US"/>
        </w:rPr>
        <w:t>I.</w:t>
      </w:r>
      <w:r w:rsidR="00702094" w:rsidRPr="00702094">
        <w:rPr>
          <w:rFonts w:asciiTheme="majorHAnsi" w:hAnsiTheme="majorHAnsi" w:cstheme="majorHAnsi"/>
          <w:b/>
          <w:sz w:val="27"/>
          <w:szCs w:val="27"/>
          <w:lang w:val="en-US"/>
        </w:rPr>
        <w:t xml:space="preserve"> KIẾN THỨC CHUNG:</w:t>
      </w:r>
      <w:r w:rsidR="00702094" w:rsidRPr="00702094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 w:rsidR="00702094" w:rsidRPr="00702094"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  <w:t>Hiểu biết chung về hệ thống chính trị, tổ chức bộ máy của Đảng, Nhà nước, các tổ chức chính trị - xã hội; quản lý hành chính nhà nước; công chức, công vụ và các kiến thức khác</w:t>
      </w:r>
    </w:p>
    <w:p w:rsidR="00702094" w:rsidRPr="00702094" w:rsidRDefault="00702094" w:rsidP="00702094">
      <w:pPr>
        <w:spacing w:line="264" w:lineRule="auto"/>
        <w:jc w:val="both"/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</w:pPr>
      <w:r w:rsidRPr="00702094"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  <w:t xml:space="preserve">1. Luật cán bộ, công chức (Luật số 22/2008/QH12 ngày 13/11/2008) và Luật sửa đổi, bổ sung một số điều của Luật cán bộ, công chức và Luật Viên chức (Luật số 52/2019/QH14 ngày 25/11/2019); </w:t>
      </w:r>
    </w:p>
    <w:p w:rsidR="00702094" w:rsidRPr="00702094" w:rsidRDefault="00702094" w:rsidP="00702094">
      <w:pPr>
        <w:spacing w:line="264" w:lineRule="auto"/>
        <w:jc w:val="both"/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</w:pPr>
      <w:r w:rsidRPr="00702094"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  <w:t>2. Luật Ngân hàng nhà nước Việt Nam (Luật số 46/2010/QH12 ngày 16/6/2010).</w:t>
      </w:r>
    </w:p>
    <w:p w:rsidR="00702094" w:rsidRPr="00702094" w:rsidRDefault="00702094" w:rsidP="00702094">
      <w:pPr>
        <w:spacing w:before="120" w:after="120"/>
        <w:jc w:val="both"/>
        <w:rPr>
          <w:rFonts w:asciiTheme="majorHAnsi" w:hAnsiTheme="majorHAnsi" w:cstheme="majorHAnsi"/>
          <w:sz w:val="27"/>
          <w:szCs w:val="27"/>
          <w:lang w:val="en-US"/>
        </w:rPr>
      </w:pPr>
      <w:r w:rsidRPr="00702094"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  <w:t xml:space="preserve">3. Nghị định Quy định chức năng, nhiệm vụ, quyền hạn và cơ cấu tổ chức của Ngân hàng Nhà nước Việt </w:t>
      </w:r>
      <w:r w:rsidRPr="00B740EF"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  <w:t>Nam (</w:t>
      </w:r>
      <w:r w:rsidR="00B740EF" w:rsidRPr="00B740EF"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  <w:t>Nghị định số 102/2022/NĐ-CP ngày 12/12/2022</w:t>
      </w:r>
      <w:r w:rsidRPr="00B740EF">
        <w:rPr>
          <w:rFonts w:asciiTheme="majorHAnsi" w:eastAsia="Times New Roman" w:hAnsiTheme="majorHAnsi" w:cstheme="majorHAnsi"/>
          <w:bCs/>
          <w:iCs/>
          <w:color w:val="27262C"/>
          <w:sz w:val="27"/>
          <w:szCs w:val="27"/>
          <w:lang w:eastAsia="vi-VN"/>
        </w:rPr>
        <w:t>).</w:t>
      </w:r>
    </w:p>
    <w:p w:rsidR="00702094" w:rsidRPr="00702094" w:rsidRDefault="00702094" w:rsidP="00DE4AEE">
      <w:pPr>
        <w:spacing w:before="120" w:after="120"/>
        <w:jc w:val="both"/>
        <w:rPr>
          <w:rFonts w:asciiTheme="majorHAnsi" w:hAnsiTheme="majorHAnsi" w:cstheme="majorHAnsi"/>
          <w:b/>
          <w:sz w:val="27"/>
          <w:szCs w:val="27"/>
          <w:lang w:val="en-US"/>
        </w:rPr>
      </w:pPr>
      <w:r w:rsidRPr="00702094">
        <w:rPr>
          <w:rFonts w:asciiTheme="majorHAnsi" w:hAnsiTheme="majorHAnsi" w:cstheme="majorHAnsi"/>
          <w:b/>
          <w:sz w:val="27"/>
          <w:szCs w:val="27"/>
          <w:lang w:val="en-US"/>
        </w:rPr>
        <w:t xml:space="preserve">II. </w:t>
      </w:r>
      <w:r w:rsidRPr="00702094">
        <w:rPr>
          <w:rFonts w:asciiTheme="majorHAnsi" w:hAnsiTheme="majorHAnsi" w:cstheme="majorHAnsi"/>
          <w:b/>
          <w:sz w:val="27"/>
          <w:szCs w:val="27"/>
        </w:rPr>
        <w:t>KIẾN THỨC CHUYÊN MÔN NGHIỆP VỤ</w:t>
      </w:r>
      <w:r w:rsidRPr="00702094">
        <w:rPr>
          <w:rFonts w:asciiTheme="majorHAnsi" w:hAnsiTheme="majorHAnsi" w:cstheme="majorHAnsi"/>
          <w:b/>
          <w:sz w:val="27"/>
          <w:szCs w:val="27"/>
          <w:lang w:val="en-US"/>
        </w:rPr>
        <w:t xml:space="preserve"> </w:t>
      </w:r>
    </w:p>
    <w:p w:rsidR="00702094" w:rsidRPr="00702094" w:rsidRDefault="00702094" w:rsidP="00702094">
      <w:pPr>
        <w:spacing w:before="120" w:after="120"/>
        <w:jc w:val="both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  <w:lang w:val="en-US"/>
        </w:rPr>
        <w:t>1</w:t>
      </w:r>
      <w:r w:rsidRPr="00702094">
        <w:rPr>
          <w:rFonts w:asciiTheme="majorHAnsi" w:hAnsiTheme="majorHAnsi" w:cstheme="majorHAnsi"/>
          <w:sz w:val="27"/>
          <w:szCs w:val="27"/>
        </w:rPr>
        <w:t>. Luật Lưu trữ</w:t>
      </w:r>
      <w:r w:rsidR="00506094">
        <w:rPr>
          <w:rFonts w:asciiTheme="majorHAnsi" w:hAnsiTheme="majorHAnsi" w:cstheme="majorHAnsi"/>
          <w:sz w:val="27"/>
          <w:szCs w:val="27"/>
          <w:lang w:val="en-US"/>
        </w:rPr>
        <w:t xml:space="preserve"> (Luật số 01/2011/QH13 ngày 11/11/2011)</w:t>
      </w:r>
      <w:r w:rsidRPr="00702094">
        <w:rPr>
          <w:rFonts w:asciiTheme="majorHAnsi" w:hAnsiTheme="majorHAnsi" w:cstheme="majorHAnsi"/>
          <w:sz w:val="27"/>
          <w:szCs w:val="27"/>
        </w:rPr>
        <w:t>;</w:t>
      </w:r>
    </w:p>
    <w:p w:rsidR="00702094" w:rsidRPr="00702094" w:rsidRDefault="00702094" w:rsidP="00702094">
      <w:pPr>
        <w:spacing w:before="120" w:after="120"/>
        <w:jc w:val="both"/>
        <w:rPr>
          <w:rFonts w:asciiTheme="majorHAnsi" w:hAnsiTheme="majorHAnsi" w:cstheme="majorHAnsi"/>
          <w:sz w:val="27"/>
          <w:szCs w:val="27"/>
        </w:rPr>
      </w:pPr>
      <w:r w:rsidRPr="00702094">
        <w:rPr>
          <w:rFonts w:asciiTheme="majorHAnsi" w:hAnsiTheme="majorHAnsi" w:cstheme="majorHAnsi"/>
          <w:sz w:val="27"/>
          <w:szCs w:val="27"/>
        </w:rPr>
        <w:t>2. Luật Bảo vệ bí mật nhà nước</w:t>
      </w:r>
      <w:r w:rsidR="00506094">
        <w:rPr>
          <w:rFonts w:asciiTheme="majorHAnsi" w:hAnsiTheme="majorHAnsi" w:cstheme="majorHAnsi"/>
          <w:sz w:val="27"/>
          <w:szCs w:val="27"/>
          <w:lang w:val="en-US"/>
        </w:rPr>
        <w:t xml:space="preserve"> (Luật số 29/2018/QH14 ngày 15/11/2018)</w:t>
      </w:r>
      <w:r w:rsidRPr="00702094">
        <w:rPr>
          <w:rFonts w:asciiTheme="majorHAnsi" w:hAnsiTheme="majorHAnsi" w:cstheme="majorHAnsi"/>
          <w:sz w:val="27"/>
          <w:szCs w:val="27"/>
        </w:rPr>
        <w:t>;</w:t>
      </w:r>
    </w:p>
    <w:p w:rsidR="00702094" w:rsidRPr="00702094" w:rsidRDefault="00702094" w:rsidP="00702094">
      <w:pPr>
        <w:spacing w:before="120" w:after="120"/>
        <w:jc w:val="both"/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  <w:shd w:val="clear" w:color="auto" w:fill="FFFFFF"/>
        </w:rPr>
      </w:pPr>
      <w:r w:rsidRPr="00702094"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  <w:t>3. </w:t>
      </w:r>
      <w:r w:rsidRPr="00702094"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  <w:shd w:val="clear" w:color="auto" w:fill="FFFFFF"/>
        </w:rPr>
        <w:t>Nghị định số 01/2013/NĐ-CP ngày 03/01/2013 của Chính phủ quy định chi tiết thi hành một số điều của Luật Lưu trữ;</w:t>
      </w:r>
    </w:p>
    <w:p w:rsidR="00702094" w:rsidRPr="00702094" w:rsidRDefault="00702094" w:rsidP="00702094">
      <w:pPr>
        <w:spacing w:before="120" w:after="120"/>
        <w:jc w:val="both"/>
        <w:rPr>
          <w:rFonts w:asciiTheme="majorHAnsi" w:hAnsiTheme="majorHAnsi" w:cstheme="majorHAnsi"/>
          <w:sz w:val="27"/>
          <w:szCs w:val="27"/>
        </w:rPr>
      </w:pPr>
      <w:r w:rsidRPr="00702094">
        <w:rPr>
          <w:rFonts w:asciiTheme="majorHAnsi" w:hAnsiTheme="majorHAnsi" w:cstheme="majorHAnsi"/>
          <w:sz w:val="27"/>
          <w:szCs w:val="27"/>
        </w:rPr>
        <w:t xml:space="preserve">4. Nghị định 99/2016/NĐ-CP ngày </w:t>
      </w:r>
      <w:r w:rsidR="00565B34">
        <w:rPr>
          <w:rFonts w:asciiTheme="majorHAnsi" w:hAnsiTheme="majorHAnsi" w:cstheme="majorHAnsi"/>
          <w:sz w:val="27"/>
          <w:szCs w:val="27"/>
          <w:lang w:val="en-US"/>
        </w:rPr>
        <w:t>0</w:t>
      </w:r>
      <w:r w:rsidRPr="00702094">
        <w:rPr>
          <w:rFonts w:asciiTheme="majorHAnsi" w:hAnsiTheme="majorHAnsi" w:cstheme="majorHAnsi"/>
          <w:sz w:val="27"/>
          <w:szCs w:val="27"/>
        </w:rPr>
        <w:t>1/7/2016 của Chính phủ về quản lý và sử dụng con dấu;</w:t>
      </w:r>
      <w:bookmarkStart w:id="0" w:name="_GoBack"/>
      <w:bookmarkEnd w:id="0"/>
    </w:p>
    <w:p w:rsidR="00702094" w:rsidRPr="00702094" w:rsidRDefault="00702094" w:rsidP="00702094">
      <w:pPr>
        <w:spacing w:before="120" w:after="120"/>
        <w:jc w:val="both"/>
        <w:rPr>
          <w:rStyle w:val="Strong"/>
          <w:rFonts w:asciiTheme="majorHAnsi" w:hAnsiTheme="majorHAnsi" w:cstheme="majorHAnsi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702094">
        <w:rPr>
          <w:rFonts w:asciiTheme="majorHAnsi" w:hAnsiTheme="majorHAnsi" w:cstheme="majorHAnsi"/>
          <w:sz w:val="27"/>
          <w:szCs w:val="27"/>
        </w:rPr>
        <w:t xml:space="preserve">5. Nghị định số 26/2020/NĐ-CP ngày 28/2/2020 của Chính phủ </w:t>
      </w:r>
      <w:r w:rsidRPr="00702094">
        <w:rPr>
          <w:rStyle w:val="Strong"/>
          <w:rFonts w:asciiTheme="majorHAnsi" w:hAnsiTheme="majorHAnsi" w:cstheme="majorHAnsi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Quy định chi tiết một số điều của Luật Bảo vệ bí mật nhà nước;</w:t>
      </w:r>
    </w:p>
    <w:p w:rsidR="00702094" w:rsidRPr="00702094" w:rsidRDefault="00702094" w:rsidP="00702094">
      <w:pPr>
        <w:tabs>
          <w:tab w:val="left" w:pos="317"/>
          <w:tab w:val="left" w:pos="845"/>
        </w:tabs>
        <w:spacing w:before="120" w:after="120"/>
        <w:jc w:val="both"/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  <w:shd w:val="clear" w:color="auto" w:fill="FFFFFF"/>
        </w:rPr>
      </w:pPr>
      <w:r w:rsidRPr="00702094"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  <w:t xml:space="preserve">6. </w:t>
      </w:r>
      <w:r w:rsidRPr="00702094"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  <w:shd w:val="clear" w:color="auto" w:fill="FFFFFF"/>
        </w:rPr>
        <w:t>Nghị định số 30/2020/NĐ-CP ngày 05/3/2020 của Chính phủ về công tác văn thư;</w:t>
      </w:r>
      <w:r w:rsidRPr="00702094">
        <w:rPr>
          <w:rFonts w:asciiTheme="majorHAnsi" w:hAnsiTheme="majorHAnsi" w:cstheme="majorHAnsi"/>
          <w:color w:val="111111"/>
          <w:sz w:val="27"/>
          <w:szCs w:val="27"/>
        </w:rPr>
        <w:br/>
      </w:r>
      <w:r w:rsidRPr="00702094">
        <w:rPr>
          <w:rFonts w:asciiTheme="majorHAnsi" w:hAnsiTheme="majorHAnsi" w:cstheme="majorHAnsi"/>
          <w:color w:val="111111"/>
          <w:sz w:val="27"/>
          <w:szCs w:val="27"/>
          <w:shd w:val="clear" w:color="auto" w:fill="FFFFFF"/>
        </w:rPr>
        <w:t xml:space="preserve">7. </w:t>
      </w:r>
      <w:r w:rsidRPr="00702094"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  <w:shd w:val="clear" w:color="auto" w:fill="FFFFFF"/>
        </w:rPr>
        <w:t>Quyết định số 28/2018/QĐ-TTg ngày 12/7/2018 của Thủ tướng Chính phủ về việc gửi, nhận văn bản điện tử giữa các cơ quan trong hệ thống hành chính nhà nước;</w:t>
      </w:r>
    </w:p>
    <w:p w:rsidR="00702094" w:rsidRPr="00702094" w:rsidRDefault="00702094" w:rsidP="00702094">
      <w:pPr>
        <w:spacing w:before="120" w:after="120"/>
        <w:jc w:val="both"/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  <w:shd w:val="clear" w:color="auto" w:fill="FFFFFF"/>
        </w:rPr>
      </w:pPr>
      <w:r w:rsidRPr="00702094"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</w:rPr>
        <w:t>8. Thông tư số 22/2021/TT-NHNN ngày 29/12/2021 của Thống đốc NHNN quy định thời hạn bảo quản hồ sơ, tài liệu hình thành trong hoạt động của Ngân hàng Nhà nước Việt Nam;</w:t>
      </w:r>
    </w:p>
    <w:p w:rsidR="00702094" w:rsidRPr="00702094" w:rsidRDefault="00702094" w:rsidP="00702094">
      <w:pPr>
        <w:spacing w:before="120" w:after="120"/>
        <w:jc w:val="both"/>
        <w:rPr>
          <w:rFonts w:asciiTheme="majorHAnsi" w:hAnsiTheme="majorHAnsi" w:cstheme="majorHAnsi"/>
          <w:sz w:val="27"/>
          <w:szCs w:val="27"/>
        </w:rPr>
      </w:pPr>
      <w:r w:rsidRPr="00702094">
        <w:rPr>
          <w:rStyle w:val="Emphasis"/>
          <w:rFonts w:asciiTheme="majorHAnsi" w:hAnsiTheme="majorHAnsi" w:cstheme="majorHAnsi"/>
          <w:i w:val="0"/>
          <w:color w:val="111111"/>
          <w:sz w:val="27"/>
          <w:szCs w:val="27"/>
          <w:shd w:val="clear" w:color="auto" w:fill="FFFFFF"/>
        </w:rPr>
        <w:t xml:space="preserve">9. </w:t>
      </w:r>
      <w:r w:rsidRPr="00702094">
        <w:rPr>
          <w:rFonts w:asciiTheme="majorHAnsi" w:hAnsiTheme="majorHAnsi" w:cstheme="majorHAnsi"/>
          <w:sz w:val="27"/>
          <w:szCs w:val="27"/>
        </w:rPr>
        <w:t xml:space="preserve">Quyết định số 415/QĐ-NHNN Ngày 29/3/2021 của Thống đốc NHNN về việc ban hành Quy chế công tác văn thư và lưu trữ của Ngân hàng Nhà nước Việt Nam; </w:t>
      </w:r>
    </w:p>
    <w:p w:rsidR="00C17693" w:rsidRPr="00702094" w:rsidRDefault="00702094" w:rsidP="00702094">
      <w:pPr>
        <w:spacing w:before="120" w:after="120"/>
        <w:jc w:val="both"/>
        <w:rPr>
          <w:rFonts w:asciiTheme="majorHAnsi" w:hAnsiTheme="majorHAnsi" w:cstheme="majorHAnsi"/>
          <w:sz w:val="27"/>
          <w:szCs w:val="27"/>
        </w:rPr>
      </w:pPr>
      <w:r w:rsidRPr="00702094">
        <w:rPr>
          <w:rFonts w:asciiTheme="majorHAnsi" w:hAnsiTheme="majorHAnsi" w:cstheme="majorHAnsi"/>
          <w:sz w:val="27"/>
          <w:szCs w:val="27"/>
        </w:rPr>
        <w:t>10. Quyết định số 2251/QĐ-NHNN Ngày 28/12/2020 của Thống đốc NHNN về việc ban hành Quy chế bảo vệ bí mật nhà nước của Ngân hàng Nhà nước Việt Nam.</w:t>
      </w:r>
    </w:p>
    <w:p w:rsidR="00C17693" w:rsidRPr="00702094" w:rsidRDefault="00B76EC7" w:rsidP="00B76EC7">
      <w:pPr>
        <w:tabs>
          <w:tab w:val="left" w:pos="6770"/>
        </w:tabs>
        <w:spacing w:before="120" w:after="120"/>
        <w:rPr>
          <w:rFonts w:asciiTheme="majorHAnsi" w:hAnsiTheme="majorHAnsi" w:cstheme="majorHAnsi"/>
          <w:sz w:val="27"/>
          <w:szCs w:val="27"/>
        </w:rPr>
      </w:pPr>
      <w:r w:rsidRPr="00702094">
        <w:rPr>
          <w:rFonts w:asciiTheme="majorHAnsi" w:hAnsiTheme="majorHAnsi" w:cstheme="majorHAnsi"/>
          <w:sz w:val="27"/>
          <w:szCs w:val="27"/>
        </w:rPr>
        <w:tab/>
      </w:r>
    </w:p>
    <w:sectPr w:rsidR="00C17693" w:rsidRPr="00702094" w:rsidSect="00702094">
      <w:pgSz w:w="11906" w:h="16838"/>
      <w:pgMar w:top="90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04"/>
    <w:rsid w:val="000141E9"/>
    <w:rsid w:val="001C4704"/>
    <w:rsid w:val="00506094"/>
    <w:rsid w:val="00565B34"/>
    <w:rsid w:val="00702094"/>
    <w:rsid w:val="008E70A3"/>
    <w:rsid w:val="00952597"/>
    <w:rsid w:val="00A66312"/>
    <w:rsid w:val="00AE6D0C"/>
    <w:rsid w:val="00B740EF"/>
    <w:rsid w:val="00B76EC7"/>
    <w:rsid w:val="00C17693"/>
    <w:rsid w:val="00D806D4"/>
    <w:rsid w:val="00D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F59FA-DF9B-4C43-A03E-57B2948B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C4704"/>
    <w:rPr>
      <w:i/>
      <w:iCs/>
    </w:rPr>
  </w:style>
  <w:style w:type="character" w:styleId="Strong">
    <w:name w:val="Strong"/>
    <w:basedOn w:val="DefaultParagraphFont"/>
    <w:uiPriority w:val="22"/>
    <w:qFormat/>
    <w:rsid w:val="00C17693"/>
    <w:rPr>
      <w:b/>
      <w:bCs/>
    </w:rPr>
  </w:style>
  <w:style w:type="paragraph" w:styleId="ListParagraph">
    <w:name w:val="List Paragraph"/>
    <w:basedOn w:val="Normal"/>
    <w:uiPriority w:val="34"/>
    <w:qFormat/>
    <w:rsid w:val="00702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Giang Thi Kim Thanh (TCCB)</cp:lastModifiedBy>
  <cp:revision>8</cp:revision>
  <cp:lastPrinted>2023-03-21T08:22:00Z</cp:lastPrinted>
  <dcterms:created xsi:type="dcterms:W3CDTF">2023-03-20T09:58:00Z</dcterms:created>
  <dcterms:modified xsi:type="dcterms:W3CDTF">2023-12-15T10:49:00Z</dcterms:modified>
</cp:coreProperties>
</file>